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1E98C">
      <w:pPr>
        <w:spacing w:line="300" w:lineRule="atLeast"/>
        <w:jc w:val="center"/>
        <w:rPr>
          <w:rFonts w:hint="eastAsia" w:ascii="宋体" w:hAnsi="宋体" w:cs="宋体"/>
          <w:b/>
          <w:bCs/>
          <w:color w:val="000000"/>
          <w:sz w:val="36"/>
          <w:szCs w:val="36"/>
        </w:rPr>
      </w:pPr>
      <w:bookmarkStart w:id="0" w:name="_Toc451522337"/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温州市中医院</w:t>
      </w:r>
      <w:r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CN"/>
        </w:rPr>
        <w:t>透析软件云HIS</w:t>
      </w:r>
      <w:bookmarkStart w:id="3" w:name="_GoBack"/>
      <w:bookmarkEnd w:id="3"/>
      <w:r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CN"/>
        </w:rPr>
        <w:t>遴选</w:t>
      </w:r>
      <w:bookmarkEnd w:id="0"/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文件</w:t>
      </w:r>
    </w:p>
    <w:p w14:paraId="01EE6DFF">
      <w:pPr>
        <w:spacing w:line="300" w:lineRule="atLeast"/>
        <w:ind w:firstLine="562" w:firstLineChars="200"/>
        <w:rPr>
          <w:b/>
          <w:bCs/>
          <w:sz w:val="28"/>
          <w:szCs w:val="28"/>
        </w:rPr>
      </w:pPr>
    </w:p>
    <w:p w14:paraId="77FE2B15">
      <w:pPr>
        <w:spacing w:line="300" w:lineRule="atLeast"/>
        <w:rPr>
          <w:rFonts w:hint="eastAsia" w:ascii="宋体" w:hAnsi="宋体" w:cs="宋体"/>
          <w:color w:val="FF0000"/>
          <w:sz w:val="24"/>
        </w:rPr>
      </w:pPr>
      <w:r>
        <w:rPr>
          <w:rFonts w:hint="eastAsia"/>
          <w:b/>
          <w:bCs/>
          <w:sz w:val="28"/>
          <w:szCs w:val="28"/>
        </w:rPr>
        <w:t>一、项目名称</w:t>
      </w:r>
      <w:r>
        <w:rPr>
          <w:rFonts w:hint="eastAsia"/>
          <w:sz w:val="24"/>
        </w:rPr>
        <w:t>：</w:t>
      </w:r>
      <w:r>
        <w:rPr>
          <w:rFonts w:hint="eastAsia" w:ascii="宋体" w:hAnsi="宋体" w:cs="宋体"/>
          <w:sz w:val="24"/>
          <w:lang w:eastAsia="zh-Hans"/>
        </w:rPr>
        <w:t>温州市中医院</w:t>
      </w:r>
      <w:r>
        <w:rPr>
          <w:rFonts w:hint="eastAsia"/>
          <w:sz w:val="24"/>
          <w:lang w:val="en-US" w:eastAsia="zh-CN"/>
        </w:rPr>
        <w:t>透析软件云HIS</w:t>
      </w:r>
    </w:p>
    <w:p w14:paraId="63650348">
      <w:pPr>
        <w:spacing w:line="360" w:lineRule="auto"/>
        <w:rPr>
          <w:sz w:val="24"/>
        </w:rPr>
      </w:pPr>
      <w:r>
        <w:rPr>
          <w:rFonts w:hint="eastAsia"/>
          <w:b/>
          <w:bCs/>
          <w:sz w:val="28"/>
          <w:szCs w:val="28"/>
        </w:rPr>
        <w:t>二、采购方式：</w:t>
      </w:r>
      <w:r>
        <w:rPr>
          <w:rFonts w:hint="eastAsia"/>
          <w:sz w:val="24"/>
        </w:rPr>
        <w:t>公开遴选（非政府采购）</w:t>
      </w:r>
    </w:p>
    <w:p w14:paraId="70C0B780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/>
          <w:b/>
          <w:bCs/>
          <w:sz w:val="28"/>
          <w:szCs w:val="28"/>
        </w:rPr>
        <w:t>三、预算金额：</w:t>
      </w:r>
      <w:r>
        <w:rPr>
          <w:rFonts w:hint="eastAsia" w:ascii="宋体" w:hAnsi="宋体" w:cs="宋体"/>
          <w:sz w:val="24"/>
          <w:lang w:val="en-US" w:eastAsia="zh-CN"/>
        </w:rPr>
        <w:t>70000</w:t>
      </w:r>
      <w:r>
        <w:rPr>
          <w:rFonts w:hint="eastAsia" w:ascii="宋体" w:hAnsi="宋体" w:cs="宋体"/>
          <w:sz w:val="24"/>
        </w:rPr>
        <w:t>元/年</w:t>
      </w:r>
    </w:p>
    <w:p w14:paraId="6B36AA5E">
      <w:pPr>
        <w:spacing w:line="360" w:lineRule="auto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四、服务期限及付款方式</w:t>
      </w:r>
    </w:p>
    <w:p w14:paraId="527683F9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1、服务期限：1年，自合同签订之日起计。</w:t>
      </w:r>
    </w:p>
    <w:p w14:paraId="5911B208">
      <w:pPr>
        <w:spacing w:line="360" w:lineRule="auto"/>
        <w:ind w:firstLine="480" w:firstLineChars="200"/>
      </w:pP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</w:rPr>
        <w:t xml:space="preserve">、付款方式：在服务期半年期到后三个月内支付合同总金额的50%，服务期满后三个月内支付合同总金额的50%。 </w:t>
      </w:r>
    </w:p>
    <w:p w14:paraId="4A5FAE01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五、服务具体要求</w:t>
      </w:r>
    </w:p>
    <w:p w14:paraId="64AD628E">
      <w:pPr>
        <w:pStyle w:val="2"/>
        <w:rPr>
          <w:rFonts w:hint="eastAsia"/>
        </w:rPr>
      </w:pPr>
      <w:r>
        <w:rPr>
          <w:rFonts w:hint="eastAsia"/>
        </w:rPr>
        <w:t xml:space="preserve">1、技术服务范围  </w:t>
      </w:r>
    </w:p>
    <w:tbl>
      <w:tblPr>
        <w:tblStyle w:val="13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8614"/>
      </w:tblGrid>
      <w:tr w14:paraId="1C134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50" w:type="dxa"/>
            <w:vAlign w:val="center"/>
          </w:tcPr>
          <w:p w14:paraId="6AB009DB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sz w:val="24"/>
              </w:rPr>
              <w:t>序号</w:t>
            </w:r>
          </w:p>
        </w:tc>
        <w:tc>
          <w:tcPr>
            <w:tcW w:w="8614" w:type="dxa"/>
            <w:vAlign w:val="center"/>
          </w:tcPr>
          <w:p w14:paraId="37410648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sz w:val="24"/>
              </w:rPr>
              <w:t>各功能模块具体参数要求</w:t>
            </w:r>
          </w:p>
        </w:tc>
      </w:tr>
      <w:tr w14:paraId="67A7C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464" w:type="dxa"/>
            <w:gridSpan w:val="2"/>
            <w:vAlign w:val="center"/>
          </w:tcPr>
          <w:p w14:paraId="656ED957">
            <w:pPr>
              <w:spacing w:line="440" w:lineRule="exact"/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</w:rPr>
              <w:t>血透管理信息系统</w:t>
            </w:r>
          </w:p>
        </w:tc>
      </w:tr>
      <w:tr w14:paraId="12A88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50" w:type="dxa"/>
            <w:vAlign w:val="center"/>
          </w:tcPr>
          <w:p w14:paraId="37D70BFF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sz w:val="24"/>
              </w:rPr>
              <w:t>一</w:t>
            </w:r>
          </w:p>
        </w:tc>
        <w:tc>
          <w:tcPr>
            <w:tcW w:w="8614" w:type="dxa"/>
            <w:vAlign w:val="center"/>
          </w:tcPr>
          <w:p w14:paraId="4158D7BD">
            <w:pPr>
              <w:spacing w:line="440" w:lineRule="exact"/>
              <w:rPr>
                <w:rFonts w:hint="eastAsia" w:ascii="仿宋_GB2312" w:hAnsi="仿宋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</w:rPr>
              <w:t>长期医嘱同步</w:t>
            </w:r>
          </w:p>
        </w:tc>
      </w:tr>
      <w:tr w14:paraId="69D7E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50" w:type="dxa"/>
            <w:vAlign w:val="center"/>
          </w:tcPr>
          <w:p w14:paraId="52E8CD0E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</w:rPr>
              <w:t>1.1</w:t>
            </w:r>
          </w:p>
        </w:tc>
        <w:tc>
          <w:tcPr>
            <w:tcW w:w="8614" w:type="dxa"/>
            <w:vAlign w:val="center"/>
          </w:tcPr>
          <w:p w14:paraId="329C15E3">
            <w:pPr>
              <w:spacing w:line="440" w:lineRule="exac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sz w:val="24"/>
              </w:rPr>
              <w:t>能够与 HIS 系统双向同步血透患者的长期医嘱，可以从HIS同步长期医嘱，</w:t>
            </w:r>
            <w:r>
              <w:rPr>
                <w:rFonts w:hint="eastAsia" w:ascii="仿宋_GB2312" w:hAnsi="仿宋" w:eastAsia="仿宋_GB2312" w:cs="宋体"/>
                <w:sz w:val="24"/>
                <w:lang w:val="en-US" w:eastAsia="zh-CN"/>
              </w:rPr>
              <w:t>增加</w:t>
            </w:r>
            <w:r>
              <w:rPr>
                <w:rFonts w:hint="eastAsia" w:ascii="仿宋_GB2312" w:hAnsi="仿宋" w:eastAsia="仿宋_GB2312" w:cs="宋体"/>
                <w:sz w:val="24"/>
              </w:rPr>
              <w:t>可以提交长期医嘱到HIS</w:t>
            </w:r>
            <w:r>
              <w:rPr>
                <w:rFonts w:hint="eastAsia" w:ascii="仿宋_GB2312" w:hAnsi="仿宋" w:eastAsia="仿宋_GB2312" w:cs="宋体"/>
                <w:sz w:val="24"/>
                <w:lang w:val="en-US" w:eastAsia="zh-CN"/>
              </w:rPr>
              <w:t>功能</w:t>
            </w:r>
            <w:r>
              <w:rPr>
                <w:rFonts w:hint="eastAsia" w:ascii="仿宋_GB2312" w:hAnsi="仿宋" w:eastAsia="仿宋_GB2312" w:cs="宋体"/>
                <w:sz w:val="24"/>
              </w:rPr>
              <w:t>。</w:t>
            </w:r>
          </w:p>
        </w:tc>
      </w:tr>
      <w:tr w14:paraId="77E2C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50" w:type="dxa"/>
            <w:vAlign w:val="center"/>
          </w:tcPr>
          <w:p w14:paraId="119FA029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</w:rPr>
              <w:t>二</w:t>
            </w:r>
          </w:p>
        </w:tc>
        <w:tc>
          <w:tcPr>
            <w:tcW w:w="8614" w:type="dxa"/>
            <w:vAlign w:val="center"/>
          </w:tcPr>
          <w:p w14:paraId="5C4D60D3">
            <w:pPr>
              <w:spacing w:line="440" w:lineRule="exact"/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</w:rPr>
              <w:t>临时医嘱同步</w:t>
            </w:r>
          </w:p>
        </w:tc>
      </w:tr>
      <w:tr w14:paraId="16353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50" w:type="dxa"/>
            <w:vAlign w:val="center"/>
          </w:tcPr>
          <w:p w14:paraId="1DD0DDB8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</w:rPr>
              <w:t>2.1</w:t>
            </w:r>
          </w:p>
        </w:tc>
        <w:tc>
          <w:tcPr>
            <w:tcW w:w="8614" w:type="dxa"/>
            <w:vAlign w:val="center"/>
          </w:tcPr>
          <w:p w14:paraId="042E5D6A">
            <w:pPr>
              <w:spacing w:line="440" w:lineRule="exact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sz w:val="24"/>
              </w:rPr>
              <w:t>能够与 HIS 系统双向同步血透患者的临时医嘱，可以从HIS同步临时医嘱，</w:t>
            </w:r>
            <w:r>
              <w:rPr>
                <w:rFonts w:hint="eastAsia" w:ascii="仿宋_GB2312" w:hAnsi="仿宋" w:eastAsia="仿宋_GB2312" w:cs="宋体"/>
                <w:sz w:val="24"/>
                <w:lang w:val="en-US" w:eastAsia="zh-CN"/>
              </w:rPr>
              <w:t>增加</w:t>
            </w:r>
            <w:r>
              <w:rPr>
                <w:rFonts w:hint="eastAsia" w:ascii="仿宋_GB2312" w:hAnsi="仿宋" w:eastAsia="仿宋_GB2312" w:cs="宋体"/>
                <w:sz w:val="24"/>
              </w:rPr>
              <w:t>可以提交临时医嘱到HIS</w:t>
            </w:r>
            <w:r>
              <w:rPr>
                <w:rFonts w:hint="eastAsia" w:ascii="仿宋_GB2312" w:hAnsi="仿宋" w:eastAsia="仿宋_GB2312" w:cs="宋体"/>
                <w:sz w:val="24"/>
                <w:lang w:val="en-US" w:eastAsia="zh-CN"/>
              </w:rPr>
              <w:t>功能</w:t>
            </w:r>
            <w:r>
              <w:rPr>
                <w:rFonts w:hint="eastAsia" w:ascii="仿宋_GB2312" w:hAnsi="仿宋" w:eastAsia="仿宋_GB2312" w:cs="宋体"/>
                <w:sz w:val="24"/>
              </w:rPr>
              <w:t>。</w:t>
            </w:r>
          </w:p>
        </w:tc>
      </w:tr>
      <w:tr w14:paraId="6924B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50" w:type="dxa"/>
            <w:vAlign w:val="center"/>
          </w:tcPr>
          <w:p w14:paraId="0400F589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</w:rPr>
              <w:t>三</w:t>
            </w:r>
          </w:p>
        </w:tc>
        <w:tc>
          <w:tcPr>
            <w:tcW w:w="8614" w:type="dxa"/>
            <w:vAlign w:val="center"/>
          </w:tcPr>
          <w:p w14:paraId="30FD0E9E">
            <w:pPr>
              <w:spacing w:line="440" w:lineRule="exact"/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  <w:lang w:val="en-US" w:eastAsia="zh-CN"/>
              </w:rPr>
              <w:t>药品</w:t>
            </w: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</w:rPr>
              <w:t>医嘱同步</w:t>
            </w:r>
          </w:p>
        </w:tc>
      </w:tr>
      <w:tr w14:paraId="5DEA0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50" w:type="dxa"/>
            <w:vAlign w:val="center"/>
          </w:tcPr>
          <w:p w14:paraId="53524B31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</w:rPr>
              <w:t>3.1</w:t>
            </w:r>
          </w:p>
        </w:tc>
        <w:tc>
          <w:tcPr>
            <w:tcW w:w="8614" w:type="dxa"/>
            <w:vAlign w:val="center"/>
          </w:tcPr>
          <w:p w14:paraId="078E38D6">
            <w:pPr>
              <w:spacing w:line="440" w:lineRule="exact"/>
              <w:rPr>
                <w:rFonts w:hint="eastAsia"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 w:cs="宋体"/>
                <w:sz w:val="24"/>
              </w:rPr>
              <w:t>能够与 HIS 系统双向同步血透患者的出院带药</w:t>
            </w:r>
            <w:r>
              <w:rPr>
                <w:rFonts w:hint="eastAsia" w:ascii="仿宋_GB2312" w:hAnsi="仿宋" w:eastAsia="仿宋_GB2312" w:cs="宋体"/>
                <w:sz w:val="24"/>
                <w:lang w:val="en-US" w:eastAsia="zh-CN"/>
              </w:rPr>
              <w:t>或者领药单等形式</w:t>
            </w:r>
            <w:r>
              <w:rPr>
                <w:rFonts w:hint="eastAsia" w:ascii="仿宋_GB2312" w:hAnsi="仿宋" w:eastAsia="仿宋_GB2312" w:cs="宋体"/>
                <w:sz w:val="24"/>
              </w:rPr>
              <w:t>医嘱，可以从HIS同步出院带药</w:t>
            </w:r>
            <w:r>
              <w:rPr>
                <w:rFonts w:hint="eastAsia" w:ascii="仿宋_GB2312" w:hAnsi="仿宋" w:eastAsia="仿宋_GB2312" w:cs="宋体"/>
                <w:sz w:val="24"/>
                <w:lang w:val="en-US" w:eastAsia="zh-CN"/>
              </w:rPr>
              <w:t>或者领药单等形式药品</w:t>
            </w:r>
            <w:r>
              <w:rPr>
                <w:rFonts w:hint="eastAsia" w:ascii="仿宋_GB2312" w:hAnsi="仿宋" w:eastAsia="仿宋_GB2312" w:cs="宋体"/>
                <w:sz w:val="24"/>
              </w:rPr>
              <w:t>医嘱，</w:t>
            </w:r>
            <w:r>
              <w:rPr>
                <w:rFonts w:hint="eastAsia" w:ascii="仿宋_GB2312" w:hAnsi="仿宋" w:eastAsia="仿宋_GB2312" w:cs="宋体"/>
                <w:sz w:val="24"/>
                <w:lang w:val="en-US" w:eastAsia="zh-CN"/>
              </w:rPr>
              <w:t>增加</w:t>
            </w:r>
            <w:r>
              <w:rPr>
                <w:rFonts w:hint="eastAsia" w:ascii="仿宋_GB2312" w:hAnsi="仿宋" w:eastAsia="仿宋_GB2312" w:cs="宋体"/>
                <w:sz w:val="24"/>
              </w:rPr>
              <w:t>同时可以提交出院带药</w:t>
            </w:r>
            <w:r>
              <w:rPr>
                <w:rFonts w:hint="eastAsia" w:ascii="仿宋_GB2312" w:hAnsi="仿宋" w:eastAsia="仿宋_GB2312" w:cs="宋体"/>
                <w:sz w:val="24"/>
                <w:lang w:val="en-US" w:eastAsia="zh-CN"/>
              </w:rPr>
              <w:t>或者领药单等形式</w:t>
            </w:r>
            <w:r>
              <w:rPr>
                <w:rFonts w:hint="eastAsia" w:ascii="仿宋_GB2312" w:hAnsi="仿宋" w:eastAsia="仿宋_GB2312" w:cs="宋体"/>
                <w:sz w:val="24"/>
              </w:rPr>
              <w:t>医嘱到HIS</w:t>
            </w:r>
            <w:r>
              <w:rPr>
                <w:rFonts w:hint="eastAsia" w:ascii="仿宋_GB2312" w:hAnsi="仿宋" w:eastAsia="仿宋_GB2312" w:cs="宋体"/>
                <w:sz w:val="24"/>
                <w:lang w:val="en-US" w:eastAsia="zh-CN"/>
              </w:rPr>
              <w:t>功能</w:t>
            </w:r>
            <w:r>
              <w:rPr>
                <w:rFonts w:hint="eastAsia" w:ascii="仿宋_GB2312" w:hAnsi="仿宋" w:eastAsia="仿宋_GB2312" w:cs="宋体"/>
                <w:sz w:val="24"/>
              </w:rPr>
              <w:t>。</w:t>
            </w:r>
          </w:p>
        </w:tc>
      </w:tr>
      <w:tr w14:paraId="1A83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50" w:type="dxa"/>
            <w:vAlign w:val="center"/>
          </w:tcPr>
          <w:p w14:paraId="5797BFD8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  <w:lang w:val="en-US" w:eastAsia="zh-CN"/>
              </w:rPr>
              <w:t>四</w:t>
            </w:r>
          </w:p>
        </w:tc>
        <w:tc>
          <w:tcPr>
            <w:tcW w:w="8614" w:type="dxa"/>
            <w:vAlign w:val="center"/>
          </w:tcPr>
          <w:p w14:paraId="32C31012">
            <w:pPr>
              <w:spacing w:line="440" w:lineRule="exact"/>
              <w:rPr>
                <w:rFonts w:hint="eastAsia" w:ascii="仿宋_GB2312" w:hAnsi="仿宋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sz w:val="24"/>
              </w:rPr>
              <w:t>皮试医嘱提交</w:t>
            </w:r>
          </w:p>
        </w:tc>
      </w:tr>
      <w:tr w14:paraId="45AC9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50" w:type="dxa"/>
            <w:vAlign w:val="center"/>
          </w:tcPr>
          <w:p w14:paraId="371FB544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" w:eastAsia="仿宋_GB2312" w:cs="宋体"/>
                <w:color w:val="000000"/>
                <w:sz w:val="24"/>
              </w:rPr>
              <w:t>.1</w:t>
            </w:r>
          </w:p>
        </w:tc>
        <w:tc>
          <w:tcPr>
            <w:tcW w:w="8614" w:type="dxa"/>
            <w:vAlign w:val="center"/>
          </w:tcPr>
          <w:p w14:paraId="625BDD2D">
            <w:pPr>
              <w:spacing w:line="440" w:lineRule="exact"/>
              <w:rPr>
                <w:rFonts w:hint="eastAsia" w:ascii="仿宋_GB2312" w:hAnsi="仿宋" w:eastAsia="仿宋_GB2312" w:cs="宋体"/>
                <w:sz w:val="24"/>
              </w:rPr>
            </w:pPr>
            <w:r>
              <w:rPr>
                <w:rFonts w:ascii="仿宋_GB2312" w:hAnsi="仿宋" w:eastAsia="仿宋_GB2312" w:cs="宋体"/>
                <w:sz w:val="24"/>
              </w:rPr>
              <w:t>支持将</w:t>
            </w:r>
            <w:r>
              <w:rPr>
                <w:rFonts w:hint="eastAsia" w:ascii="仿宋_GB2312" w:hAnsi="仿宋" w:eastAsia="仿宋_GB2312" w:cs="宋体"/>
                <w:sz w:val="24"/>
                <w:lang w:val="en-US" w:eastAsia="zh-CN"/>
              </w:rPr>
              <w:t>需要</w:t>
            </w:r>
            <w:r>
              <w:rPr>
                <w:rFonts w:ascii="仿宋_GB2312" w:hAnsi="仿宋" w:eastAsia="仿宋_GB2312" w:cs="宋体"/>
                <w:sz w:val="24"/>
              </w:rPr>
              <w:t>皮试</w:t>
            </w:r>
            <w:r>
              <w:rPr>
                <w:rFonts w:hint="eastAsia" w:ascii="仿宋_GB2312" w:hAnsi="仿宋" w:eastAsia="仿宋_GB2312" w:cs="宋体"/>
                <w:sz w:val="24"/>
                <w:lang w:val="en-US" w:eastAsia="zh-CN"/>
              </w:rPr>
              <w:t>的</w:t>
            </w:r>
            <w:r>
              <w:rPr>
                <w:rFonts w:ascii="仿宋_GB2312" w:hAnsi="仿宋" w:eastAsia="仿宋_GB2312" w:cs="宋体"/>
                <w:sz w:val="24"/>
              </w:rPr>
              <w:t>医嘱提交到 HIS 系统。</w:t>
            </w:r>
          </w:p>
        </w:tc>
      </w:tr>
      <w:tr w14:paraId="15A9F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50" w:type="dxa"/>
            <w:vAlign w:val="center"/>
          </w:tcPr>
          <w:p w14:paraId="51BB9BBD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  <w:lang w:val="en-US" w:eastAsia="zh-CN"/>
              </w:rPr>
              <w:t>五</w:t>
            </w:r>
          </w:p>
        </w:tc>
        <w:tc>
          <w:tcPr>
            <w:tcW w:w="8614" w:type="dxa"/>
            <w:vAlign w:val="center"/>
          </w:tcPr>
          <w:p w14:paraId="60B7D8B6">
            <w:pPr>
              <w:spacing w:line="440" w:lineRule="exact"/>
              <w:rPr>
                <w:rFonts w:hint="eastAsia"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sz w:val="24"/>
              </w:rPr>
              <w:t>医嘱状态同步</w:t>
            </w:r>
          </w:p>
        </w:tc>
      </w:tr>
      <w:tr w14:paraId="3058D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50" w:type="dxa"/>
            <w:vAlign w:val="center"/>
          </w:tcPr>
          <w:p w14:paraId="64B496FA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" w:eastAsia="仿宋_GB2312" w:cs="宋体"/>
                <w:color w:val="000000"/>
                <w:sz w:val="24"/>
              </w:rPr>
              <w:t>.1</w:t>
            </w:r>
          </w:p>
        </w:tc>
        <w:tc>
          <w:tcPr>
            <w:tcW w:w="8614" w:type="dxa"/>
            <w:vAlign w:val="center"/>
          </w:tcPr>
          <w:p w14:paraId="1448C8D5">
            <w:pPr>
              <w:spacing w:line="440" w:lineRule="exact"/>
              <w:rPr>
                <w:rFonts w:hint="eastAsia" w:ascii="仿宋_GB2312" w:hAnsi="仿宋" w:eastAsia="仿宋_GB2312" w:cs="宋体"/>
                <w:sz w:val="24"/>
              </w:rPr>
            </w:pPr>
            <w:r>
              <w:rPr>
                <w:rFonts w:ascii="仿宋_GB2312" w:hAnsi="仿宋" w:eastAsia="仿宋_GB2312" w:cs="宋体"/>
                <w:sz w:val="24"/>
              </w:rPr>
              <w:t>能够与 HIS 系统双向同步医嘱状态变化，包含开嘱、停嘱、医嘱作废等状态。</w:t>
            </w:r>
          </w:p>
        </w:tc>
      </w:tr>
      <w:tr w14:paraId="5972C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50" w:type="dxa"/>
            <w:vAlign w:val="center"/>
          </w:tcPr>
          <w:p w14:paraId="2A7EA37C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  <w:lang w:val="en-US" w:eastAsia="zh-CN"/>
              </w:rPr>
              <w:t>六</w:t>
            </w:r>
          </w:p>
        </w:tc>
        <w:tc>
          <w:tcPr>
            <w:tcW w:w="8614" w:type="dxa"/>
            <w:vAlign w:val="center"/>
          </w:tcPr>
          <w:p w14:paraId="2AA6120B">
            <w:pPr>
              <w:spacing w:line="440" w:lineRule="exact"/>
              <w:rPr>
                <w:rFonts w:hint="eastAsia"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sz w:val="24"/>
              </w:rPr>
              <w:t>药品医嘱退回</w:t>
            </w:r>
          </w:p>
        </w:tc>
      </w:tr>
      <w:tr w14:paraId="7801B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50" w:type="dxa"/>
            <w:vAlign w:val="center"/>
          </w:tcPr>
          <w:p w14:paraId="286A3A1F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 w:cs="宋体"/>
                <w:color w:val="000000"/>
                <w:sz w:val="24"/>
              </w:rPr>
              <w:t>.1</w:t>
            </w:r>
          </w:p>
        </w:tc>
        <w:tc>
          <w:tcPr>
            <w:tcW w:w="8614" w:type="dxa"/>
            <w:vAlign w:val="center"/>
          </w:tcPr>
          <w:p w14:paraId="6A9AE40B">
            <w:pPr>
              <w:spacing w:line="440" w:lineRule="exact"/>
              <w:rPr>
                <w:rFonts w:hint="eastAsia" w:ascii="仿宋_GB2312" w:hAnsi="仿宋" w:eastAsia="仿宋_GB2312" w:cs="宋体"/>
                <w:sz w:val="24"/>
              </w:rPr>
            </w:pPr>
            <w:r>
              <w:rPr>
                <w:rFonts w:ascii="仿宋_GB2312" w:hAnsi="仿宋" w:eastAsia="仿宋_GB2312" w:cs="宋体"/>
                <w:sz w:val="24"/>
              </w:rPr>
              <w:t>药品医嘱开立后，支持医嘱退回操作，并同步状态至 HIS。</w:t>
            </w:r>
          </w:p>
        </w:tc>
      </w:tr>
      <w:tr w14:paraId="1C314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50" w:type="dxa"/>
            <w:vAlign w:val="center"/>
          </w:tcPr>
          <w:p w14:paraId="095874F4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sz w:val="24"/>
                <w:lang w:val="en-US" w:eastAsia="zh-CN"/>
              </w:rPr>
              <w:t>七</w:t>
            </w:r>
          </w:p>
        </w:tc>
        <w:tc>
          <w:tcPr>
            <w:tcW w:w="8614" w:type="dxa"/>
            <w:vAlign w:val="center"/>
          </w:tcPr>
          <w:p w14:paraId="706E0351">
            <w:pPr>
              <w:spacing w:line="440" w:lineRule="exact"/>
              <w:rPr>
                <w:rFonts w:hint="eastAsia"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sz w:val="24"/>
              </w:rPr>
              <w:t>医嘱药房选择</w:t>
            </w:r>
          </w:p>
        </w:tc>
      </w:tr>
      <w:tr w14:paraId="18A9F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50" w:type="dxa"/>
            <w:vAlign w:val="center"/>
          </w:tcPr>
          <w:p w14:paraId="1DBD34E0">
            <w:pPr>
              <w:spacing w:line="440" w:lineRule="exact"/>
              <w:jc w:val="center"/>
              <w:rPr>
                <w:rFonts w:hint="eastAsia" w:ascii="仿宋_GB2312" w:hAnsi="仿宋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仿宋" w:eastAsia="仿宋_GB2312" w:cs="宋体"/>
                <w:color w:val="000000"/>
                <w:sz w:val="24"/>
              </w:rPr>
              <w:t>.1</w:t>
            </w:r>
          </w:p>
        </w:tc>
        <w:tc>
          <w:tcPr>
            <w:tcW w:w="8614" w:type="dxa"/>
            <w:vAlign w:val="center"/>
          </w:tcPr>
          <w:p w14:paraId="707E7EAD">
            <w:pPr>
              <w:spacing w:line="440" w:lineRule="exact"/>
              <w:rPr>
                <w:rFonts w:hint="eastAsia" w:ascii="仿宋_GB2312" w:hAnsi="仿宋" w:eastAsia="仿宋_GB2312" w:cs="宋体"/>
                <w:sz w:val="24"/>
              </w:rPr>
            </w:pPr>
            <w:r>
              <w:rPr>
                <w:rFonts w:ascii="仿宋_GB2312" w:hAnsi="仿宋" w:eastAsia="仿宋_GB2312" w:cs="宋体"/>
                <w:sz w:val="24"/>
              </w:rPr>
              <w:t>提交药品类医嘱至 HIS 时，支持选择目标发药药房，药房数据来源于 HIS 系统，药房信息随医嘱一并提交 HIS 系统。</w:t>
            </w:r>
          </w:p>
        </w:tc>
      </w:tr>
    </w:tbl>
    <w:p w14:paraId="5E160F5E"/>
    <w:p w14:paraId="3428CBED">
      <w:pPr>
        <w:rPr>
          <w:rFonts w:hint="eastAsia" w:ascii="宋体" w:hAnsi="宋体" w:cs="宋体"/>
          <w:sz w:val="24"/>
        </w:rPr>
      </w:pPr>
    </w:p>
    <w:p w14:paraId="25168DFE">
      <w:pPr>
        <w:pStyle w:val="2"/>
        <w:rPr>
          <w:rFonts w:hint="eastAsia" w:hAnsi="宋体" w:cs="宋体"/>
        </w:rPr>
      </w:pPr>
      <w:r>
        <w:rPr>
          <w:rFonts w:hint="eastAsia" w:hAnsi="宋体" w:cs="宋体"/>
        </w:rPr>
        <w:t>2、服务内容与标准</w:t>
      </w:r>
    </w:p>
    <w:p w14:paraId="38A8366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在维护服务期内，由服务提供商为院方提供血透管理软件维护服务。</w:t>
      </w:r>
    </w:p>
    <w:tbl>
      <w:tblPr>
        <w:tblStyle w:val="13"/>
        <w:tblW w:w="9465" w:type="dxa"/>
        <w:tblInd w:w="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5"/>
        <w:gridCol w:w="1095"/>
        <w:gridCol w:w="3670"/>
        <w:gridCol w:w="1985"/>
        <w:gridCol w:w="1830"/>
      </w:tblGrid>
      <w:tr w14:paraId="655DD12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6" w:hRule="atLeast"/>
        </w:trPr>
        <w:tc>
          <w:tcPr>
            <w:tcW w:w="885" w:type="dxa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vAlign w:val="center"/>
          </w:tcPr>
          <w:p w14:paraId="17155AFB">
            <w:pPr>
              <w:autoSpaceDE w:val="0"/>
              <w:autoSpaceDN w:val="0"/>
              <w:jc w:val="center"/>
              <w:textAlignment w:val="bottom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szCs w:val="21"/>
              </w:rPr>
              <w:br w:type="page"/>
            </w:r>
            <w:r>
              <w:rPr>
                <w:rFonts w:hint="eastAsia"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000000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36D3E1">
            <w:pPr>
              <w:autoSpaceDE w:val="0"/>
              <w:autoSpaceDN w:val="0"/>
              <w:textAlignment w:val="bottom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服务项目</w:t>
            </w:r>
          </w:p>
        </w:tc>
        <w:tc>
          <w:tcPr>
            <w:tcW w:w="367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90D5F26">
            <w:pPr>
              <w:autoSpaceDE w:val="0"/>
              <w:autoSpaceDN w:val="0"/>
              <w:spacing w:line="276" w:lineRule="auto"/>
              <w:jc w:val="center"/>
              <w:textAlignment w:val="bottom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服务内容（均限定为合同范围）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E6F2A47">
            <w:pPr>
              <w:autoSpaceDE w:val="0"/>
              <w:autoSpaceDN w:val="0"/>
              <w:spacing w:line="276" w:lineRule="auto"/>
              <w:jc w:val="center"/>
              <w:textAlignment w:val="bottom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服务方式</w:t>
            </w:r>
          </w:p>
        </w:tc>
        <w:tc>
          <w:tcPr>
            <w:tcW w:w="1830" w:type="dxa"/>
            <w:tcBorders>
              <w:top w:val="single" w:color="000000" w:sz="12" w:space="0"/>
              <w:left w:val="single" w:color="000000" w:sz="6" w:space="0"/>
              <w:right w:val="single" w:color="auto" w:sz="4" w:space="0"/>
            </w:tcBorders>
            <w:vAlign w:val="center"/>
          </w:tcPr>
          <w:p w14:paraId="21763975">
            <w:pPr>
              <w:autoSpaceDE w:val="0"/>
              <w:autoSpaceDN w:val="0"/>
              <w:spacing w:line="276" w:lineRule="auto"/>
              <w:jc w:val="center"/>
              <w:textAlignment w:val="bottom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响应时间（工作日）</w:t>
            </w:r>
          </w:p>
        </w:tc>
      </w:tr>
      <w:tr w14:paraId="0B46E3C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8" w:hRule="atLeast"/>
        </w:trPr>
        <w:tc>
          <w:tcPr>
            <w:tcW w:w="9465" w:type="dxa"/>
            <w:gridSpan w:val="5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vAlign w:val="center"/>
          </w:tcPr>
          <w:p w14:paraId="685F2216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  <w:lang w:val="zh-CN"/>
              </w:rPr>
              <w:t>软件功能适应性维护</w:t>
            </w:r>
          </w:p>
        </w:tc>
      </w:tr>
      <w:tr w14:paraId="1F30FCA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7" w:hRule="atLeast"/>
        </w:trPr>
        <w:tc>
          <w:tcPr>
            <w:tcW w:w="885" w:type="dxa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vAlign w:val="center"/>
          </w:tcPr>
          <w:p w14:paraId="25358DA6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000000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3F809F">
            <w:pPr>
              <w:autoSpaceDE w:val="0"/>
              <w:autoSpaceDN w:val="0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咨询服务</w:t>
            </w:r>
          </w:p>
        </w:tc>
        <w:tc>
          <w:tcPr>
            <w:tcW w:w="367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64FFC86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软件功能的应用咨询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499928A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微信、电话、邮箱、网络远程</w:t>
            </w:r>
          </w:p>
        </w:tc>
        <w:tc>
          <w:tcPr>
            <w:tcW w:w="183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C3CFFA0">
            <w:pPr>
              <w:autoSpaceDE w:val="0"/>
              <w:autoSpaceDN w:val="0"/>
              <w:spacing w:line="276" w:lineRule="auto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30分钟内响应</w:t>
            </w:r>
          </w:p>
        </w:tc>
      </w:tr>
      <w:tr w14:paraId="75900E9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7" w:hRule="atLeast"/>
        </w:trPr>
        <w:tc>
          <w:tcPr>
            <w:tcW w:w="885" w:type="dxa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vAlign w:val="center"/>
          </w:tcPr>
          <w:p w14:paraId="57FC5EB2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2</w:t>
            </w:r>
          </w:p>
        </w:tc>
        <w:tc>
          <w:tcPr>
            <w:tcW w:w="1095" w:type="dxa"/>
            <w:tcBorders>
              <w:top w:val="single" w:color="000000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D3619D">
            <w:pPr>
              <w:autoSpaceDE w:val="0"/>
              <w:autoSpaceDN w:val="0"/>
              <w:textAlignment w:val="bottom"/>
              <w:rPr>
                <w:rFonts w:hint="eastAsia"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故障排除</w:t>
            </w:r>
          </w:p>
        </w:tc>
        <w:tc>
          <w:tcPr>
            <w:tcW w:w="367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157B930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软件应用过程中出现功能错误，协助查找、排除软件故障，保证系统功能正常运行。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3E905AA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微信、电话、邮箱、网络远程</w:t>
            </w:r>
          </w:p>
        </w:tc>
        <w:tc>
          <w:tcPr>
            <w:tcW w:w="183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5A75EB2">
            <w:pPr>
              <w:autoSpaceDE w:val="0"/>
              <w:autoSpaceDN w:val="0"/>
              <w:spacing w:line="276" w:lineRule="auto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2小时内响应</w:t>
            </w:r>
          </w:p>
        </w:tc>
      </w:tr>
      <w:tr w14:paraId="4A9D302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7" w:hRule="atLeast"/>
        </w:trPr>
        <w:tc>
          <w:tcPr>
            <w:tcW w:w="885" w:type="dxa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vAlign w:val="center"/>
          </w:tcPr>
          <w:p w14:paraId="3073649C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000000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3CE59D">
            <w:pPr>
              <w:autoSpaceDE w:val="0"/>
              <w:autoSpaceDN w:val="0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数据维护</w:t>
            </w:r>
          </w:p>
        </w:tc>
        <w:tc>
          <w:tcPr>
            <w:tcW w:w="367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1BE0177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 w:cs="Arial"/>
                <w:szCs w:val="21"/>
              </w:rPr>
              <w:t>无法由采购方自行完成的数据字典维护；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4D434C2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微信、电话、邮箱、网络远程</w:t>
            </w:r>
          </w:p>
        </w:tc>
        <w:tc>
          <w:tcPr>
            <w:tcW w:w="183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F32396D">
            <w:pPr>
              <w:autoSpaceDE w:val="0"/>
              <w:autoSpaceDN w:val="0"/>
              <w:spacing w:line="276" w:lineRule="auto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3</w:t>
            </w:r>
            <w:r>
              <w:rPr>
                <w:rFonts w:hint="eastAsia" w:ascii="微软雅黑" w:hAnsi="微软雅黑" w:eastAsia="微软雅黑"/>
                <w:szCs w:val="21"/>
              </w:rPr>
              <w:t>小时内响应</w:t>
            </w:r>
          </w:p>
        </w:tc>
      </w:tr>
      <w:tr w14:paraId="3A00552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7" w:hRule="atLeast"/>
        </w:trPr>
        <w:tc>
          <w:tcPr>
            <w:tcW w:w="885" w:type="dxa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vAlign w:val="center"/>
          </w:tcPr>
          <w:p w14:paraId="6ACC7A84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4</w:t>
            </w:r>
          </w:p>
        </w:tc>
        <w:tc>
          <w:tcPr>
            <w:tcW w:w="1095" w:type="dxa"/>
            <w:tcBorders>
              <w:top w:val="single" w:color="000000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CAA01E">
            <w:pPr>
              <w:autoSpaceDE w:val="0"/>
              <w:autoSpaceDN w:val="0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参数设置维护</w:t>
            </w:r>
          </w:p>
        </w:tc>
        <w:tc>
          <w:tcPr>
            <w:tcW w:w="367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1E964D8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 w:cs="Arial"/>
                <w:szCs w:val="21"/>
              </w:rPr>
              <w:t>系统定义的参数调整；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F27958E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微信、电话、邮箱、网络远程</w:t>
            </w:r>
          </w:p>
        </w:tc>
        <w:tc>
          <w:tcPr>
            <w:tcW w:w="183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84410E2">
            <w:pPr>
              <w:autoSpaceDE w:val="0"/>
              <w:autoSpaceDN w:val="0"/>
              <w:spacing w:line="276" w:lineRule="auto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3</w:t>
            </w:r>
            <w:r>
              <w:rPr>
                <w:rFonts w:hint="eastAsia" w:ascii="微软雅黑" w:hAnsi="微软雅黑" w:eastAsia="微软雅黑"/>
                <w:szCs w:val="21"/>
              </w:rPr>
              <w:t>小时内响应</w:t>
            </w:r>
          </w:p>
        </w:tc>
      </w:tr>
      <w:tr w14:paraId="34E3277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7" w:hRule="atLeast"/>
        </w:trPr>
        <w:tc>
          <w:tcPr>
            <w:tcW w:w="9465" w:type="dxa"/>
            <w:gridSpan w:val="5"/>
            <w:tcBorders>
              <w:top w:val="single" w:color="000000" w:sz="12" w:space="0"/>
              <w:left w:val="single" w:color="000000" w:sz="12" w:space="0"/>
              <w:right w:val="single" w:color="000000" w:sz="6" w:space="0"/>
            </w:tcBorders>
            <w:vAlign w:val="center"/>
          </w:tcPr>
          <w:p w14:paraId="4DD578F2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br w:type="page"/>
            </w:r>
            <w:r>
              <w:rPr>
                <w:rFonts w:hint="eastAsia" w:ascii="微软雅黑" w:hAnsi="微软雅黑" w:eastAsia="微软雅黑"/>
                <w:color w:val="000000"/>
                <w:sz w:val="24"/>
                <w:lang w:val="zh-CN"/>
              </w:rPr>
              <w:t>数据维护</w:t>
            </w:r>
          </w:p>
        </w:tc>
      </w:tr>
      <w:tr w14:paraId="07B35EE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7" w:hRule="atLeast"/>
        </w:trPr>
        <w:tc>
          <w:tcPr>
            <w:tcW w:w="885" w:type="dxa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vAlign w:val="center"/>
          </w:tcPr>
          <w:p w14:paraId="1BCFD51D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5</w:t>
            </w:r>
          </w:p>
        </w:tc>
        <w:tc>
          <w:tcPr>
            <w:tcW w:w="1095" w:type="dxa"/>
            <w:tcBorders>
              <w:top w:val="single" w:color="000000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1ECE09">
            <w:pPr>
              <w:autoSpaceDE w:val="0"/>
              <w:autoSpaceDN w:val="0"/>
              <w:jc w:val="left"/>
              <w:textAlignment w:val="bottom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数据恢复</w:t>
            </w:r>
          </w:p>
        </w:tc>
        <w:tc>
          <w:tcPr>
            <w:tcW w:w="367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33ABA70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因甲方操作不当或其它原因导致</w:t>
            </w:r>
            <w:r>
              <w:rPr>
                <w:rFonts w:hint="eastAsia" w:ascii="微软雅黑" w:hAnsi="微软雅黑" w:eastAsia="微软雅黑"/>
                <w:bCs/>
                <w:szCs w:val="21"/>
              </w:rPr>
              <w:t>数据丢失，协助甲方系统维护人员恢复数据。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0C974B3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微信、电话、邮箱、网络远程</w:t>
            </w:r>
          </w:p>
        </w:tc>
        <w:tc>
          <w:tcPr>
            <w:tcW w:w="183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8630E92">
            <w:pPr>
              <w:autoSpaceDE w:val="0"/>
              <w:autoSpaceDN w:val="0"/>
              <w:spacing w:line="276" w:lineRule="auto"/>
              <w:jc w:val="center"/>
              <w:textAlignment w:val="bottom"/>
              <w:rPr>
                <w:rFonts w:hint="eastAsia" w:ascii="微软雅黑" w:hAnsi="微软雅黑" w:eastAsia="微软雅黑"/>
                <w:bCs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3</w:t>
            </w:r>
            <w:r>
              <w:rPr>
                <w:rFonts w:hint="eastAsia" w:ascii="微软雅黑" w:hAnsi="微软雅黑" w:eastAsia="微软雅黑"/>
                <w:szCs w:val="21"/>
              </w:rPr>
              <w:t>小时内响应</w:t>
            </w:r>
          </w:p>
        </w:tc>
      </w:tr>
      <w:tr w14:paraId="6B16602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7" w:hRule="atLeast"/>
        </w:trPr>
        <w:tc>
          <w:tcPr>
            <w:tcW w:w="885" w:type="dxa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vAlign w:val="center"/>
          </w:tcPr>
          <w:p w14:paraId="0AD91554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6</w:t>
            </w:r>
          </w:p>
        </w:tc>
        <w:tc>
          <w:tcPr>
            <w:tcW w:w="1095" w:type="dxa"/>
            <w:tcBorders>
              <w:top w:val="single" w:color="000000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A22EBC">
            <w:pPr>
              <w:autoSpaceDE w:val="0"/>
              <w:autoSpaceDN w:val="0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特殊服务</w:t>
            </w:r>
          </w:p>
        </w:tc>
        <w:tc>
          <w:tcPr>
            <w:tcW w:w="367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D528FD8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  <w:lang w:val="zh-CN"/>
              </w:rPr>
              <w:t>系统灾难发生时，乙方承诺立即响应，减少数据损失，降低灾难对整个系统正常运行的影响。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1FE7C7D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微信、电话、邮箱、网络远程</w:t>
            </w:r>
          </w:p>
        </w:tc>
        <w:tc>
          <w:tcPr>
            <w:tcW w:w="183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8FEEFC3">
            <w:pPr>
              <w:autoSpaceDE w:val="0"/>
              <w:autoSpaceDN w:val="0"/>
              <w:spacing w:line="276" w:lineRule="auto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立即响应</w:t>
            </w:r>
          </w:p>
        </w:tc>
      </w:tr>
      <w:tr w14:paraId="42CC3F0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6" w:hRule="atLeast"/>
        </w:trPr>
        <w:tc>
          <w:tcPr>
            <w:tcW w:w="9465" w:type="dxa"/>
            <w:gridSpan w:val="5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vAlign w:val="center"/>
          </w:tcPr>
          <w:p w14:paraId="193C2C88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  <w:lang w:val="zh-CN"/>
              </w:rPr>
              <w:t>纠错性维护</w:t>
            </w:r>
          </w:p>
        </w:tc>
      </w:tr>
      <w:tr w14:paraId="2ECC22E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7" w:hRule="atLeast"/>
        </w:trPr>
        <w:tc>
          <w:tcPr>
            <w:tcW w:w="885" w:type="dxa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vAlign w:val="center"/>
          </w:tcPr>
          <w:p w14:paraId="6A12DA1E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7</w:t>
            </w:r>
          </w:p>
        </w:tc>
        <w:tc>
          <w:tcPr>
            <w:tcW w:w="1095" w:type="dxa"/>
            <w:tcBorders>
              <w:top w:val="single" w:color="000000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FCE41B">
            <w:pPr>
              <w:autoSpaceDE w:val="0"/>
              <w:autoSpaceDN w:val="0"/>
              <w:textAlignment w:val="bottom"/>
              <w:rPr>
                <w:rFonts w:hint="eastAsia" w:ascii="微软雅黑" w:hAnsi="微软雅黑" w:eastAsia="微软雅黑" w:cs="Arial"/>
                <w:szCs w:val="21"/>
              </w:rPr>
            </w:pPr>
            <w:r>
              <w:rPr>
                <w:rFonts w:hint="eastAsia" w:ascii="微软雅黑" w:hAnsi="微软雅黑" w:eastAsia="微软雅黑" w:cs="Arial"/>
                <w:szCs w:val="21"/>
              </w:rPr>
              <w:t>数据适应功能性调整</w:t>
            </w:r>
          </w:p>
        </w:tc>
        <w:tc>
          <w:tcPr>
            <w:tcW w:w="367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6012651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 w:cs="Arial"/>
                <w:szCs w:val="21"/>
              </w:rPr>
            </w:pPr>
            <w:r>
              <w:rPr>
                <w:rFonts w:hint="eastAsia" w:ascii="微软雅黑" w:hAnsi="微软雅黑" w:eastAsia="微软雅黑" w:cs="Arial"/>
                <w:szCs w:val="21"/>
              </w:rPr>
              <w:t>由于程序修改或增加功能所引起的数据错误的改正；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770121A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微信、电话、邮箱、网络远程</w:t>
            </w:r>
          </w:p>
        </w:tc>
        <w:tc>
          <w:tcPr>
            <w:tcW w:w="183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6F58631">
            <w:pPr>
              <w:autoSpaceDE w:val="0"/>
              <w:autoSpaceDN w:val="0"/>
              <w:spacing w:line="276" w:lineRule="auto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4</w:t>
            </w:r>
            <w:r>
              <w:rPr>
                <w:rFonts w:hint="eastAsia" w:ascii="微软雅黑" w:hAnsi="微软雅黑" w:eastAsia="微软雅黑"/>
                <w:szCs w:val="21"/>
              </w:rPr>
              <w:t>小时内响应</w:t>
            </w:r>
          </w:p>
        </w:tc>
      </w:tr>
      <w:tr w14:paraId="0B9DFF8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7" w:hRule="atLeast"/>
        </w:trPr>
        <w:tc>
          <w:tcPr>
            <w:tcW w:w="885" w:type="dxa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vAlign w:val="center"/>
          </w:tcPr>
          <w:p w14:paraId="31C3A949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8</w:t>
            </w:r>
          </w:p>
        </w:tc>
        <w:tc>
          <w:tcPr>
            <w:tcW w:w="1095" w:type="dxa"/>
            <w:tcBorders>
              <w:top w:val="single" w:color="000000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C80234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数据调整</w:t>
            </w:r>
          </w:p>
        </w:tc>
        <w:tc>
          <w:tcPr>
            <w:tcW w:w="367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7DA2BC0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因甲方操作不当或其它原因造成数据出现部分或全部错误，协助甲方系统维护人员进行数据调整。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91EF162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微信、电话、邮箱、网络远程</w:t>
            </w:r>
          </w:p>
        </w:tc>
        <w:tc>
          <w:tcPr>
            <w:tcW w:w="183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FAD9AD5">
            <w:pPr>
              <w:autoSpaceDE w:val="0"/>
              <w:autoSpaceDN w:val="0"/>
              <w:spacing w:line="276" w:lineRule="auto"/>
              <w:jc w:val="center"/>
              <w:textAlignment w:val="bottom"/>
              <w:rPr>
                <w:rFonts w:hint="eastAsia" w:ascii="微软雅黑" w:hAnsi="微软雅黑" w:eastAsia="微软雅黑"/>
                <w:bCs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2</w:t>
            </w:r>
            <w:r>
              <w:rPr>
                <w:rFonts w:hint="eastAsia" w:ascii="微软雅黑" w:hAnsi="微软雅黑" w:eastAsia="微软雅黑"/>
                <w:szCs w:val="21"/>
              </w:rPr>
              <w:t>小时内响应</w:t>
            </w:r>
          </w:p>
        </w:tc>
      </w:tr>
      <w:tr w14:paraId="35A244E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6" w:hRule="atLeast"/>
        </w:trPr>
        <w:tc>
          <w:tcPr>
            <w:tcW w:w="9465" w:type="dxa"/>
            <w:gridSpan w:val="5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vAlign w:val="center"/>
          </w:tcPr>
          <w:p w14:paraId="1BAB48DE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  <w:lang w:val="zh-CN"/>
              </w:rPr>
              <w:t>功能应用维护</w:t>
            </w:r>
          </w:p>
        </w:tc>
      </w:tr>
      <w:tr w14:paraId="7BD1D9A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7" w:hRule="atLeast"/>
        </w:trPr>
        <w:tc>
          <w:tcPr>
            <w:tcW w:w="885" w:type="dxa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vAlign w:val="center"/>
          </w:tcPr>
          <w:p w14:paraId="21B83FF1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9</w:t>
            </w:r>
          </w:p>
        </w:tc>
        <w:tc>
          <w:tcPr>
            <w:tcW w:w="1095" w:type="dxa"/>
            <w:tcBorders>
              <w:top w:val="single" w:color="000000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42C4AA">
            <w:pPr>
              <w:autoSpaceDE w:val="0"/>
              <w:autoSpaceDN w:val="0"/>
              <w:textAlignment w:val="bottom"/>
              <w:rPr>
                <w:rFonts w:hint="eastAsia"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临时数据统计</w:t>
            </w:r>
          </w:p>
        </w:tc>
        <w:tc>
          <w:tcPr>
            <w:tcW w:w="367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9D7ECAF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 w:cs="Arial"/>
                <w:szCs w:val="21"/>
              </w:rPr>
              <w:t>因采购方工作需要，需要临时提取某些特殊数据的服务；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9E0B0E4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微信、电话、邮箱、网络远程</w:t>
            </w:r>
          </w:p>
        </w:tc>
        <w:tc>
          <w:tcPr>
            <w:tcW w:w="183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0E922A9">
            <w:pPr>
              <w:autoSpaceDE w:val="0"/>
              <w:autoSpaceDN w:val="0"/>
              <w:spacing w:line="276" w:lineRule="auto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2小时内响应</w:t>
            </w:r>
          </w:p>
        </w:tc>
      </w:tr>
      <w:tr w14:paraId="5079D09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7" w:hRule="atLeast"/>
        </w:trPr>
        <w:tc>
          <w:tcPr>
            <w:tcW w:w="885" w:type="dxa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vAlign w:val="center"/>
          </w:tcPr>
          <w:p w14:paraId="69F66460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10</w:t>
            </w:r>
          </w:p>
        </w:tc>
        <w:tc>
          <w:tcPr>
            <w:tcW w:w="1095" w:type="dxa"/>
            <w:tcBorders>
              <w:top w:val="single" w:color="000000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E484F1">
            <w:pPr>
              <w:autoSpaceDE w:val="0"/>
              <w:autoSpaceDN w:val="0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日常维护</w:t>
            </w:r>
          </w:p>
        </w:tc>
        <w:tc>
          <w:tcPr>
            <w:tcW w:w="367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D722461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协助甲方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zh-CN"/>
              </w:rPr>
              <w:t>建立日常维护记录，定期与甲方系统管理人员共同检查系统运行情况，并形成系统维护记录制度和系统管理规范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8B1AAFB">
            <w:pPr>
              <w:autoSpaceDE w:val="0"/>
              <w:autoSpaceDN w:val="0"/>
              <w:spacing w:line="276" w:lineRule="auto"/>
              <w:jc w:val="left"/>
              <w:textAlignment w:val="bottom"/>
              <w:rPr>
                <w:rFonts w:hint="eastAsia"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微信、电话、邮箱、网络远程</w:t>
            </w:r>
          </w:p>
        </w:tc>
        <w:tc>
          <w:tcPr>
            <w:tcW w:w="1830" w:type="dxa"/>
            <w:tcBorders>
              <w:top w:val="single" w:color="000000" w:sz="12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FCFF59A">
            <w:pPr>
              <w:autoSpaceDE w:val="0"/>
              <w:autoSpaceDN w:val="0"/>
              <w:spacing w:line="276" w:lineRule="auto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日常</w:t>
            </w:r>
          </w:p>
        </w:tc>
      </w:tr>
      <w:tr w14:paraId="574314D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7" w:hRule="atLeast"/>
        </w:trPr>
        <w:tc>
          <w:tcPr>
            <w:tcW w:w="9465" w:type="dxa"/>
            <w:gridSpan w:val="5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vAlign w:val="center"/>
          </w:tcPr>
          <w:p w14:paraId="30ACDEE9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br w:type="page"/>
            </w:r>
            <w:r>
              <w:rPr>
                <w:rFonts w:hint="eastAsia" w:ascii="微软雅黑" w:hAnsi="微软雅黑" w:eastAsia="微软雅黑"/>
                <w:color w:val="000000"/>
                <w:sz w:val="24"/>
                <w:lang w:val="zh-CN"/>
              </w:rPr>
              <w:t>培训</w:t>
            </w:r>
          </w:p>
        </w:tc>
      </w:tr>
      <w:tr w14:paraId="7294498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7" w:hRule="atLeast"/>
        </w:trPr>
        <w:tc>
          <w:tcPr>
            <w:tcW w:w="8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auto" w:sz="4" w:space="0"/>
            </w:tcBorders>
            <w:vAlign w:val="center"/>
          </w:tcPr>
          <w:p w14:paraId="06D129F7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11</w:t>
            </w:r>
          </w:p>
        </w:tc>
        <w:tc>
          <w:tcPr>
            <w:tcW w:w="1095" w:type="dxa"/>
            <w:tcBorders>
              <w:top w:val="single" w:color="000000" w:sz="12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vAlign w:val="center"/>
          </w:tcPr>
          <w:p w14:paraId="43F49E12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bCs/>
                <w:szCs w:val="21"/>
              </w:rPr>
              <w:t>维护培训</w:t>
            </w:r>
          </w:p>
        </w:tc>
        <w:tc>
          <w:tcPr>
            <w:tcW w:w="3670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454AF0E6">
            <w:pPr>
              <w:autoSpaceDE w:val="0"/>
              <w:autoSpaceDN w:val="0"/>
              <w:jc w:val="left"/>
              <w:textAlignment w:val="bottom"/>
              <w:rPr>
                <w:rFonts w:hint="eastAsia" w:ascii="微软雅黑" w:hAnsi="微软雅黑" w:eastAsia="微软雅黑" w:cs="Arial"/>
                <w:szCs w:val="21"/>
              </w:rPr>
            </w:pPr>
            <w:r>
              <w:rPr>
                <w:rFonts w:hint="eastAsia" w:ascii="微软雅黑" w:hAnsi="微软雅黑" w:eastAsia="微软雅黑" w:cs="Arial"/>
                <w:szCs w:val="21"/>
              </w:rPr>
              <w:t>对采购方系统管理员进行基本的数据维护培训；</w:t>
            </w:r>
          </w:p>
          <w:p w14:paraId="6D473F5B">
            <w:pPr>
              <w:autoSpaceDE w:val="0"/>
              <w:autoSpaceDN w:val="0"/>
              <w:jc w:val="left"/>
              <w:textAlignment w:val="bottom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因甲方人员离职或岗位调动需要进行培训的系统维护人员。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225BEE46">
            <w:pPr>
              <w:autoSpaceDE w:val="0"/>
              <w:autoSpaceDN w:val="0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远程培训或现场</w:t>
            </w:r>
          </w:p>
        </w:tc>
        <w:tc>
          <w:tcPr>
            <w:tcW w:w="1830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6D22D916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法定工作日预约</w:t>
            </w:r>
          </w:p>
        </w:tc>
      </w:tr>
      <w:tr w14:paraId="634516A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7" w:hRule="atLeast"/>
        </w:trPr>
        <w:tc>
          <w:tcPr>
            <w:tcW w:w="8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auto" w:sz="4" w:space="0"/>
            </w:tcBorders>
            <w:vAlign w:val="center"/>
          </w:tcPr>
          <w:p w14:paraId="475E4F89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12</w:t>
            </w:r>
          </w:p>
        </w:tc>
        <w:tc>
          <w:tcPr>
            <w:tcW w:w="1095" w:type="dxa"/>
            <w:tcBorders>
              <w:top w:val="single" w:color="000000" w:sz="12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vAlign w:val="center"/>
          </w:tcPr>
          <w:p w14:paraId="6C99C132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bCs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热线服务</w:t>
            </w:r>
          </w:p>
        </w:tc>
        <w:tc>
          <w:tcPr>
            <w:tcW w:w="3670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54594566">
            <w:pPr>
              <w:autoSpaceDE w:val="0"/>
              <w:autoSpaceDN w:val="0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提供与软件系统相关的咨询服务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0D3815DC">
            <w:pPr>
              <w:autoSpaceDE w:val="0"/>
              <w:autoSpaceDN w:val="0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微信、电话、邮箱、网络远程</w:t>
            </w:r>
          </w:p>
        </w:tc>
        <w:tc>
          <w:tcPr>
            <w:tcW w:w="1830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5591592B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法定工作日</w:t>
            </w:r>
          </w:p>
        </w:tc>
      </w:tr>
      <w:tr w14:paraId="2575020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7" w:hRule="atLeast"/>
        </w:trPr>
        <w:tc>
          <w:tcPr>
            <w:tcW w:w="88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auto" w:sz="4" w:space="0"/>
            </w:tcBorders>
            <w:vAlign w:val="center"/>
          </w:tcPr>
          <w:p w14:paraId="54A1A1E5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13</w:t>
            </w:r>
          </w:p>
        </w:tc>
        <w:tc>
          <w:tcPr>
            <w:tcW w:w="1095" w:type="dxa"/>
            <w:tcBorders>
              <w:top w:val="single" w:color="000000" w:sz="12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vAlign w:val="center"/>
          </w:tcPr>
          <w:p w14:paraId="002AAB8C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问题解答</w:t>
            </w:r>
          </w:p>
        </w:tc>
        <w:tc>
          <w:tcPr>
            <w:tcW w:w="3670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54CAC382">
            <w:pPr>
              <w:autoSpaceDE w:val="0"/>
              <w:autoSpaceDN w:val="0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  <w:lang w:val="zh-CN"/>
              </w:rPr>
              <w:t>解答管理部门针对系统及数据库疑难问题。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221D6947">
            <w:pPr>
              <w:autoSpaceDE w:val="0"/>
              <w:autoSpaceDN w:val="0"/>
              <w:jc w:val="left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微信、电话、邮箱、网络远程</w:t>
            </w:r>
          </w:p>
        </w:tc>
        <w:tc>
          <w:tcPr>
            <w:tcW w:w="1830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1F45CE1A">
            <w:pPr>
              <w:autoSpaceDE w:val="0"/>
              <w:autoSpaceDN w:val="0"/>
              <w:jc w:val="center"/>
              <w:textAlignment w:val="bottom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法定工作日</w:t>
            </w:r>
          </w:p>
        </w:tc>
      </w:tr>
    </w:tbl>
    <w:p w14:paraId="7EEA430E">
      <w:pPr>
        <w:spacing w:line="360" w:lineRule="auto"/>
        <w:rPr>
          <w:rFonts w:hint="eastAsia" w:ascii="宋体" w:hAnsi="宋体" w:cs="宋体"/>
          <w:sz w:val="24"/>
        </w:rPr>
      </w:pPr>
    </w:p>
    <w:p w14:paraId="531E293A">
      <w:pPr>
        <w:spacing w:line="360" w:lineRule="auto"/>
        <w:rPr>
          <w:rFonts w:hint="eastAsia" w:ascii="宋体" w:hAnsi="宋体" w:cs="宋体"/>
          <w:sz w:val="24"/>
        </w:rPr>
      </w:pPr>
    </w:p>
    <w:p w14:paraId="5B703B65"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</w:p>
    <w:p w14:paraId="3B0EEF77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七、评分细则</w:t>
      </w:r>
    </w:p>
    <w:p w14:paraId="70C233C7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1、技术分的评定（70分)（权值70%）</w:t>
      </w:r>
    </w:p>
    <w:p w14:paraId="08BF1913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各评委成员按下列评分项目进行评判，每人一张评分计算票，并记名。投标文件各项评分内容由</w:t>
      </w:r>
      <w:r>
        <w:rPr>
          <w:rFonts w:hint="eastAsia" w:ascii="宋体" w:hAnsi="宋体" w:cs="宋体"/>
          <w:sz w:val="24"/>
          <w:lang w:eastAsia="zh-CN"/>
        </w:rPr>
        <w:t>评审小组</w:t>
      </w:r>
      <w:r>
        <w:rPr>
          <w:rFonts w:hint="eastAsia" w:ascii="宋体" w:hAnsi="宋体" w:cs="宋体"/>
          <w:sz w:val="24"/>
        </w:rPr>
        <w:t>成员各自评分，如某张票的一个因素项目超过规定的范围，则该张票无效。各</w:t>
      </w:r>
      <w:r>
        <w:rPr>
          <w:rFonts w:hint="eastAsia" w:ascii="宋体" w:hAnsi="宋体" w:cs="宋体"/>
          <w:sz w:val="24"/>
          <w:lang w:eastAsia="zh-CN"/>
        </w:rPr>
        <w:t>评审小组</w:t>
      </w:r>
      <w:r>
        <w:rPr>
          <w:rFonts w:hint="eastAsia" w:ascii="宋体" w:hAnsi="宋体" w:cs="宋体"/>
          <w:sz w:val="24"/>
        </w:rPr>
        <w:t>成员对各</w:t>
      </w:r>
      <w:r>
        <w:rPr>
          <w:rFonts w:hint="eastAsia" w:ascii="宋体" w:hAnsi="宋体" w:cs="宋体"/>
          <w:sz w:val="24"/>
          <w:lang w:eastAsia="zh-CN"/>
        </w:rPr>
        <w:t>参选人</w:t>
      </w:r>
      <w:r>
        <w:rPr>
          <w:rFonts w:hint="eastAsia" w:ascii="宋体" w:hAnsi="宋体" w:cs="宋体"/>
          <w:sz w:val="24"/>
        </w:rPr>
        <w:t>的各项评分内容评分的算术平均值为各</w:t>
      </w:r>
      <w:r>
        <w:rPr>
          <w:rFonts w:hint="eastAsia" w:ascii="宋体" w:hAnsi="宋体" w:cs="宋体"/>
          <w:sz w:val="24"/>
          <w:lang w:eastAsia="zh-CN"/>
        </w:rPr>
        <w:t>参选人</w:t>
      </w:r>
      <w:r>
        <w:rPr>
          <w:rFonts w:hint="eastAsia" w:ascii="宋体" w:hAnsi="宋体" w:cs="宋体"/>
          <w:sz w:val="24"/>
        </w:rPr>
        <w:t>技术分得分（小数点后按四舍五入保留2位）。</w:t>
      </w:r>
    </w:p>
    <w:p w14:paraId="41BF590E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2、商务标（报价）30分（权值30%）</w:t>
      </w:r>
    </w:p>
    <w:p w14:paraId="11E32235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满足招标文件要求且报价最低的报价为评审基准价，其余</w:t>
      </w:r>
      <w:r>
        <w:rPr>
          <w:rFonts w:hint="eastAsia" w:ascii="宋体" w:hAnsi="宋体" w:cs="宋体"/>
          <w:sz w:val="24"/>
          <w:lang w:eastAsia="zh-CN"/>
        </w:rPr>
        <w:t>参选人</w:t>
      </w:r>
      <w:r>
        <w:rPr>
          <w:rFonts w:hint="eastAsia" w:ascii="宋体" w:hAnsi="宋体" w:cs="宋体"/>
          <w:sz w:val="24"/>
        </w:rPr>
        <w:t>报价与该基准价对比，计算出商务报价评分值（保留小数2位）：</w:t>
      </w:r>
    </w:p>
    <w:p w14:paraId="3D0C1D07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1）有效</w:t>
      </w:r>
      <w:r>
        <w:rPr>
          <w:rFonts w:hint="eastAsia" w:ascii="宋体" w:hAnsi="宋体" w:cs="宋体"/>
          <w:sz w:val="24"/>
          <w:lang w:eastAsia="zh-CN"/>
        </w:rPr>
        <w:t>参选人</w:t>
      </w:r>
      <w:r>
        <w:rPr>
          <w:rFonts w:hint="eastAsia" w:ascii="宋体" w:hAnsi="宋体" w:cs="宋体"/>
          <w:sz w:val="24"/>
        </w:rPr>
        <w:t>的报价等于评审基准价时其报价分为满分30分；</w:t>
      </w:r>
    </w:p>
    <w:p w14:paraId="627845C7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2）其他</w:t>
      </w:r>
      <w:r>
        <w:rPr>
          <w:rFonts w:hint="eastAsia" w:ascii="宋体" w:hAnsi="宋体" w:cs="宋体"/>
          <w:sz w:val="24"/>
          <w:lang w:eastAsia="zh-CN"/>
        </w:rPr>
        <w:t>参选人</w:t>
      </w:r>
      <w:r>
        <w:rPr>
          <w:rFonts w:hint="eastAsia" w:ascii="宋体" w:hAnsi="宋体" w:cs="宋体"/>
          <w:sz w:val="24"/>
        </w:rPr>
        <w:t>的价格分按以下公式计算：</w:t>
      </w:r>
    </w:p>
    <w:p w14:paraId="244D00A9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报价得分=（</w:t>
      </w:r>
      <w:r>
        <w:rPr>
          <w:rFonts w:hint="eastAsia" w:ascii="宋体" w:hAnsi="宋体" w:cs="宋体"/>
          <w:sz w:val="24"/>
          <w:lang w:eastAsia="zh-CN"/>
        </w:rPr>
        <w:t>评审基准价</w:t>
      </w:r>
      <w:r>
        <w:rPr>
          <w:rFonts w:hint="eastAsia" w:ascii="宋体" w:hAnsi="宋体" w:cs="宋体"/>
          <w:sz w:val="24"/>
        </w:rPr>
        <w:t>/</w:t>
      </w:r>
      <w:r>
        <w:rPr>
          <w:rFonts w:hint="eastAsia" w:ascii="宋体" w:hAnsi="宋体" w:cs="宋体"/>
          <w:sz w:val="24"/>
          <w:lang w:eastAsia="zh-CN"/>
        </w:rPr>
        <w:t>参选人</w:t>
      </w:r>
      <w:r>
        <w:rPr>
          <w:rFonts w:hint="eastAsia" w:ascii="宋体" w:hAnsi="宋体" w:cs="宋体"/>
          <w:sz w:val="24"/>
        </w:rPr>
        <w:t>投标报价）× 价格权值 ×100（保留小数2位）</w:t>
      </w:r>
    </w:p>
    <w:p w14:paraId="51C849B8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3、有效</w:t>
      </w:r>
      <w:r>
        <w:rPr>
          <w:rFonts w:hint="eastAsia" w:ascii="宋体" w:hAnsi="宋体" w:cs="宋体"/>
          <w:sz w:val="24"/>
          <w:lang w:eastAsia="zh-CN"/>
        </w:rPr>
        <w:t>参选人</w:t>
      </w:r>
      <w:r>
        <w:rPr>
          <w:rFonts w:hint="eastAsia" w:ascii="宋体" w:hAnsi="宋体" w:cs="宋体"/>
          <w:sz w:val="24"/>
        </w:rPr>
        <w:t>的综合得分为技术分和商务（报价）分的总和。</w:t>
      </w:r>
    </w:p>
    <w:p w14:paraId="4B1590C5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评审小组</w:t>
      </w:r>
      <w:r>
        <w:rPr>
          <w:rFonts w:hint="eastAsia" w:ascii="宋体" w:hAnsi="宋体" w:cs="宋体"/>
          <w:sz w:val="24"/>
        </w:rPr>
        <w:t>认为</w:t>
      </w:r>
      <w:r>
        <w:rPr>
          <w:rFonts w:hint="eastAsia" w:ascii="宋体" w:hAnsi="宋体" w:cs="宋体"/>
          <w:sz w:val="24"/>
          <w:lang w:eastAsia="zh-CN"/>
        </w:rPr>
        <w:t>参选人</w:t>
      </w:r>
      <w:r>
        <w:rPr>
          <w:rFonts w:hint="eastAsia" w:ascii="宋体" w:hAnsi="宋体" w:cs="宋体"/>
          <w:sz w:val="24"/>
        </w:rPr>
        <w:t>的报价明显低于其他通过符合性审查</w:t>
      </w:r>
      <w:r>
        <w:rPr>
          <w:rFonts w:hint="eastAsia" w:ascii="宋体" w:hAnsi="宋体" w:cs="宋体"/>
          <w:sz w:val="24"/>
          <w:lang w:eastAsia="zh-CN"/>
        </w:rPr>
        <w:t>参选人</w:t>
      </w:r>
      <w:r>
        <w:rPr>
          <w:rFonts w:hint="eastAsia" w:ascii="宋体" w:hAnsi="宋体" w:cs="宋体"/>
          <w:sz w:val="24"/>
        </w:rPr>
        <w:t>的报价，有可能影响产品质量或者不能诚信履约的，应当要求其在评标现场合理的时间内提供书面说明，必要时提交相关证明材料；</w:t>
      </w:r>
      <w:r>
        <w:rPr>
          <w:rFonts w:hint="eastAsia" w:ascii="宋体" w:hAnsi="宋体" w:cs="宋体"/>
          <w:sz w:val="24"/>
          <w:lang w:eastAsia="zh-CN"/>
        </w:rPr>
        <w:t>参选人</w:t>
      </w:r>
      <w:r>
        <w:rPr>
          <w:rFonts w:hint="eastAsia" w:ascii="宋体" w:hAnsi="宋体" w:cs="宋体"/>
          <w:sz w:val="24"/>
        </w:rPr>
        <w:t>不能证明其报价合理性的，</w:t>
      </w:r>
      <w:r>
        <w:rPr>
          <w:rFonts w:hint="eastAsia" w:ascii="宋体" w:hAnsi="宋体" w:cs="宋体"/>
          <w:sz w:val="24"/>
          <w:lang w:eastAsia="zh-CN"/>
        </w:rPr>
        <w:t>评审小组</w:t>
      </w:r>
      <w:r>
        <w:rPr>
          <w:rFonts w:hint="eastAsia" w:ascii="宋体" w:hAnsi="宋体" w:cs="宋体"/>
          <w:sz w:val="24"/>
        </w:rPr>
        <w:t>应当将其作为无效投标处理。</w:t>
      </w:r>
    </w:p>
    <w:p w14:paraId="057FC4B7">
      <w:pPr>
        <w:pStyle w:val="4"/>
      </w:pPr>
    </w:p>
    <w:p w14:paraId="000DE30D"/>
    <w:p w14:paraId="652B0A94">
      <w:pPr>
        <w:pStyle w:val="4"/>
      </w:pPr>
    </w:p>
    <w:p w14:paraId="72007E6B"/>
    <w:p w14:paraId="400BD963">
      <w:pPr>
        <w:pStyle w:val="2"/>
        <w:pageBreakBefore/>
        <w:rPr>
          <w:sz w:val="28"/>
          <w:szCs w:val="28"/>
        </w:rPr>
      </w:pPr>
      <w:r>
        <w:rPr>
          <w:rFonts w:hint="eastAsia"/>
          <w:sz w:val="28"/>
          <w:szCs w:val="28"/>
        </w:rPr>
        <w:t>八、附件</w:t>
      </w:r>
    </w:p>
    <w:p w14:paraId="42F99AF0">
      <w:pPr>
        <w:spacing w:line="360" w:lineRule="auto"/>
        <w:rPr>
          <w:rFonts w:hint="eastAsia" w:ascii="宋体" w:hAnsi="宋体"/>
          <w:b/>
          <w:sz w:val="22"/>
          <w:szCs w:val="22"/>
        </w:rPr>
      </w:pPr>
      <w:r>
        <w:rPr>
          <w:rFonts w:hint="eastAsia" w:ascii="宋体" w:hAnsi="宋体"/>
          <w:b/>
          <w:sz w:val="22"/>
          <w:szCs w:val="22"/>
        </w:rPr>
        <w:t>1、技术评分：满分70分</w:t>
      </w:r>
    </w:p>
    <w:tbl>
      <w:tblPr>
        <w:tblStyle w:val="13"/>
        <w:tblW w:w="9690" w:type="dxa"/>
        <w:tblInd w:w="-1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55"/>
        <w:gridCol w:w="930"/>
        <w:gridCol w:w="6585"/>
      </w:tblGrid>
      <w:tr w14:paraId="3A5AF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F0F96CF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cs="微软雅黑"/>
                <w:b/>
                <w:bCs/>
                <w:szCs w:val="21"/>
              </w:rPr>
              <w:t>序</w:t>
            </w:r>
            <w:r>
              <w:rPr>
                <w:b/>
                <w:bCs/>
                <w:szCs w:val="21"/>
              </w:rPr>
              <w:t>号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DCAD69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评审内容</w:t>
            </w:r>
          </w:p>
        </w:tc>
        <w:tc>
          <w:tcPr>
            <w:tcW w:w="9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6A423A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分值</w:t>
            </w:r>
          </w:p>
        </w:tc>
        <w:tc>
          <w:tcPr>
            <w:tcW w:w="6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3258C9D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评分标准</w:t>
            </w:r>
          </w:p>
        </w:tc>
      </w:tr>
      <w:tr w14:paraId="6F9DB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BE47A3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46742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技术指标要求</w:t>
            </w:r>
          </w:p>
        </w:tc>
        <w:tc>
          <w:tcPr>
            <w:tcW w:w="9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1FF44EA">
            <w:pPr>
              <w:spacing w:line="360" w:lineRule="auto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6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76FD2A6">
            <w:pPr>
              <w:spacing w:line="288" w:lineRule="auto"/>
              <w:jc w:val="left"/>
              <w:rPr>
                <w:szCs w:val="21"/>
              </w:rPr>
            </w:pPr>
            <w:r>
              <w:rPr>
                <w:szCs w:val="21"/>
                <w:lang w:val="zh-CN"/>
              </w:rPr>
              <w:t>根据招标产品项目总体建设要求、系统主要功能需求与技术参数要求，填写完整“技术需求偏离表”，投标产品指标满足或高于要求得满分。指标中响应不完全每项扣2分，扣完为止。</w:t>
            </w:r>
          </w:p>
        </w:tc>
      </w:tr>
      <w:tr w14:paraId="48612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BD5C34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F39A2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b/>
                <w:szCs w:val="21"/>
              </w:rPr>
              <w:t>企业资质</w:t>
            </w:r>
          </w:p>
        </w:tc>
        <w:tc>
          <w:tcPr>
            <w:tcW w:w="9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A6F848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6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AEB23DF">
            <w:pPr>
              <w:spacing w:line="276" w:lineRule="auto"/>
              <w:ind w:right="105" w:rightChars="50"/>
              <w:jc w:val="left"/>
              <w:rPr>
                <w:rFonts w:hint="eastAsia" w:ascii="宋体" w:hAnsi="宋体"/>
                <w:szCs w:val="21"/>
                <w:lang w:val="zh-CN"/>
              </w:rPr>
            </w:pPr>
            <w:r>
              <w:rPr>
                <w:rFonts w:hint="eastAsia"/>
                <w:color w:val="000000"/>
                <w:szCs w:val="21"/>
              </w:rPr>
              <w:t>有质量管理体系认证（ISO9001）</w:t>
            </w:r>
            <w:r>
              <w:rPr>
                <w:rFonts w:hint="eastAsia" w:ascii="宋体" w:hAnsi="宋体"/>
                <w:szCs w:val="21"/>
                <w:lang w:val="zh-CN"/>
              </w:rPr>
              <w:t>，</w:t>
            </w:r>
            <w:r>
              <w:rPr>
                <w:rFonts w:ascii="宋体" w:hAnsi="宋体"/>
                <w:szCs w:val="21"/>
                <w:lang w:val="zh-CN"/>
              </w:rPr>
              <w:t>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szCs w:val="21"/>
                <w:lang w:val="zh-CN"/>
              </w:rPr>
              <w:t>分。</w:t>
            </w:r>
          </w:p>
          <w:p w14:paraId="5B3CE49D">
            <w:pPr>
              <w:spacing w:line="276" w:lineRule="auto"/>
              <w:ind w:right="105" w:rightChars="50"/>
              <w:jc w:val="left"/>
              <w:rPr>
                <w:rFonts w:hint="eastAsia" w:ascii="宋体" w:hAnsi="宋体"/>
                <w:szCs w:val="21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有</w:t>
            </w:r>
            <w:r>
              <w:rPr>
                <w:rFonts w:hint="eastAsia"/>
                <w:color w:val="000000"/>
                <w:szCs w:val="21"/>
              </w:rPr>
              <w:t>信息技术服务管理体系认证证书（ISO20000）</w:t>
            </w:r>
            <w:r>
              <w:rPr>
                <w:rFonts w:hint="eastAsia" w:ascii="宋体" w:hAnsi="宋体"/>
                <w:szCs w:val="21"/>
                <w:lang w:val="zh-CN"/>
              </w:rPr>
              <w:t>，</w:t>
            </w:r>
            <w:r>
              <w:rPr>
                <w:rFonts w:ascii="宋体" w:hAnsi="宋体"/>
                <w:szCs w:val="21"/>
                <w:lang w:val="zh-CN"/>
              </w:rPr>
              <w:t>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szCs w:val="21"/>
                <w:lang w:val="zh-CN"/>
              </w:rPr>
              <w:t>分。</w:t>
            </w:r>
          </w:p>
          <w:p w14:paraId="2FB3CA75">
            <w:pPr>
              <w:spacing w:line="276" w:lineRule="auto"/>
              <w:ind w:right="105" w:rightChars="50"/>
              <w:jc w:val="left"/>
              <w:rPr>
                <w:rFonts w:hint="eastAsia" w:ascii="宋体" w:hAnsi="宋体"/>
                <w:szCs w:val="21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有</w:t>
            </w:r>
            <w:r>
              <w:rPr>
                <w:rFonts w:hint="eastAsia"/>
                <w:color w:val="000000"/>
                <w:szCs w:val="21"/>
              </w:rPr>
              <w:t>信息安全管理体系认证证书（ISO27001）</w:t>
            </w:r>
            <w:r>
              <w:rPr>
                <w:rFonts w:hint="eastAsia" w:ascii="宋体" w:hAnsi="宋体"/>
                <w:szCs w:val="21"/>
                <w:lang w:val="zh-CN"/>
              </w:rPr>
              <w:t>，</w:t>
            </w:r>
            <w:r>
              <w:rPr>
                <w:rFonts w:ascii="宋体" w:hAnsi="宋体"/>
                <w:szCs w:val="21"/>
                <w:lang w:val="zh-CN"/>
              </w:rPr>
              <w:t>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szCs w:val="21"/>
                <w:lang w:val="zh-CN"/>
              </w:rPr>
              <w:t>分。</w:t>
            </w:r>
          </w:p>
          <w:p w14:paraId="66158E17">
            <w:pPr>
              <w:spacing w:line="276" w:lineRule="auto"/>
              <w:ind w:right="105" w:rightChars="50"/>
              <w:jc w:val="left"/>
              <w:rPr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szCs w:val="21"/>
                <w:lang w:val="zh-CN"/>
              </w:rPr>
              <w:t>注</w:t>
            </w:r>
            <w:r>
              <w:rPr>
                <w:rFonts w:ascii="宋体" w:hAnsi="宋体"/>
                <w:b/>
                <w:szCs w:val="21"/>
                <w:lang w:val="zh-CN"/>
              </w:rPr>
              <w:t>：须提供证书</w:t>
            </w:r>
            <w:r>
              <w:rPr>
                <w:rFonts w:hint="eastAsia" w:ascii="宋体" w:hAnsi="宋体"/>
                <w:b/>
                <w:szCs w:val="21"/>
              </w:rPr>
              <w:t>清晰复印件并加盖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参选人</w:t>
            </w:r>
            <w:r>
              <w:rPr>
                <w:rFonts w:hint="eastAsia" w:ascii="宋体" w:hAnsi="宋体"/>
                <w:b/>
                <w:szCs w:val="21"/>
              </w:rPr>
              <w:t>公章</w:t>
            </w:r>
            <w:r>
              <w:rPr>
                <w:rFonts w:ascii="宋体" w:hAnsi="宋体"/>
                <w:b/>
                <w:szCs w:val="21"/>
                <w:lang w:val="zh-CN"/>
              </w:rPr>
              <w:t>，否则不得分。</w:t>
            </w:r>
          </w:p>
        </w:tc>
      </w:tr>
      <w:tr w14:paraId="70EF4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FB2652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760F6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b/>
                <w:szCs w:val="21"/>
              </w:rPr>
              <w:t>软件资质</w:t>
            </w:r>
          </w:p>
        </w:tc>
        <w:tc>
          <w:tcPr>
            <w:tcW w:w="9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A3D8216">
            <w:pPr>
              <w:spacing w:line="360" w:lineRule="auto"/>
              <w:jc w:val="center"/>
              <w:rPr>
                <w:rFonts w:hint="eastAsia" w:eastAsia="等线"/>
                <w:szCs w:val="21"/>
                <w:lang w:eastAsia="zh-CN"/>
              </w:rPr>
            </w:pPr>
            <w:r>
              <w:rPr>
                <w:rFonts w:hint="eastAsia" w:eastAsia="等线"/>
                <w:szCs w:val="21"/>
                <w:lang w:val="en-US" w:eastAsia="zh-CN"/>
              </w:rPr>
              <w:t>6</w:t>
            </w:r>
          </w:p>
        </w:tc>
        <w:tc>
          <w:tcPr>
            <w:tcW w:w="6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67E798B">
            <w:pPr>
              <w:spacing w:line="276" w:lineRule="auto"/>
              <w:ind w:right="105" w:rightChars="50"/>
              <w:jc w:val="left"/>
              <w:rPr>
                <w:szCs w:val="21"/>
                <w:lang w:val="en-GB"/>
              </w:rPr>
            </w:pPr>
            <w:r>
              <w:rPr>
                <w:rFonts w:hint="eastAsia"/>
                <w:szCs w:val="21"/>
              </w:rPr>
              <w:t>投标</w:t>
            </w:r>
            <w:r>
              <w:rPr>
                <w:szCs w:val="21"/>
                <w:lang w:val="en-GB"/>
              </w:rPr>
              <w:t>单位能提供本项目相关自主知识产权，具备</w:t>
            </w:r>
            <w:r>
              <w:rPr>
                <w:rFonts w:hint="eastAsia"/>
                <w:szCs w:val="21"/>
                <w:lang w:val="en-US" w:eastAsia="zh-CN"/>
              </w:rPr>
              <w:t>透析</w:t>
            </w:r>
            <w:r>
              <w:rPr>
                <w:szCs w:val="21"/>
                <w:lang w:val="en-GB"/>
              </w:rPr>
              <w:t>相关产品著作权（著作权人须为</w:t>
            </w:r>
            <w:r>
              <w:rPr>
                <w:rFonts w:hint="eastAsia"/>
                <w:szCs w:val="21"/>
              </w:rPr>
              <w:t>投标</w:t>
            </w:r>
            <w:r>
              <w:rPr>
                <w:szCs w:val="21"/>
                <w:lang w:val="en-GB"/>
              </w:rPr>
              <w:t>单位），每提供一个证书得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  <w:lang w:val="en-GB"/>
              </w:rPr>
              <w:t>分，满分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szCs w:val="21"/>
                <w:lang w:val="en-GB"/>
              </w:rPr>
              <w:t>分。</w:t>
            </w:r>
          </w:p>
          <w:p w14:paraId="5C22E81E">
            <w:pPr>
              <w:spacing w:line="288" w:lineRule="auto"/>
              <w:jc w:val="left"/>
              <w:rPr>
                <w:szCs w:val="21"/>
                <w:lang w:val="zh-CN"/>
              </w:rPr>
            </w:pPr>
            <w:r>
              <w:rPr>
                <w:b/>
                <w:szCs w:val="21"/>
                <w:lang w:val="en-GB"/>
              </w:rPr>
              <w:t>注：须提供证书</w:t>
            </w:r>
            <w:r>
              <w:rPr>
                <w:rFonts w:hint="eastAsia" w:ascii="宋体" w:hAnsi="宋体"/>
                <w:b/>
                <w:szCs w:val="21"/>
              </w:rPr>
              <w:t>清晰复印件并加盖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参选人</w:t>
            </w:r>
            <w:r>
              <w:rPr>
                <w:rFonts w:hint="eastAsia" w:ascii="宋体" w:hAnsi="宋体"/>
                <w:b/>
                <w:szCs w:val="21"/>
              </w:rPr>
              <w:t>公章</w:t>
            </w:r>
            <w:r>
              <w:rPr>
                <w:b/>
                <w:szCs w:val="21"/>
                <w:lang w:val="en-GB"/>
              </w:rPr>
              <w:t>，证书颁发日期在本项目采购文件发布日期前1个月，并体现名称关键字眼认定有效（原件备查）。</w:t>
            </w:r>
          </w:p>
        </w:tc>
      </w:tr>
      <w:tr w14:paraId="06534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9621E9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DBEE1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b/>
                <w:szCs w:val="21"/>
              </w:rPr>
              <w:t>需求理解</w:t>
            </w:r>
          </w:p>
        </w:tc>
        <w:tc>
          <w:tcPr>
            <w:tcW w:w="9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8751004">
            <w:pPr>
              <w:spacing w:line="360" w:lineRule="auto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6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0BE773">
            <w:pPr>
              <w:spacing w:line="276" w:lineRule="auto"/>
              <w:ind w:right="105" w:rightChars="50"/>
              <w:jc w:val="left"/>
              <w:rPr>
                <w:szCs w:val="21"/>
                <w:lang w:val="en-GB"/>
              </w:rPr>
            </w:pPr>
            <w:r>
              <w:rPr>
                <w:szCs w:val="21"/>
                <w:lang w:val="en-GB"/>
              </w:rPr>
              <w:t>根据响应单位对采购单位现状和需求的理解和把握、对系统设计目标是否有清晰的描述，对本项目的重点难点分析及优化建议等进行综合评审。</w:t>
            </w:r>
          </w:p>
          <w:p w14:paraId="1EA43291">
            <w:pPr>
              <w:spacing w:line="288" w:lineRule="auto"/>
              <w:jc w:val="left"/>
              <w:rPr>
                <w:szCs w:val="21"/>
              </w:rPr>
            </w:pPr>
            <w:r>
              <w:rPr>
                <w:b/>
                <w:szCs w:val="21"/>
                <w:lang w:val="en-GB"/>
              </w:rPr>
              <w:t>评分标准：</w:t>
            </w:r>
            <w:r>
              <w:rPr>
                <w:bCs/>
                <w:szCs w:val="21"/>
                <w:lang w:val="en-GB"/>
              </w:rPr>
              <w:t>对项目理解全面、分析透彻，能提出有针对性的建议和方案且可行性强的，得</w:t>
            </w:r>
            <w:r>
              <w:rPr>
                <w:rFonts w:hint="eastAsia"/>
                <w:bCs/>
                <w:szCs w:val="21"/>
                <w:lang w:val="en-US" w:eastAsia="zh-CN"/>
              </w:rPr>
              <w:t>6、7、8</w:t>
            </w:r>
            <w:r>
              <w:rPr>
                <w:bCs/>
                <w:szCs w:val="21"/>
                <w:lang w:val="en-GB"/>
              </w:rPr>
              <w:t>分；对项目有一定程度的理解、建议和方案有大致条理，但针对性不强的，得3</w:t>
            </w:r>
            <w:r>
              <w:rPr>
                <w:rFonts w:hint="eastAsia"/>
                <w:bCs/>
                <w:szCs w:val="21"/>
                <w:lang w:val="en-GB" w:eastAsia="zh-CN"/>
              </w:rPr>
              <w:t>、</w:t>
            </w:r>
            <w:r>
              <w:rPr>
                <w:rFonts w:hint="eastAsia"/>
                <w:bCs/>
                <w:szCs w:val="21"/>
                <w:lang w:val="en-US" w:eastAsia="zh-CN"/>
              </w:rPr>
              <w:t>4、5</w:t>
            </w:r>
            <w:r>
              <w:rPr>
                <w:bCs/>
                <w:szCs w:val="21"/>
                <w:lang w:val="en-GB"/>
              </w:rPr>
              <w:t>分；对项目理解有偏差，针对性不强且落地困难的，得</w:t>
            </w:r>
            <w:r>
              <w:rPr>
                <w:rFonts w:hint="eastAsia"/>
                <w:bCs/>
                <w:szCs w:val="21"/>
                <w:lang w:val="en-US" w:eastAsia="zh-CN"/>
              </w:rPr>
              <w:t>0、</w:t>
            </w:r>
            <w:r>
              <w:rPr>
                <w:rFonts w:hint="eastAsia"/>
                <w:bCs/>
                <w:szCs w:val="21"/>
              </w:rPr>
              <w:t>1</w:t>
            </w:r>
            <w:r>
              <w:rPr>
                <w:rFonts w:hint="eastAsia"/>
                <w:bCs/>
                <w:szCs w:val="21"/>
                <w:lang w:eastAsia="zh-CN"/>
              </w:rPr>
              <w:t>、</w:t>
            </w:r>
            <w:r>
              <w:rPr>
                <w:rFonts w:hint="eastAsia"/>
                <w:bCs/>
                <w:szCs w:val="21"/>
                <w:lang w:val="en-US" w:eastAsia="zh-CN"/>
              </w:rPr>
              <w:t>2</w:t>
            </w:r>
            <w:r>
              <w:rPr>
                <w:bCs/>
                <w:szCs w:val="21"/>
                <w:lang w:val="en-GB"/>
              </w:rPr>
              <w:t>分。</w:t>
            </w:r>
            <w:r>
              <w:rPr>
                <w:rFonts w:hint="eastAsia"/>
                <w:bCs/>
                <w:szCs w:val="21"/>
              </w:rPr>
              <w:t>本项未提及的不得分。</w:t>
            </w:r>
          </w:p>
        </w:tc>
      </w:tr>
      <w:tr w14:paraId="545F9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3CBAFBE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90DB07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服务方案</w:t>
            </w:r>
          </w:p>
        </w:tc>
        <w:tc>
          <w:tcPr>
            <w:tcW w:w="9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3BB55A4">
            <w:pPr>
              <w:spacing w:line="360" w:lineRule="auto"/>
              <w:jc w:val="center"/>
              <w:rPr>
                <w:rFonts w:hint="eastAsia" w:eastAsia="宋体"/>
                <w:b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6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2EADE2D">
            <w:pPr>
              <w:spacing w:line="276" w:lineRule="auto"/>
              <w:ind w:right="105" w:rightChars="50"/>
              <w:jc w:val="left"/>
              <w:rPr>
                <w:rFonts w:cs="宋体"/>
                <w:color w:val="000000"/>
                <w:szCs w:val="21"/>
              </w:rPr>
            </w:pPr>
            <w:r>
              <w:rPr>
                <w:rFonts w:cs="宋体"/>
                <w:color w:val="000000"/>
                <w:szCs w:val="21"/>
              </w:rPr>
              <w:t>根据响应单位提供的运维服务方案，包括但不限于售后技术力量，售后服务内容与计划、故障的响应时间修复时间等运维服务相关承诺进行综合评审。</w:t>
            </w:r>
          </w:p>
          <w:p w14:paraId="6D9CF3F7">
            <w:pPr>
              <w:spacing w:line="288" w:lineRule="auto"/>
              <w:jc w:val="left"/>
              <w:rPr>
                <w:szCs w:val="21"/>
                <w:lang w:val="zh-CN"/>
              </w:rPr>
            </w:pPr>
            <w:r>
              <w:rPr>
                <w:rFonts w:cs="宋体"/>
                <w:b/>
                <w:szCs w:val="21"/>
              </w:rPr>
              <w:t>评分标准：</w:t>
            </w:r>
            <w:r>
              <w:rPr>
                <w:rFonts w:cs="宋体"/>
                <w:szCs w:val="21"/>
              </w:rPr>
              <w:t>服务方案完整，服务体系完备、维护人员充足，且服务方案针对性强，响应时间短、措施合理；提供了优于采购需求且具备可行性的特色服务的得</w:t>
            </w:r>
            <w:r>
              <w:rPr>
                <w:rFonts w:hint="eastAsia" w:cs="宋体"/>
                <w:szCs w:val="21"/>
                <w:lang w:val="en-US" w:eastAsia="zh-CN"/>
              </w:rPr>
              <w:t>6、7、8</w:t>
            </w:r>
            <w:r>
              <w:rPr>
                <w:rFonts w:cs="宋体"/>
                <w:szCs w:val="21"/>
              </w:rPr>
              <w:t>分；售后服务方案能够满足项目基本需要，具备一定的维护力量，质保期限和响应时间基本满足需求的得</w:t>
            </w:r>
            <w:r>
              <w:rPr>
                <w:rFonts w:hint="eastAsia" w:cs="宋体"/>
                <w:szCs w:val="21"/>
              </w:rPr>
              <w:t>3</w:t>
            </w:r>
            <w:r>
              <w:rPr>
                <w:rFonts w:hint="eastAsia" w:cs="宋体"/>
                <w:szCs w:val="21"/>
                <w:lang w:eastAsia="zh-CN"/>
              </w:rPr>
              <w:t>、</w:t>
            </w:r>
            <w:r>
              <w:rPr>
                <w:rFonts w:hint="eastAsia" w:cs="宋体"/>
                <w:szCs w:val="21"/>
                <w:lang w:val="en-US" w:eastAsia="zh-CN"/>
              </w:rPr>
              <w:t>4、5</w:t>
            </w:r>
            <w:r>
              <w:rPr>
                <w:rFonts w:cs="宋体"/>
                <w:szCs w:val="21"/>
              </w:rPr>
              <w:t>分；售后服务体系不完整，维护力量薄弱，服务响应速度慢的得</w:t>
            </w:r>
            <w:r>
              <w:rPr>
                <w:rFonts w:hint="eastAsia" w:cs="宋体"/>
                <w:szCs w:val="21"/>
                <w:lang w:val="en-US" w:eastAsia="zh-CN"/>
              </w:rPr>
              <w:t>0、</w:t>
            </w:r>
            <w:r>
              <w:rPr>
                <w:rFonts w:hint="eastAsia" w:cs="宋体"/>
                <w:szCs w:val="21"/>
              </w:rPr>
              <w:t>1</w:t>
            </w:r>
            <w:r>
              <w:rPr>
                <w:rFonts w:hint="eastAsia" w:cs="宋体"/>
                <w:szCs w:val="21"/>
                <w:lang w:eastAsia="zh-CN"/>
              </w:rPr>
              <w:t>、</w:t>
            </w:r>
            <w:r>
              <w:rPr>
                <w:rFonts w:hint="eastAsia" w:cs="宋体"/>
                <w:szCs w:val="21"/>
                <w:lang w:val="en-US" w:eastAsia="zh-CN"/>
              </w:rPr>
              <w:t>2</w:t>
            </w:r>
            <w:r>
              <w:rPr>
                <w:rFonts w:cs="宋体"/>
                <w:szCs w:val="21"/>
              </w:rPr>
              <w:t>分。</w:t>
            </w:r>
            <w:r>
              <w:rPr>
                <w:rFonts w:hint="eastAsia"/>
                <w:bCs/>
                <w:szCs w:val="21"/>
              </w:rPr>
              <w:t>本项未提及的不得分。</w:t>
            </w:r>
          </w:p>
        </w:tc>
      </w:tr>
      <w:tr w14:paraId="078F9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5AB2131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E8CD67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技术力量团队</w:t>
            </w:r>
          </w:p>
        </w:tc>
        <w:tc>
          <w:tcPr>
            <w:tcW w:w="9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44E38E9">
            <w:pPr>
              <w:spacing w:line="360" w:lineRule="auto"/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5</w:t>
            </w:r>
          </w:p>
        </w:tc>
        <w:tc>
          <w:tcPr>
            <w:tcW w:w="6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0602F92">
            <w:pPr>
              <w:spacing w:line="340" w:lineRule="exact"/>
              <w:rPr>
                <w:rFonts w:cs="宋体"/>
                <w:szCs w:val="21"/>
              </w:rPr>
            </w:pPr>
            <w:r>
              <w:rPr>
                <w:szCs w:val="21"/>
                <w:lang w:val="zh-CN"/>
              </w:rPr>
              <w:t>提供项目团队人员的数量、专业素质、技术能力，相关类似项目对应的服务经验，项目组人员工作履历、服务单位证明材料等</w:t>
            </w:r>
            <w:r>
              <w:t>情况，得0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1、2、3、4、5</w:t>
            </w:r>
            <w:r>
              <w:t>分。</w:t>
            </w:r>
          </w:p>
        </w:tc>
      </w:tr>
      <w:tr w14:paraId="0EA44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F3EF16E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036B4B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业绩情况</w:t>
            </w:r>
          </w:p>
        </w:tc>
        <w:tc>
          <w:tcPr>
            <w:tcW w:w="9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5877D5C">
            <w:pPr>
              <w:spacing w:line="360" w:lineRule="auto"/>
              <w:jc w:val="center"/>
              <w:rPr>
                <w:rFonts w:hint="eastAsia" w:eastAsia="等线"/>
                <w:b/>
                <w:szCs w:val="21"/>
                <w:lang w:eastAsia="zh-CN"/>
              </w:rPr>
            </w:pPr>
            <w:r>
              <w:rPr>
                <w:rFonts w:hint="eastAsia" w:eastAsia="等线"/>
                <w:szCs w:val="21"/>
                <w:lang w:val="en-US" w:eastAsia="zh-CN"/>
              </w:rPr>
              <w:t>3</w:t>
            </w:r>
          </w:p>
        </w:tc>
        <w:tc>
          <w:tcPr>
            <w:tcW w:w="6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B69BA9D">
            <w:pPr>
              <w:spacing w:line="340" w:lineRule="exact"/>
              <w:rPr>
                <w:szCs w:val="21"/>
                <w:lang w:val="zh-CN"/>
              </w:rPr>
            </w:pPr>
            <w:r>
              <w:rPr>
                <w:szCs w:val="21"/>
                <w:lang w:val="zh-CN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  <w:r>
              <w:rPr>
                <w:szCs w:val="21"/>
                <w:lang w:val="zh-CN"/>
              </w:rPr>
              <w:t>年至今（以合同签订时间为准），三级医院</w:t>
            </w:r>
            <w:r>
              <w:rPr>
                <w:rFonts w:hint="eastAsia"/>
                <w:szCs w:val="21"/>
              </w:rPr>
              <w:t>血透系统</w:t>
            </w:r>
            <w:r>
              <w:rPr>
                <w:szCs w:val="21"/>
                <w:lang w:val="zh-CN"/>
              </w:rPr>
              <w:t>维护合同，每提供一份得</w:t>
            </w:r>
            <w:r>
              <w:rPr>
                <w:rFonts w:hint="eastAsia"/>
                <w:szCs w:val="21"/>
                <w:lang w:val="en-US" w:eastAsia="zh-CN"/>
              </w:rPr>
              <w:t>1</w:t>
            </w:r>
            <w:r>
              <w:rPr>
                <w:szCs w:val="21"/>
                <w:lang w:val="zh-CN"/>
              </w:rPr>
              <w:t>分，最高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  <w:r>
              <w:rPr>
                <w:szCs w:val="21"/>
                <w:lang w:val="zh-CN"/>
              </w:rPr>
              <w:t>分。合同名称必须包含</w:t>
            </w:r>
            <w:r>
              <w:rPr>
                <w:rFonts w:hint="eastAsia"/>
                <w:szCs w:val="21"/>
              </w:rPr>
              <w:t>血透系统维护</w:t>
            </w:r>
            <w:r>
              <w:rPr>
                <w:szCs w:val="21"/>
                <w:lang w:val="zh-CN"/>
              </w:rPr>
              <w:t>且甲方为医院，乙方为投标方，不包含关键字样或甲方乙方不符合要求的不计分。未提供不得分。</w:t>
            </w:r>
            <w:r>
              <w:rPr>
                <w:rFonts w:hint="eastAsia"/>
                <w:szCs w:val="21"/>
                <w:lang w:val="zh-CN"/>
              </w:rPr>
              <w:t>（</w:t>
            </w:r>
            <w:r>
              <w:rPr>
                <w:rFonts w:hint="eastAsia"/>
                <w:szCs w:val="21"/>
              </w:rPr>
              <w:t>与同一采购人签订的多份合同视为1个业绩</w:t>
            </w:r>
            <w:r>
              <w:rPr>
                <w:rFonts w:hint="eastAsia"/>
                <w:szCs w:val="21"/>
                <w:lang w:val="zh-CN"/>
              </w:rPr>
              <w:t>）</w:t>
            </w:r>
          </w:p>
        </w:tc>
      </w:tr>
      <w:tr w14:paraId="2D675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C28D40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14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55BAC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血透数据采集</w:t>
            </w:r>
          </w:p>
        </w:tc>
        <w:tc>
          <w:tcPr>
            <w:tcW w:w="9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901D3AD">
            <w:pPr>
              <w:spacing w:line="360" w:lineRule="auto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6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6225017">
            <w:pPr>
              <w:spacing w:line="340" w:lineRule="exac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具有在血透机联机过程，采用自主研发的联机采集技术，直接从血透机中采集数据。（提供联机采集方案、相应采集程序软著、评测报告，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各</w:t>
            </w:r>
            <w:r>
              <w:rPr>
                <w:rFonts w:hint="eastAsia"/>
                <w:color w:val="000000"/>
                <w:szCs w:val="21"/>
              </w:rPr>
              <w:t>得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rFonts w:hint="eastAsia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共6分</w:t>
            </w:r>
            <w:r>
              <w:rPr>
                <w:rFonts w:hint="eastAsia"/>
                <w:color w:val="000000"/>
                <w:szCs w:val="21"/>
              </w:rPr>
              <w:t>，否则不得分）</w:t>
            </w:r>
          </w:p>
        </w:tc>
      </w:tr>
    </w:tbl>
    <w:p w14:paraId="7BDC6469">
      <w:pPr>
        <w:rPr>
          <w:rFonts w:hint="eastAsia" w:ascii="宋体" w:hAnsi="宋体" w:cs="宋体"/>
          <w:b/>
          <w:bCs/>
          <w:sz w:val="22"/>
          <w:szCs w:val="22"/>
        </w:rPr>
      </w:pPr>
    </w:p>
    <w:p w14:paraId="217DC040">
      <w:pPr>
        <w:rPr>
          <w:rFonts w:hint="eastAsia" w:ascii="宋体" w:hAnsi="宋体" w:cs="宋体"/>
          <w:b/>
          <w:bCs/>
          <w:sz w:val="22"/>
          <w:szCs w:val="22"/>
        </w:rPr>
      </w:pPr>
    </w:p>
    <w:p w14:paraId="7A3BE315">
      <w:pPr>
        <w:rPr>
          <w:rFonts w:hint="eastAsia" w:ascii="宋体" w:hAnsi="宋体" w:cs="宋体"/>
          <w:b/>
          <w:bCs/>
          <w:sz w:val="22"/>
          <w:szCs w:val="22"/>
        </w:rPr>
      </w:pPr>
    </w:p>
    <w:p w14:paraId="2556611A">
      <w:pPr>
        <w:rPr>
          <w:rFonts w:hint="eastAsia" w:ascii="宋体" w:hAnsi="宋体" w:cs="宋体"/>
          <w:b/>
          <w:bCs/>
          <w:sz w:val="22"/>
          <w:szCs w:val="22"/>
        </w:rPr>
      </w:pPr>
    </w:p>
    <w:p w14:paraId="426672B8">
      <w:pPr>
        <w:rPr>
          <w:rFonts w:hint="eastAsia" w:ascii="宋体" w:hAnsi="宋体" w:cs="宋体"/>
          <w:b/>
          <w:bCs/>
          <w:sz w:val="22"/>
          <w:szCs w:val="22"/>
        </w:rPr>
      </w:pPr>
    </w:p>
    <w:p w14:paraId="4545AEF0">
      <w:pPr>
        <w:rPr>
          <w:rFonts w:hint="eastAsia" w:ascii="宋体" w:hAnsi="宋体" w:cs="宋体"/>
          <w:b/>
          <w:bCs/>
          <w:sz w:val="22"/>
          <w:szCs w:val="22"/>
        </w:rPr>
      </w:pPr>
    </w:p>
    <w:p w14:paraId="7B4400DF">
      <w:pPr>
        <w:rPr>
          <w:rFonts w:hint="eastAsia" w:ascii="宋体" w:hAnsi="宋体" w:cs="宋体"/>
          <w:b/>
          <w:bCs/>
          <w:sz w:val="22"/>
          <w:szCs w:val="22"/>
        </w:rPr>
      </w:pPr>
    </w:p>
    <w:p w14:paraId="100B36CC">
      <w:pPr>
        <w:pStyle w:val="4"/>
        <w:rPr>
          <w:rFonts w:hint="eastAsia" w:ascii="宋体" w:hAnsi="宋体" w:cs="宋体"/>
          <w:b/>
          <w:bCs/>
          <w:sz w:val="22"/>
          <w:szCs w:val="22"/>
        </w:rPr>
      </w:pPr>
    </w:p>
    <w:p w14:paraId="4FA7CFF8">
      <w:pPr>
        <w:rPr>
          <w:rFonts w:hint="eastAsia" w:ascii="宋体" w:hAnsi="宋体" w:cs="宋体"/>
          <w:b/>
          <w:bCs/>
          <w:sz w:val="22"/>
          <w:szCs w:val="22"/>
        </w:rPr>
      </w:pPr>
    </w:p>
    <w:p w14:paraId="4E726AFE">
      <w:pPr>
        <w:pStyle w:val="4"/>
        <w:rPr>
          <w:rFonts w:hint="eastAsia" w:ascii="宋体" w:hAnsi="宋体" w:cs="宋体"/>
          <w:b/>
          <w:bCs/>
          <w:sz w:val="22"/>
          <w:szCs w:val="22"/>
        </w:rPr>
      </w:pPr>
    </w:p>
    <w:p w14:paraId="72F71CF4">
      <w:pPr>
        <w:rPr>
          <w:rFonts w:hint="eastAsia" w:ascii="宋体" w:hAnsi="宋体" w:cs="宋体"/>
          <w:b/>
          <w:bCs/>
          <w:sz w:val="22"/>
          <w:szCs w:val="22"/>
        </w:rPr>
      </w:pPr>
    </w:p>
    <w:p w14:paraId="3247A8C0">
      <w:pPr>
        <w:pStyle w:val="4"/>
        <w:rPr>
          <w:rFonts w:hint="eastAsia" w:ascii="宋体" w:hAnsi="宋体" w:cs="宋体"/>
          <w:b/>
          <w:bCs/>
          <w:sz w:val="22"/>
          <w:szCs w:val="22"/>
        </w:rPr>
      </w:pPr>
    </w:p>
    <w:p w14:paraId="697515F4">
      <w:pPr>
        <w:rPr>
          <w:rFonts w:hint="eastAsia" w:ascii="宋体" w:hAnsi="宋体" w:cs="宋体"/>
          <w:b/>
          <w:bCs/>
          <w:sz w:val="22"/>
          <w:szCs w:val="22"/>
        </w:rPr>
      </w:pPr>
    </w:p>
    <w:p w14:paraId="37208B42">
      <w:pPr>
        <w:pStyle w:val="4"/>
        <w:rPr>
          <w:rFonts w:hint="eastAsia" w:ascii="宋体" w:hAnsi="宋体" w:cs="宋体"/>
          <w:b/>
          <w:bCs/>
          <w:sz w:val="22"/>
          <w:szCs w:val="22"/>
        </w:rPr>
      </w:pPr>
    </w:p>
    <w:p w14:paraId="77A140DE">
      <w:pPr>
        <w:rPr>
          <w:rFonts w:hint="eastAsia" w:ascii="宋体" w:hAnsi="宋体" w:cs="宋体"/>
          <w:b/>
          <w:bCs/>
          <w:sz w:val="22"/>
          <w:szCs w:val="22"/>
        </w:rPr>
      </w:pPr>
    </w:p>
    <w:p w14:paraId="05679CF8">
      <w:pPr>
        <w:pStyle w:val="4"/>
        <w:rPr>
          <w:rFonts w:hint="eastAsia" w:ascii="宋体" w:hAnsi="宋体" w:cs="宋体"/>
          <w:b/>
          <w:bCs/>
          <w:sz w:val="22"/>
          <w:szCs w:val="22"/>
        </w:rPr>
      </w:pPr>
    </w:p>
    <w:p w14:paraId="0DAE4C30">
      <w:pPr>
        <w:rPr>
          <w:rFonts w:hint="eastAsia" w:ascii="宋体" w:hAnsi="宋体" w:cs="宋体"/>
          <w:b/>
          <w:bCs/>
          <w:sz w:val="22"/>
          <w:szCs w:val="22"/>
        </w:rPr>
      </w:pPr>
    </w:p>
    <w:p w14:paraId="43D5ED37">
      <w:pPr>
        <w:pStyle w:val="4"/>
        <w:rPr>
          <w:rFonts w:hint="eastAsia"/>
        </w:rPr>
      </w:pPr>
      <w:r>
        <w:rPr>
          <w:rFonts w:hint="eastAsia"/>
        </w:rPr>
        <w:br w:type="textWrapping"/>
      </w:r>
      <w:r>
        <w:rPr>
          <w:rFonts w:hint="eastAsia"/>
        </w:rPr>
        <w:br w:type="textWrapping"/>
      </w:r>
      <w:r>
        <w:rPr>
          <w:rFonts w:hint="eastAsia"/>
        </w:rPr>
        <w:br w:type="textWrapping"/>
      </w:r>
      <w:r>
        <w:rPr>
          <w:rFonts w:hint="eastAsia"/>
        </w:rPr>
        <w:br w:type="textWrapping"/>
      </w:r>
      <w:r>
        <w:rPr>
          <w:rFonts w:hint="eastAsia"/>
        </w:rPr>
        <w:br w:type="textWrapping"/>
      </w:r>
      <w:r>
        <w:rPr>
          <w:rFonts w:hint="eastAsia"/>
        </w:rPr>
        <w:br w:type="textWrapping"/>
      </w:r>
      <w:r>
        <w:rPr>
          <w:rFonts w:hint="eastAsia"/>
        </w:rPr>
        <w:br w:type="textWrapping"/>
      </w:r>
      <w:r>
        <w:rPr>
          <w:rFonts w:hint="eastAsia"/>
        </w:rPr>
        <w:br w:type="textWrapping"/>
      </w:r>
      <w:r>
        <w:rPr>
          <w:rFonts w:hint="eastAsia"/>
        </w:rPr>
        <w:br w:type="textWrapping"/>
      </w:r>
      <w:r>
        <w:rPr>
          <w:rFonts w:hint="eastAsia"/>
        </w:rPr>
        <w:br w:type="textWrapping"/>
      </w:r>
      <w:r>
        <w:rPr>
          <w:rFonts w:hint="eastAsia"/>
        </w:rPr>
        <w:br w:type="textWrapping"/>
      </w:r>
      <w:r>
        <w:rPr>
          <w:rFonts w:hint="eastAsia"/>
        </w:rPr>
        <w:br w:type="textWrapping"/>
      </w:r>
      <w:r>
        <w:rPr>
          <w:rFonts w:hint="eastAsia"/>
        </w:rPr>
        <w:br w:type="textWrapping"/>
      </w:r>
      <w:r>
        <w:rPr>
          <w:rFonts w:hint="eastAsia"/>
        </w:rPr>
        <w:br w:type="textWrapping"/>
      </w:r>
    </w:p>
    <w:p w14:paraId="3CFA9540">
      <w:pPr>
        <w:rPr>
          <w:rFonts w:hint="eastAsia"/>
        </w:rPr>
      </w:pPr>
    </w:p>
    <w:p w14:paraId="275A9A70">
      <w:pPr>
        <w:pStyle w:val="4"/>
        <w:rPr>
          <w:rFonts w:hint="eastAsia"/>
        </w:rPr>
      </w:pPr>
    </w:p>
    <w:p w14:paraId="4E1C966D">
      <w:pPr>
        <w:pStyle w:val="4"/>
        <w:rPr>
          <w:rFonts w:hint="eastAsia" w:ascii="宋体" w:hAnsi="宋体" w:cs="宋体"/>
          <w:b/>
          <w:bCs/>
          <w:sz w:val="22"/>
          <w:szCs w:val="22"/>
        </w:rPr>
      </w:pPr>
      <w:r>
        <w:rPr>
          <w:rFonts w:hint="eastAsia"/>
        </w:rPr>
        <w:br w:type="textWrapping"/>
      </w:r>
      <w:r>
        <w:rPr>
          <w:rFonts w:hint="eastAsia"/>
        </w:rPr>
        <w:br w:type="textWrapping"/>
      </w:r>
    </w:p>
    <w:p w14:paraId="5844C310">
      <w:pPr>
        <w:numPr>
          <w:ilvl w:val="0"/>
          <w:numId w:val="1"/>
        </w:numPr>
        <w:rPr>
          <w:rFonts w:hint="eastAsia" w:ascii="宋体" w:hAnsi="宋体" w:cs="宋体"/>
          <w:b/>
          <w:bCs/>
          <w:sz w:val="22"/>
          <w:szCs w:val="22"/>
        </w:rPr>
      </w:pPr>
      <w:r>
        <w:rPr>
          <w:rFonts w:hint="eastAsia" w:ascii="宋体" w:hAnsi="宋体" w:cs="宋体"/>
          <w:b/>
          <w:bCs/>
          <w:sz w:val="22"/>
          <w:szCs w:val="22"/>
        </w:rPr>
        <w:t>价格评分：满分30分</w:t>
      </w:r>
    </w:p>
    <w:p w14:paraId="7A80CFB9">
      <w:pPr>
        <w:tabs>
          <w:tab w:val="left" w:pos="774"/>
        </w:tabs>
        <w:autoSpaceDE w:val="0"/>
        <w:autoSpaceDN w:val="0"/>
        <w:spacing w:before="240" w:line="276" w:lineRule="auto"/>
        <w:ind w:left="774" w:hanging="576"/>
        <w:jc w:val="center"/>
        <w:outlineLvl w:val="2"/>
        <w:rPr>
          <w:rFonts w:hint="eastAsia" w:ascii="宋体" w:hAnsi="宋体" w:cs="宋体"/>
          <w:b/>
          <w:sz w:val="28"/>
          <w:szCs w:val="28"/>
          <w:lang w:val="zh-CN"/>
        </w:rPr>
      </w:pPr>
      <w:bookmarkStart w:id="1" w:name="_Toc11964"/>
      <w:bookmarkStart w:id="2" w:name="_Toc8618"/>
      <w:r>
        <w:rPr>
          <w:rFonts w:hint="eastAsia" w:ascii="宋体" w:hAnsi="宋体" w:cs="宋体"/>
          <w:b/>
          <w:sz w:val="28"/>
          <w:szCs w:val="28"/>
          <w:lang w:val="zh-CN"/>
        </w:rPr>
        <w:t>报价一览表</w:t>
      </w:r>
      <w:bookmarkEnd w:id="1"/>
      <w:bookmarkEnd w:id="2"/>
    </w:p>
    <w:p w14:paraId="0FE8D5AA">
      <w:pPr>
        <w:spacing w:line="360" w:lineRule="auto"/>
        <w:rPr>
          <w:rFonts w:hint="eastAsia" w:ascii="宋体" w:hAnsi="宋体" w:cs="宋体"/>
          <w:sz w:val="22"/>
          <w:szCs w:val="18"/>
        </w:rPr>
      </w:pPr>
      <w:r>
        <w:rPr>
          <w:rFonts w:hint="eastAsia" w:ascii="宋体" w:hAnsi="宋体" w:cs="宋体"/>
          <w:sz w:val="24"/>
        </w:rPr>
        <w:t>项目名称：</w:t>
      </w:r>
      <w:r>
        <w:rPr>
          <w:rFonts w:hint="eastAsia" w:ascii="宋体" w:hAnsi="宋体" w:cs="宋体"/>
          <w:sz w:val="24"/>
          <w:lang w:eastAsia="zh-Hans"/>
        </w:rPr>
        <w:t>温州市中医院</w:t>
      </w:r>
      <w:r>
        <w:rPr>
          <w:rFonts w:hint="eastAsia"/>
          <w:sz w:val="24"/>
          <w:lang w:val="en-US" w:eastAsia="zh-CN"/>
        </w:rPr>
        <w:t>透析软件云HIS</w:t>
      </w:r>
      <w:r>
        <w:rPr>
          <w:rFonts w:hint="eastAsia" w:ascii="宋体" w:hAnsi="宋体" w:cs="宋体"/>
          <w:sz w:val="24"/>
        </w:rPr>
        <w:t xml:space="preserve">   </w:t>
      </w:r>
      <w:r>
        <w:rPr>
          <w:rFonts w:hint="eastAsia" w:ascii="宋体" w:hAnsi="宋体" w:cs="宋体"/>
          <w:sz w:val="22"/>
          <w:szCs w:val="18"/>
        </w:rPr>
        <w:t xml:space="preserve">                            </w:t>
      </w:r>
    </w:p>
    <w:tbl>
      <w:tblPr>
        <w:tblStyle w:val="13"/>
        <w:tblW w:w="95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3540"/>
        <w:gridCol w:w="3105"/>
        <w:gridCol w:w="1323"/>
      </w:tblGrid>
      <w:tr w14:paraId="3A163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35" w:type="dxa"/>
            <w:vAlign w:val="center"/>
          </w:tcPr>
          <w:p w14:paraId="29F84BDA">
            <w:pPr>
              <w:spacing w:line="380" w:lineRule="exact"/>
              <w:jc w:val="center"/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序号</w:t>
            </w:r>
          </w:p>
        </w:tc>
        <w:tc>
          <w:tcPr>
            <w:tcW w:w="3540" w:type="dxa"/>
            <w:vAlign w:val="center"/>
          </w:tcPr>
          <w:p w14:paraId="1ABB86A6">
            <w:pPr>
              <w:spacing w:line="380" w:lineRule="exact"/>
              <w:jc w:val="center"/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bCs/>
                <w:sz w:val="22"/>
                <w:szCs w:val="22"/>
              </w:rPr>
              <w:t>项目名称</w:t>
            </w:r>
          </w:p>
        </w:tc>
        <w:tc>
          <w:tcPr>
            <w:tcW w:w="3105" w:type="dxa"/>
            <w:vAlign w:val="center"/>
          </w:tcPr>
          <w:p w14:paraId="6358CD27">
            <w:pPr>
              <w:spacing w:line="380" w:lineRule="exact"/>
              <w:jc w:val="center"/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bCs/>
                <w:sz w:val="22"/>
                <w:szCs w:val="22"/>
              </w:rPr>
              <w:t>报价（人民币元）</w:t>
            </w:r>
          </w:p>
        </w:tc>
        <w:tc>
          <w:tcPr>
            <w:tcW w:w="1323" w:type="dxa"/>
            <w:vAlign w:val="center"/>
          </w:tcPr>
          <w:p w14:paraId="7F86C6FD">
            <w:pPr>
              <w:spacing w:line="380" w:lineRule="exact"/>
              <w:jc w:val="center"/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备注</w:t>
            </w:r>
          </w:p>
        </w:tc>
      </w:tr>
      <w:tr w14:paraId="02F02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1535" w:type="dxa"/>
            <w:vMerge w:val="restart"/>
            <w:vAlign w:val="center"/>
          </w:tcPr>
          <w:p w14:paraId="086EEA0B">
            <w:pPr>
              <w:spacing w:line="380" w:lineRule="exact"/>
              <w:jc w:val="center"/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</w:t>
            </w:r>
          </w:p>
        </w:tc>
        <w:tc>
          <w:tcPr>
            <w:tcW w:w="3540" w:type="dxa"/>
            <w:vMerge w:val="restart"/>
            <w:vAlign w:val="center"/>
          </w:tcPr>
          <w:p w14:paraId="1025B818">
            <w:pPr>
              <w:spacing w:line="380" w:lineRule="exact"/>
              <w:jc w:val="center"/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4"/>
                <w:lang w:eastAsia="zh-Hans"/>
              </w:rPr>
              <w:t>温州市中医院</w:t>
            </w:r>
            <w:r>
              <w:rPr>
                <w:rFonts w:hint="eastAsia"/>
                <w:sz w:val="24"/>
                <w:lang w:val="en-US" w:eastAsia="zh-CN"/>
              </w:rPr>
              <w:t>透析软件云HIS</w:t>
            </w:r>
          </w:p>
        </w:tc>
        <w:tc>
          <w:tcPr>
            <w:tcW w:w="3105" w:type="dxa"/>
            <w:vAlign w:val="center"/>
          </w:tcPr>
          <w:p w14:paraId="6806B939">
            <w:pPr>
              <w:spacing w:line="380" w:lineRule="exact"/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大写：</w:t>
            </w:r>
          </w:p>
        </w:tc>
        <w:tc>
          <w:tcPr>
            <w:tcW w:w="1323" w:type="dxa"/>
            <w:vMerge w:val="restart"/>
            <w:vAlign w:val="center"/>
          </w:tcPr>
          <w:p w14:paraId="55A12CA4">
            <w:pPr>
              <w:spacing w:line="380" w:lineRule="exact"/>
              <w:jc w:val="center"/>
              <w:rPr>
                <w:rFonts w:hint="eastAsia" w:ascii="宋体" w:hAnsi="宋体" w:cs="宋体"/>
                <w:sz w:val="22"/>
              </w:rPr>
            </w:pPr>
          </w:p>
        </w:tc>
      </w:tr>
      <w:tr w14:paraId="55FD2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  <w:jc w:val="center"/>
        </w:trPr>
        <w:tc>
          <w:tcPr>
            <w:tcW w:w="1535" w:type="dxa"/>
            <w:vMerge w:val="continue"/>
            <w:vAlign w:val="center"/>
          </w:tcPr>
          <w:p w14:paraId="10E43928">
            <w:pPr>
              <w:spacing w:line="380" w:lineRule="exact"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540" w:type="dxa"/>
            <w:vMerge w:val="continue"/>
            <w:vAlign w:val="center"/>
          </w:tcPr>
          <w:p w14:paraId="786140A5">
            <w:pPr>
              <w:spacing w:line="380" w:lineRule="exact"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3105" w:type="dxa"/>
            <w:vAlign w:val="center"/>
          </w:tcPr>
          <w:p w14:paraId="31D3743C">
            <w:pPr>
              <w:spacing w:line="380" w:lineRule="exact"/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小写：</w:t>
            </w:r>
          </w:p>
        </w:tc>
        <w:tc>
          <w:tcPr>
            <w:tcW w:w="1323" w:type="dxa"/>
            <w:vMerge w:val="continue"/>
            <w:vAlign w:val="center"/>
          </w:tcPr>
          <w:p w14:paraId="3E914364">
            <w:pPr>
              <w:spacing w:line="380" w:lineRule="exact"/>
              <w:jc w:val="center"/>
              <w:rPr>
                <w:rFonts w:hint="eastAsia" w:ascii="宋体" w:hAnsi="宋体" w:cs="宋体"/>
                <w:sz w:val="22"/>
              </w:rPr>
            </w:pPr>
          </w:p>
        </w:tc>
      </w:tr>
    </w:tbl>
    <w:p w14:paraId="21E573FA">
      <w:pPr>
        <w:spacing w:line="450" w:lineRule="exact"/>
        <w:ind w:firstLine="541" w:firstLineChars="245"/>
        <w:rPr>
          <w:rFonts w:hint="eastAsia" w:ascii="宋体" w:hAnsi="宋体" w:cs="宋体"/>
          <w:b/>
          <w:sz w:val="22"/>
        </w:rPr>
      </w:pPr>
    </w:p>
    <w:p w14:paraId="674A9A36">
      <w:pPr>
        <w:rPr>
          <w:rFonts w:hint="eastAsia" w:ascii="宋体" w:hAnsi="宋体" w:cs="宋体"/>
          <w:b/>
          <w:sz w:val="22"/>
        </w:rPr>
      </w:pPr>
      <w:r>
        <w:rPr>
          <w:rFonts w:hint="eastAsia" w:ascii="宋体" w:hAnsi="宋体" w:cs="宋体"/>
          <w:b/>
          <w:sz w:val="22"/>
        </w:rPr>
        <w:t>说明：</w:t>
      </w:r>
    </w:p>
    <w:p w14:paraId="2F09B4E8">
      <w:pPr>
        <w:spacing w:line="240" w:lineRule="auto"/>
        <w:ind w:firstLine="442" w:firstLineChars="200"/>
        <w:rPr>
          <w:rFonts w:hint="eastAsia" w:ascii="宋体" w:hAnsi="宋体" w:cs="宋体"/>
          <w:b/>
          <w:sz w:val="22"/>
        </w:rPr>
      </w:pPr>
      <w:r>
        <w:rPr>
          <w:rFonts w:hint="eastAsia" w:ascii="宋体" w:hAnsi="宋体" w:cs="宋体"/>
          <w:b/>
          <w:sz w:val="22"/>
        </w:rPr>
        <w:t>1、本项目报价为含税人民币总价（含增值税，供应商须开具增值税专用发票），包含服务期内一切设备、材料、软硬件、人工、接口对接、税费及潜在费用"。</w:t>
      </w:r>
    </w:p>
    <w:p w14:paraId="6C8DEC27">
      <w:pPr>
        <w:ind w:firstLine="442" w:firstLineChars="200"/>
        <w:rPr>
          <w:rFonts w:hint="eastAsia" w:ascii="宋体" w:hAnsi="宋体" w:cs="宋体"/>
          <w:b/>
          <w:sz w:val="22"/>
        </w:rPr>
      </w:pPr>
      <w:r>
        <w:rPr>
          <w:rFonts w:hint="eastAsia" w:ascii="宋体" w:hAnsi="宋体" w:cs="宋体"/>
          <w:b/>
          <w:sz w:val="22"/>
        </w:rPr>
        <w:t>2、投标总价应包括本项目整个服务期所需的一切设备、材料、软硬件、人工、工具、设备、保险、交通、利润、税金（包含须由</w:t>
      </w:r>
      <w:r>
        <w:rPr>
          <w:rFonts w:hint="eastAsia" w:ascii="宋体" w:hAnsi="宋体" w:cs="宋体"/>
          <w:b/>
          <w:sz w:val="22"/>
          <w:lang w:eastAsia="zh-CN"/>
        </w:rPr>
        <w:t>参选人</w:t>
      </w:r>
      <w:r>
        <w:rPr>
          <w:rFonts w:hint="eastAsia" w:ascii="宋体" w:hAnsi="宋体" w:cs="宋体"/>
          <w:b/>
          <w:sz w:val="22"/>
        </w:rPr>
        <w:t>承担的各种税费）</w:t>
      </w:r>
      <w:r>
        <w:rPr>
          <w:rFonts w:hint="eastAsia" w:ascii="宋体" w:hAnsi="宋体" w:cs="宋体"/>
          <w:b/>
          <w:sz w:val="22"/>
          <w:lang w:eastAsia="zh-CN"/>
        </w:rPr>
        <w:t>、</w:t>
      </w:r>
      <w:r>
        <w:rPr>
          <w:rFonts w:hint="eastAsia" w:ascii="宋体" w:hAnsi="宋体" w:cs="宋体"/>
          <w:b/>
          <w:sz w:val="22"/>
          <w:lang w:val="en-US" w:eastAsia="zh-CN"/>
        </w:rPr>
        <w:t>与第三方端口的连接</w:t>
      </w:r>
      <w:r>
        <w:rPr>
          <w:rFonts w:hint="eastAsia" w:ascii="宋体" w:hAnsi="宋体" w:cs="宋体"/>
          <w:b/>
          <w:sz w:val="22"/>
        </w:rPr>
        <w:t>、其它需</w:t>
      </w:r>
      <w:r>
        <w:rPr>
          <w:rFonts w:hint="eastAsia" w:ascii="宋体" w:hAnsi="宋体" w:cs="宋体"/>
          <w:b/>
          <w:sz w:val="22"/>
          <w:lang w:eastAsia="zh-CN"/>
        </w:rPr>
        <w:t>参选人</w:t>
      </w:r>
      <w:r>
        <w:rPr>
          <w:rFonts w:hint="eastAsia" w:ascii="宋体" w:hAnsi="宋体" w:cs="宋体"/>
          <w:b/>
          <w:sz w:val="22"/>
        </w:rPr>
        <w:t>承担的费用及潜在可能涉及的一切费用。</w:t>
      </w:r>
      <w:r>
        <w:rPr>
          <w:rFonts w:hint="eastAsia" w:ascii="宋体" w:hAnsi="宋体" w:cs="宋体"/>
          <w:b/>
          <w:sz w:val="22"/>
          <w:lang w:eastAsia="zh-CN"/>
        </w:rPr>
        <w:t>参选人</w:t>
      </w:r>
      <w:r>
        <w:rPr>
          <w:rFonts w:hint="eastAsia" w:ascii="宋体" w:hAnsi="宋体" w:cs="宋体"/>
          <w:b/>
          <w:sz w:val="22"/>
        </w:rPr>
        <w:t>应认真计算可能发生的各相关费用并计入投标报价内，在项目实施过程中不得藉此要求增加任何费用。如上述没有提及但该项目仍需要的内容，请</w:t>
      </w:r>
      <w:r>
        <w:rPr>
          <w:rFonts w:hint="eastAsia" w:ascii="宋体" w:hAnsi="宋体" w:cs="宋体"/>
          <w:b/>
          <w:sz w:val="22"/>
          <w:lang w:eastAsia="zh-CN"/>
        </w:rPr>
        <w:t>参选人</w:t>
      </w:r>
      <w:r>
        <w:rPr>
          <w:rFonts w:hint="eastAsia" w:ascii="宋体" w:hAnsi="宋体" w:cs="宋体"/>
          <w:b/>
          <w:sz w:val="22"/>
        </w:rPr>
        <w:t>自行考虑一并计入投标报价中（未计入的，视为</w:t>
      </w:r>
      <w:r>
        <w:rPr>
          <w:rFonts w:hint="eastAsia" w:ascii="宋体" w:hAnsi="宋体" w:cs="宋体"/>
          <w:b/>
          <w:sz w:val="22"/>
          <w:lang w:eastAsia="zh-CN"/>
        </w:rPr>
        <w:t>参选人</w:t>
      </w:r>
      <w:r>
        <w:rPr>
          <w:rFonts w:hint="eastAsia" w:ascii="宋体" w:hAnsi="宋体" w:cs="宋体"/>
          <w:b/>
          <w:sz w:val="22"/>
        </w:rPr>
        <w:t>的优惠）</w:t>
      </w:r>
    </w:p>
    <w:p w14:paraId="6D6D856C">
      <w:pPr>
        <w:ind w:firstLine="442" w:firstLineChars="200"/>
        <w:rPr>
          <w:rFonts w:hint="eastAsia" w:ascii="宋体" w:hAnsi="宋体" w:cs="宋体"/>
          <w:b/>
          <w:sz w:val="22"/>
        </w:rPr>
      </w:pPr>
      <w:r>
        <w:rPr>
          <w:rFonts w:hint="eastAsia" w:ascii="宋体" w:hAnsi="宋体" w:cs="宋体"/>
          <w:b/>
          <w:sz w:val="22"/>
        </w:rPr>
        <w:t>3、不提供此表格将被视为没有实质性响应文件。</w:t>
      </w:r>
    </w:p>
    <w:p w14:paraId="07D5F7B4">
      <w:pPr>
        <w:ind w:firstLine="442" w:firstLineChars="200"/>
      </w:pPr>
      <w:r>
        <w:rPr>
          <w:rFonts w:hint="eastAsia" w:ascii="宋体" w:hAnsi="宋体" w:cs="宋体"/>
          <w:b/>
          <w:sz w:val="22"/>
        </w:rPr>
        <w:t>4、报价超过预算金额按无效标处理。</w:t>
      </w:r>
    </w:p>
    <w:p w14:paraId="133D2E4E">
      <w:pPr>
        <w:spacing w:line="460" w:lineRule="exact"/>
        <w:ind w:firstLine="4400" w:firstLineChars="2000"/>
        <w:rPr>
          <w:rFonts w:hint="eastAsia"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 xml:space="preserve">       </w:t>
      </w:r>
    </w:p>
    <w:p w14:paraId="3333D1AF">
      <w:pPr>
        <w:spacing w:line="460" w:lineRule="exact"/>
        <w:ind w:firstLine="4400" w:firstLineChars="2000"/>
        <w:rPr>
          <w:rFonts w:hint="eastAsia" w:ascii="宋体" w:hAnsi="宋体" w:cs="宋体"/>
          <w:sz w:val="22"/>
          <w:szCs w:val="22"/>
        </w:rPr>
      </w:pPr>
    </w:p>
    <w:p w14:paraId="3AF0C770">
      <w:pPr>
        <w:spacing w:line="460" w:lineRule="exact"/>
        <w:ind w:firstLine="4400" w:firstLineChars="2000"/>
        <w:rPr>
          <w:rFonts w:hint="eastAsia" w:ascii="宋体" w:hAnsi="宋体" w:cs="宋体"/>
          <w:sz w:val="22"/>
          <w:szCs w:val="22"/>
        </w:rPr>
      </w:pPr>
    </w:p>
    <w:p w14:paraId="6FE61B5D">
      <w:pPr>
        <w:spacing w:line="460" w:lineRule="exact"/>
        <w:ind w:firstLine="4400" w:firstLineChars="2000"/>
        <w:rPr>
          <w:rFonts w:hint="eastAsia" w:ascii="宋体" w:hAnsi="宋体" w:cs="宋体"/>
          <w:sz w:val="22"/>
          <w:szCs w:val="22"/>
        </w:rPr>
      </w:pPr>
    </w:p>
    <w:p w14:paraId="36CCF623">
      <w:pPr>
        <w:spacing w:line="460" w:lineRule="exact"/>
        <w:ind w:firstLine="4400" w:firstLineChars="2000"/>
        <w:rPr>
          <w:rFonts w:hint="eastAsia" w:ascii="宋体" w:hAnsi="宋体" w:cs="宋体"/>
          <w:sz w:val="22"/>
          <w:szCs w:val="22"/>
        </w:rPr>
      </w:pPr>
    </w:p>
    <w:p w14:paraId="2731A36F">
      <w:pPr>
        <w:spacing w:line="460" w:lineRule="exact"/>
        <w:ind w:firstLine="4400" w:firstLineChars="2000"/>
        <w:rPr>
          <w:rFonts w:hint="eastAsia"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 xml:space="preserve"> </w:t>
      </w:r>
    </w:p>
    <w:p w14:paraId="4B384E7F">
      <w:pPr>
        <w:spacing w:line="460" w:lineRule="exact"/>
        <w:ind w:firstLine="4400" w:firstLineChars="2000"/>
        <w:rPr>
          <w:rFonts w:hint="eastAsia"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 xml:space="preserve">   供应商全称（盖章）：</w:t>
      </w:r>
    </w:p>
    <w:p w14:paraId="38CB8CFF">
      <w:pPr>
        <w:spacing w:line="460" w:lineRule="exact"/>
        <w:ind w:firstLine="4400" w:firstLineChars="2000"/>
        <w:rPr>
          <w:rFonts w:hint="eastAsia"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 xml:space="preserve">   供应商代表（签字）：</w:t>
      </w:r>
    </w:p>
    <w:p w14:paraId="48656F3B">
      <w:pPr>
        <w:spacing w:line="460" w:lineRule="exact"/>
        <w:ind w:firstLine="4400" w:firstLineChars="2000"/>
        <w:rPr>
          <w:rFonts w:hint="eastAsia"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 xml:space="preserve">   日  期：   </w:t>
      </w:r>
    </w:p>
    <w:p w14:paraId="107B895C">
      <w:pPr>
        <w:pStyle w:val="2"/>
      </w:pPr>
    </w:p>
    <w:p w14:paraId="2E26D8DB">
      <w:pPr>
        <w:adjustRightInd w:val="0"/>
        <w:snapToGrid w:val="0"/>
        <w:spacing w:line="360" w:lineRule="auto"/>
        <w:jc w:val="left"/>
        <w:rPr>
          <w:rFonts w:hint="eastAsia" w:ascii="宋体" w:hAnsi="宋体"/>
          <w:color w:val="000000"/>
          <w:szCs w:val="21"/>
        </w:rPr>
      </w:pPr>
    </w:p>
    <w:sectPr>
      <w:footerReference r:id="rId3" w:type="default"/>
      <w:pgSz w:w="11906" w:h="16838"/>
      <w:pgMar w:top="850" w:right="1236" w:bottom="85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357ED2E-F6D0-4AB2-8707-31D61999810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F8A03AFC-BA3E-4164-A9BB-1E73592ECD9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58D42E3-8CA5-4D78-ACF1-49654A9C83C2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CE1C960-8E27-4163-9F40-27955F1DDE2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4B76AF5E-98F5-4A78-B038-85E9C5033ED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1DB62AAA-1766-4110-BFCD-C1A53696E5D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51242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E8D339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E8D339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F69252"/>
    <w:multiLevelType w:val="singleLevel"/>
    <w:tmpl w:val="E7F6925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iZDIzMjBhYjY3YjcwYmIxYWI1NjM4YzVmYjEyMDMifQ=="/>
  </w:docVars>
  <w:rsids>
    <w:rsidRoot w:val="442D7AA8"/>
    <w:rsid w:val="000838A3"/>
    <w:rsid w:val="001313E2"/>
    <w:rsid w:val="00183176"/>
    <w:rsid w:val="0029760C"/>
    <w:rsid w:val="003D41C7"/>
    <w:rsid w:val="003E091A"/>
    <w:rsid w:val="0045113B"/>
    <w:rsid w:val="00537F7B"/>
    <w:rsid w:val="00585E46"/>
    <w:rsid w:val="005D6C7D"/>
    <w:rsid w:val="00642602"/>
    <w:rsid w:val="00765154"/>
    <w:rsid w:val="0077449E"/>
    <w:rsid w:val="008F2940"/>
    <w:rsid w:val="009C732C"/>
    <w:rsid w:val="00A46AEA"/>
    <w:rsid w:val="00A81427"/>
    <w:rsid w:val="00BD504C"/>
    <w:rsid w:val="00DB7EDC"/>
    <w:rsid w:val="00FA35D7"/>
    <w:rsid w:val="00FA6B75"/>
    <w:rsid w:val="03F44E33"/>
    <w:rsid w:val="0A2930B0"/>
    <w:rsid w:val="0A695F45"/>
    <w:rsid w:val="0BDC70EB"/>
    <w:rsid w:val="0CB70D7D"/>
    <w:rsid w:val="0EF80781"/>
    <w:rsid w:val="0F427144"/>
    <w:rsid w:val="0F9C6A6C"/>
    <w:rsid w:val="1124087B"/>
    <w:rsid w:val="132E0C2E"/>
    <w:rsid w:val="1367269B"/>
    <w:rsid w:val="154327F2"/>
    <w:rsid w:val="15F0193F"/>
    <w:rsid w:val="16586A57"/>
    <w:rsid w:val="1AAC3B0A"/>
    <w:rsid w:val="1DD0413A"/>
    <w:rsid w:val="1E704E7C"/>
    <w:rsid w:val="203F5CE6"/>
    <w:rsid w:val="215E5325"/>
    <w:rsid w:val="253F05F7"/>
    <w:rsid w:val="26614AE7"/>
    <w:rsid w:val="28706613"/>
    <w:rsid w:val="2B9D1E83"/>
    <w:rsid w:val="2C0B329E"/>
    <w:rsid w:val="2DA52879"/>
    <w:rsid w:val="2EE23DA1"/>
    <w:rsid w:val="2F251DD2"/>
    <w:rsid w:val="304676BA"/>
    <w:rsid w:val="32EC217B"/>
    <w:rsid w:val="33F15215"/>
    <w:rsid w:val="37210D57"/>
    <w:rsid w:val="38620F4A"/>
    <w:rsid w:val="39072D82"/>
    <w:rsid w:val="3AA307AA"/>
    <w:rsid w:val="3D4A148F"/>
    <w:rsid w:val="3E3C64D5"/>
    <w:rsid w:val="3EBF27E8"/>
    <w:rsid w:val="400962F0"/>
    <w:rsid w:val="41F40701"/>
    <w:rsid w:val="442D7AA8"/>
    <w:rsid w:val="45154C01"/>
    <w:rsid w:val="47530AB5"/>
    <w:rsid w:val="4BA96882"/>
    <w:rsid w:val="4BB26B7D"/>
    <w:rsid w:val="50250266"/>
    <w:rsid w:val="53034606"/>
    <w:rsid w:val="53303AC0"/>
    <w:rsid w:val="56AC1DB5"/>
    <w:rsid w:val="575C3E17"/>
    <w:rsid w:val="57A36574"/>
    <w:rsid w:val="58D72375"/>
    <w:rsid w:val="59F74833"/>
    <w:rsid w:val="5B5E63B0"/>
    <w:rsid w:val="5BA46462"/>
    <w:rsid w:val="5DAF6DF6"/>
    <w:rsid w:val="5E5A675C"/>
    <w:rsid w:val="63431502"/>
    <w:rsid w:val="63750765"/>
    <w:rsid w:val="668A38BE"/>
    <w:rsid w:val="69717C20"/>
    <w:rsid w:val="6B1E16E2"/>
    <w:rsid w:val="715268D3"/>
    <w:rsid w:val="724D0AFE"/>
    <w:rsid w:val="72E83474"/>
    <w:rsid w:val="72F62F44"/>
    <w:rsid w:val="760D23F9"/>
    <w:rsid w:val="779A37B6"/>
    <w:rsid w:val="78362761"/>
    <w:rsid w:val="79F966D5"/>
    <w:rsid w:val="7DBF4FA6"/>
    <w:rsid w:val="7E036272"/>
    <w:rsid w:val="7E7A2C7B"/>
    <w:rsid w:val="7F0817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tabs>
        <w:tab w:val="left" w:pos="840"/>
      </w:tabs>
      <w:adjustRightInd w:val="0"/>
      <w:snapToGrid w:val="0"/>
      <w:spacing w:line="360" w:lineRule="auto"/>
      <w:outlineLvl w:val="0"/>
    </w:pPr>
    <w:rPr>
      <w:rFonts w:ascii="宋体"/>
      <w:b/>
      <w:kern w:val="44"/>
      <w:sz w:val="2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ind w:firstLine="420"/>
    </w:pPr>
    <w:rPr>
      <w:szCs w:val="20"/>
    </w:r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semiHidden/>
    <w:unhideWhenUsed/>
    <w:qFormat/>
    <w:uiPriority w:val="99"/>
    <w:pPr>
      <w:ind w:firstLine="420" w:firstLineChars="100"/>
    </w:pPr>
    <w:rPr>
      <w:rFonts w:asciiTheme="minorHAnsi" w:hAnsiTheme="minorHAnsi" w:eastAsiaTheme="minorEastAsia" w:cstheme="minorBidi"/>
      <w:szCs w:val="22"/>
    </w:rPr>
  </w:style>
  <w:style w:type="paragraph" w:styleId="7">
    <w:name w:val="Body Text Indent"/>
    <w:basedOn w:val="1"/>
    <w:autoRedefine/>
    <w:qFormat/>
    <w:uiPriority w:val="0"/>
    <w:pPr>
      <w:ind w:left="480" w:hanging="480" w:hangingChars="200"/>
    </w:pPr>
    <w:rPr>
      <w:sz w:val="24"/>
    </w:rPr>
  </w:style>
  <w:style w:type="paragraph" w:styleId="8">
    <w:name w:val="Plain Text"/>
    <w:basedOn w:val="1"/>
    <w:autoRedefine/>
    <w:qFormat/>
    <w:uiPriority w:val="0"/>
    <w:pPr>
      <w:spacing w:beforeLines="50" w:afterLines="50" w:line="400" w:lineRule="exact"/>
    </w:pPr>
    <w:rPr>
      <w:rFonts w:ascii="宋体" w:hAnsi="Courier New"/>
      <w:sz w:val="24"/>
    </w:rPr>
  </w:style>
  <w:style w:type="paragraph" w:styleId="9">
    <w:name w:val="endnote text"/>
    <w:basedOn w:val="1"/>
    <w:autoRedefine/>
    <w:unhideWhenUsed/>
    <w:qFormat/>
    <w:uiPriority w:val="99"/>
    <w:pPr>
      <w:snapToGrid w:val="0"/>
      <w:jc w:val="left"/>
    </w:pPr>
    <w:rPr>
      <w:lang w:val="zh-CN"/>
    </w:rPr>
  </w:style>
  <w:style w:type="paragraph" w:styleId="10">
    <w:name w:val="footer"/>
    <w:basedOn w:val="1"/>
    <w:link w:val="2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semiHidden/>
    <w:unhideWhenUsed/>
    <w:qFormat/>
    <w:uiPriority w:val="99"/>
    <w:pPr>
      <w:ind w:firstLine="420" w:firstLineChars="200"/>
    </w:p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BodyText1I"/>
    <w:basedOn w:val="17"/>
    <w:autoRedefine/>
    <w:qFormat/>
    <w:uiPriority w:val="0"/>
    <w:pPr>
      <w:ind w:firstLine="420" w:firstLineChars="100"/>
    </w:pPr>
  </w:style>
  <w:style w:type="paragraph" w:customStyle="1" w:styleId="17">
    <w:name w:val="BodyText"/>
    <w:basedOn w:val="1"/>
    <w:autoRedefine/>
    <w:qFormat/>
    <w:uiPriority w:val="0"/>
    <w:pPr>
      <w:spacing w:after="120"/>
    </w:pPr>
  </w:style>
  <w:style w:type="paragraph" w:customStyle="1" w:styleId="18">
    <w:name w:val="表格文字"/>
    <w:basedOn w:val="1"/>
    <w:next w:val="5"/>
    <w:autoRedefine/>
    <w:qFormat/>
    <w:uiPriority w:val="0"/>
    <w:pPr>
      <w:autoSpaceDE w:val="0"/>
      <w:autoSpaceDN w:val="0"/>
      <w:adjustRightInd w:val="0"/>
      <w:spacing w:line="420" w:lineRule="atLeast"/>
      <w:jc w:val="left"/>
      <w:textAlignment w:val="baseline"/>
    </w:pPr>
    <w:rPr>
      <w:rFonts w:hAnsi="宋体" w:cs="宋体"/>
      <w:kern w:val="0"/>
      <w:sz w:val="22"/>
      <w:lang w:val="zh-CN" w:bidi="zh-CN"/>
    </w:rPr>
  </w:style>
  <w:style w:type="character" w:customStyle="1" w:styleId="19">
    <w:name w:val="页眉 字符"/>
    <w:basedOn w:val="15"/>
    <w:link w:val="11"/>
    <w:autoRedefine/>
    <w:qFormat/>
    <w:uiPriority w:val="0"/>
    <w:rPr>
      <w:kern w:val="2"/>
      <w:sz w:val="18"/>
      <w:szCs w:val="18"/>
    </w:rPr>
  </w:style>
  <w:style w:type="character" w:customStyle="1" w:styleId="20">
    <w:name w:val="页脚 字符"/>
    <w:basedOn w:val="15"/>
    <w:link w:val="10"/>
    <w:autoRedefine/>
    <w:qFormat/>
    <w:uiPriority w:val="0"/>
    <w:rPr>
      <w:kern w:val="2"/>
      <w:sz w:val="18"/>
      <w:szCs w:val="18"/>
    </w:rPr>
  </w:style>
  <w:style w:type="paragraph" w:styleId="21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列出段落1"/>
    <w:basedOn w:val="1"/>
    <w:autoRedefine/>
    <w:qFormat/>
    <w:uiPriority w:val="0"/>
    <w:pPr>
      <w:widowControl/>
      <w:spacing w:after="160" w:line="360" w:lineRule="auto"/>
      <w:ind w:left="720"/>
      <w:contextualSpacing/>
      <w:jc w:val="left"/>
    </w:pPr>
    <w:rPr>
      <w:szCs w:val="22"/>
    </w:rPr>
  </w:style>
  <w:style w:type="table" w:customStyle="1" w:styleId="23">
    <w:name w:val="网格型1"/>
    <w:basedOn w:val="13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75a5e03b-1de9-4ed9-bcba-f3d50d431909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527683F9</paraID>
      <start>0</start>
      <end>2</end>
      <status>unmodified</status>
      <modifiedWord/>
      <trackRevisions>false</trackRevisions>
    </reviewItem>
    <reviewItem>
      <errorID>bce0fcad-0110-4938-a723-cb27aa8b5043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5911B208</paraID>
      <start>0</start>
      <end>2</end>
      <status>unmodified</status>
      <modifiedWord/>
      <trackRevisions>false</trackRevisions>
    </reviewItem>
    <reviewItem>
      <errorID>dc6a3973-c4b5-4426-933f-9c2251380b7b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64AD628E</paraID>
      <start>0</start>
      <end>2</end>
      <status>unmodified</status>
      <modifiedWord/>
      <trackRevisions>false</trackRevisions>
    </reviewItem>
    <reviewItem>
      <errorID>e994b68d-799e-4cd4-a2c8-a9ae699cda40</errorID>
      <errorWord>染</errorWord>
      <group>L1_Word</group>
      <groupName>字词问题</groupName>
      <ability>L2_Typo</ability>
      <abilityName>字词错误</abilityName>
      <candidateList>
        <item>染病</item>
      </candidateList>
      <explain/>
      <paraID>34EC2ACE</paraID>
      <start>1</start>
      <end>2</end>
      <status>unmodified</status>
      <modifiedWord/>
      <trackRevisions>false</trackRevisions>
    </reviewItem>
    <reviewItem>
      <errorID>b9994f30-c2d3-43ef-855e-9c50da22565d</errorID>
      <errorWord>染</errorWord>
      <group>L1_Word</group>
      <groupName>字词问题</groupName>
      <ability>L2_Typo</ability>
      <abilityName>字词错误</abilityName>
      <candidateList>
        <item>染病</item>
      </candidateList>
      <explain/>
      <paraID>34EC2ACE</paraID>
      <start>6</start>
      <end>7</end>
      <status>unmodified</status>
      <modifiedWord/>
      <trackRevisions>false</trackRevisions>
    </reviewItem>
    <reviewItem>
      <errorID>a8d54280-a60c-463b-b9a0-869743c73c34</errorID>
      <errorWord>制定的</errorWord>
      <group>L1_Word</group>
      <groupName>字词问题</groupName>
      <ability>L2_Typo</ability>
      <abilityName>字词错误</abilityName>
      <candidateList>
        <item>制定</item>
      </candidateList>
      <explain/>
      <paraID>7A6FC2CA</paraID>
      <start>46</start>
      <end>49</end>
      <status>unmodified</status>
      <modifiedWord/>
      <trackRevisions>false</trackRevisions>
    </reviewItem>
    <reviewItem>
      <errorID>34e7ec0e-68fe-4cee-bdda-14f4fadb9532</errorID>
      <errorWord>录</errorWord>
      <group>L1_Word</group>
      <groupName>字词问题</groupName>
      <ability>L2_Typo</ability>
      <abilityName>字词错误</abilityName>
      <candidateList>
        <item>录和</item>
      </candidateList>
      <explain/>
      <paraID> 7FDA1E9</paraID>
      <start>31</start>
      <end>32</end>
      <status>unmodified</status>
      <modifiedWord/>
      <trackRevisions>false</trackRevisions>
    </reviewItem>
    <reviewItem>
      <errorID>e4afccc8-4115-44cc-b66e-e455127aeb67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6056A11F</paraID>
      <start>0</start>
      <end>2</end>
      <status>unmodified</status>
      <modifiedWord/>
      <trackRevisions>false</trackRevisions>
    </reviewItem>
    <reviewItem>
      <errorID>14f3a9cb-39bb-46b5-86b1-c0b5a28a0611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6056A11F</paraID>
      <start>34</start>
      <end>35</end>
      <status>unmodified</status>
      <modifiedWord/>
      <trackRevisions>false</trackRevisions>
    </reviewItem>
    <reviewItem>
      <errorID>86239791-af0a-4ab0-98bd-a2f2fe3ee141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76700923</paraID>
      <start>0</start>
      <end>2</end>
      <status>unmodified</status>
      <modifiedWord/>
      <trackRevisions>false</trackRevisions>
    </reviewItem>
    <reviewItem>
      <errorID>b8f37949-5f19-4c59-bbc0-294915764735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/>
      <paraID>76700923</paraID>
      <start>6</start>
      <end>7</end>
      <status>unmodified</status>
      <modifiedWord/>
      <trackRevisions>false</trackRevisions>
    </reviewItem>
    <reviewItem>
      <errorID>87dcda10-3105-4dca-a2ba-b2ea882e1733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431B6C9D</paraID>
      <start>0</start>
      <end>2</end>
      <status>unmodified</status>
      <modifiedWord/>
      <trackRevisions>false</trackRevisions>
    </reviewItem>
    <reviewItem>
      <errorID>8b251f7b-827e-4a84-8540-a75d199f3b66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/>
      <paraID>49C0BB68</paraID>
      <start>29</start>
      <end>30</end>
      <status>unmodified</status>
      <modifiedWord/>
      <trackRevisions>false</trackRevisions>
    </reviewItem>
    <reviewItem>
      <errorID>ca81c23f-1998-4bd8-81cf-25c7205d985c</errorID>
      <errorWord>体症</errorWord>
      <group>L1_Word</group>
      <groupName>字词问题</groupName>
      <ability>L2_Typo</ability>
      <abilityName>字词错误</abilityName>
      <candidateList>
        <item>体征</item>
      </candidateList>
      <explain>存在发音相同字词的误用。</explain>
      <paraID>2A5D7872</paraID>
      <start>32</start>
      <end>34</end>
      <status>unmodified</status>
      <modifiedWord/>
      <trackRevisions>false</trackRevisions>
    </reviewItem>
    <reviewItem>
      <errorID>583c7c13-cb02-4bfa-99ac-198f23576ca6</errorID>
      <errorWord>并均</errorWord>
      <group>L1_Word</group>
      <groupName>字词问题</groupName>
      <ability>L2_Typo</ability>
      <abilityName>字词错误</abilityName>
      <candidateList>
        <item>并</item>
      </candidateList>
      <explain/>
      <paraID>2A5D7872</paraID>
      <start>94</start>
      <end>96</end>
      <status>unmodified</status>
      <modifiedWord/>
      <trackRevisions>false</trackRevisions>
    </reviewItem>
    <reviewItem>
      <errorID>9e5d63cc-fca3-4716-83c2-8fc125e4fd96</errorID>
      <errorWord>等的</errorWord>
      <group>L1_Word</group>
      <groupName>字词问题</groupName>
      <ability>L2_Typo</ability>
      <abilityName>字词错误</abilityName>
      <candidateList>
        <item>等</item>
      </candidateList>
      <explain/>
      <paraID>7EBD0D2D</paraID>
      <start>46</start>
      <end>48</end>
      <status>unmodified</status>
      <modifiedWord/>
      <trackRevisions>false</trackRevisions>
    </reviewItem>
    <reviewItem>
      <errorID>82948037-1d13-45d8-8dc5-cd587e365398</errorID>
      <errorWord>便</errorWord>
      <group>L1_Word</group>
      <groupName>字词问题</groupName>
      <ability>L2_Typo</ability>
      <abilityName>字词错误</abilityName>
      <candidateList>
        <item>便地</item>
      </candidateList>
      <explain/>
      <paraID>4AF387AB</paraID>
      <start>23</start>
      <end>24</end>
      <status>unmodified</status>
      <modifiedWord/>
      <trackRevisions>false</trackRevisions>
    </reviewItem>
    <reviewItem>
      <errorID>754e0c24-74f5-44fb-9fe7-e14a51e3ac66</errorID>
      <errorWord>、以及</errorWord>
      <group>L1_Punc</group>
      <groupName>标点问题</groupName>
      <ability>L2_Punc_CN</ability>
      <abilityName>标点符号问题</abilityName>
      <candidateList>
        <item>，以及</item>
      </candidateList>
      <explain>连接词前后不宜使用顿号，建议使用逗号。</explain>
      <paraID>296BAD98</paraID>
      <start>76</start>
      <end>79</end>
      <status>unmodified</status>
      <modifiedWord/>
      <trackRevisions>false</trackRevisions>
    </reviewItem>
    <reviewItem>
      <errorID>1331959f-7380-4c06-b3bb-6733655a2261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296BAD98</paraID>
      <start>79</start>
      <end>81</end>
      <status>unmodified</status>
      <modifiedWord/>
      <trackRevisions>false</trackRevisions>
    </reviewItem>
    <reviewItem>
      <errorID>5e0347f7-746c-4022-9055-84c7ed459c4a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13F4B05B</paraID>
      <start>4</start>
      <end>5</end>
      <status>unmodified</status>
      <modifiedWord/>
      <trackRevisions>false</trackRevisions>
    </reviewItem>
    <reviewItem>
      <errorID>befc7309-0a69-475d-8ec6-57d0dc39b007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6EC65D78</paraID>
      <start>5</start>
      <end>6</end>
      <status>unmodified</status>
      <modifiedWord/>
      <trackRevisions>false</trackRevisions>
    </reviewItem>
    <reviewItem>
      <errorID>84916026-5387-4eee-8b0b-40b204c40d83</errorID>
      <errorWord>要求</errorWord>
      <group>L1_Word</group>
      <groupName>字词问题</groupName>
      <ability>L2_Typo</ability>
      <abilityName>字词错误</abilityName>
      <candidateList>
        <item>要</item>
      </candidateList>
      <explain/>
      <paraID>6902ECB4</paraID>
      <start>69</start>
      <end>71</end>
      <status>unmodified</status>
      <modifiedWord/>
      <trackRevisions>false</trackRevisions>
    </reviewItem>
    <reviewItem>
      <errorID>1bf627fa-e351-45a6-8baa-b4e12ca53e8b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1A131D42</paraID>
      <start>6</start>
      <end>7</end>
      <status>unmodified</status>
      <modifiedWord/>
      <trackRevisions>false</trackRevisions>
    </reviewItem>
    <reviewItem>
      <errorID>acb1979e-73ab-4dbc-88b0-15cc27391edb</errorID>
      <errorWord>，就</errorWord>
      <group>L1_Word</group>
      <groupName>字词问题</groupName>
      <ability>L2_Typo</ability>
      <abilityName>字词错误</abilityName>
      <candidateList>
        <item>，</item>
      </candidateList>
      <explain/>
      <paraID>1A131D42</paraID>
      <start>18</start>
      <end>20</end>
      <status>unmodified</status>
      <modifiedWord/>
      <trackRevisions>false</trackRevisions>
    </reviewItem>
    <reviewItem>
      <errorID>d1bea866-74ad-446f-88a7-a6f191d44621</errorID>
      <errorWord>、以及</errorWord>
      <group>L1_Punc</group>
      <groupName>标点问题</groupName>
      <ability>L2_Punc_CN</ability>
      <abilityName>标点符号问题</abilityName>
      <candidateList>
        <item>，以及</item>
      </candidateList>
      <explain>连接词前后不宜使用顿号，建议使用逗号。</explain>
      <paraID>1A131D42</paraID>
      <start>34</start>
      <end>37</end>
      <status>unmodified</status>
      <modifiedWord/>
      <trackRevisions>false</trackRevisions>
    </reviewItem>
    <reviewItem>
      <errorID>c6f907f3-11a8-4ec9-b97e-b7894875dbd7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EA516FA</paraID>
      <start>7</start>
      <end>8</end>
      <status>unmodified</status>
      <modifiedWord/>
      <trackRevisions>false</trackRevisions>
    </reviewItem>
    <reviewItem>
      <errorID>d89834e2-0a90-42d1-9001-54b80d44c9cd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710FBBA4</paraID>
      <start>4</start>
      <end>5</end>
      <status>unmodified</status>
      <modifiedWord/>
      <trackRevisions>false</trackRevisions>
    </reviewItem>
    <reviewItem>
      <errorID>3bbb7a9e-071d-440a-893f-66f633d457bf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252B97DF</paraID>
      <start>4</start>
      <end>5</end>
      <status>unmodified</status>
      <modifiedWord/>
      <trackRevisions>false</trackRevisions>
    </reviewItem>
    <reviewItem>
      <errorID>f4b83ba2-a524-4819-85c5-0546f65dbece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2D5DA48A</paraID>
      <start>4</start>
      <end>5</end>
      <status>unmodified</status>
      <modifiedWord/>
      <trackRevisions>false</trackRevisions>
    </reviewItem>
    <reviewItem>
      <errorID>b6d34441-25e9-4d1c-9014-679c40f2db89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3B30A9F6</paraID>
      <start>4</start>
      <end>5</end>
      <status>unmodified</status>
      <modifiedWord/>
      <trackRevisions>false</trackRevisions>
    </reviewItem>
    <reviewItem>
      <errorID>d82648e2-7d7f-48ab-9a36-0235ac189417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6E2A1CC3</paraID>
      <start>40</start>
      <end>41</end>
      <status>unmodified</status>
      <modifiedWord/>
      <trackRevisions>false</trackRevisions>
    </reviewItem>
    <reviewItem>
      <errorID>a90566e7-8337-4f05-9540-872f1a75d41f</errorID>
      <errorWord>腹透炎</errorWord>
      <group>L1_Word</group>
      <groupName>字词问题</groupName>
      <ability>L2_Typo</ability>
      <abilityName>字词错误</abilityName>
      <candidateList>
        <item>腹膜炎</item>
      </candidateList>
      <explain/>
      <paraID>506FC59C</paraID>
      <start>16</start>
      <end>19</end>
      <status>unmodified</status>
      <modifiedWord/>
      <trackRevisions>false</trackRevisions>
    </reviewItem>
    <reviewItem>
      <errorID>42789b7a-f375-49dc-9aed-11bc460c51e6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2170C816</paraID>
      <start>0</start>
      <end>2</end>
      <status>unmodified</status>
      <modifiedWord/>
      <trackRevisions>false</trackRevisions>
    </reviewItem>
    <reviewItem>
      <errorID>7c0e964c-a4bb-447f-b1da-1633588ab8bc</errorID>
      <errorWord>提供其它</errorWord>
      <group>L1_Word</group>
      <groupName>字词问题</groupName>
      <ability>L2_Alias</ability>
      <abilityName>也作/曾用词</abilityName>
      <candidateList>
        <item>提供其他</item>
      </candidateList>
      <explain>词汇[提供其它]为不规范表述或旧称，其规范书面表述为[提供其他]。</explain>
      <paraID>2170C816</paraID>
      <start>8</start>
      <end>12</end>
      <status>unmodified</status>
      <modifiedWord/>
      <trackRevisions>false</trackRevisions>
    </reviewItem>
    <reviewItem>
      <errorID>ec0337ef-e46b-441c-8d7c-da148f114825</errorID>
      <errorWord>维护的</errorWord>
      <group>L1_Word</group>
      <groupName>字词问题</groupName>
      <ability>L2_Typo</ability>
      <abilityName>字词错误</abilityName>
      <candidateList>
        <item>维护</item>
      </candidateList>
      <explain/>
      <paraID>3C8580C9</paraID>
      <start>17</start>
      <end>20</end>
      <status>unmodified</status>
      <modifiedWord/>
      <trackRevisions>false</trackRevisions>
    </reviewItem>
    <reviewItem>
      <errorID>0abf1310-e20b-454e-95d5-c6274f9bb72e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25168DFE</paraID>
      <start>0</start>
      <end>2</end>
      <status>unmodified</status>
      <modifiedWord/>
      <trackRevisions>false</trackRevisions>
    </reviewItem>
    <reviewItem>
      <errorID>811e87b2-66ac-4833-8db2-02d213e11419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333ABA70</paraID>
      <start>8</start>
      <end>10</end>
      <status>unmodified</status>
      <modifiedWord/>
      <trackRevisions>false</trackRevisions>
    </reviewItem>
    <reviewItem>
      <errorID>b406fb57-5034-4dac-a2a1-66f0932f8d83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47DA2BC0</paraID>
      <start>8</start>
      <end>10</end>
      <status>unmodified</status>
      <modifiedWord/>
      <trackRevisions>false</trackRevisions>
    </reviewItem>
    <reviewItem>
      <errorID>01a11b7f-419b-434a-a748-84d2beb629dd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70C233C7</paraID>
      <start>0</start>
      <end>2</end>
      <status>unmodified</status>
      <modifiedWord/>
      <trackRevisions>false</trackRevisions>
    </reviewItem>
    <reviewItem>
      <errorID>f9582d04-1068-4d37-984a-bc75650bbdfd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70C233C7</paraID>
      <start>12</start>
      <end>13</end>
      <status>unmodified</status>
      <modifiedWord/>
      <trackRevisions>false</trackRevisions>
    </reviewItem>
    <reviewItem>
      <errorID>1ddb5076-56b4-4921-8166-82cb89b11d8b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41BF590E</paraID>
      <start>0</start>
      <end>2</end>
      <status>unmodified</status>
      <modifiedWord/>
      <trackRevisions>false</trackRevisions>
    </reviewItem>
    <reviewItem>
      <errorID>b282b88f-6732-4588-ac06-ea2223cdaaee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51C849B8</paraID>
      <start>0</start>
      <end>2</end>
      <status>unmodified</status>
      <modifiedWord/>
      <trackRevisions>false</trackRevisions>
    </reviewItem>
    <reviewItem>
      <errorID>802baa26-fbcb-4e7f-877c-d5da0f356147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4B1590C5</paraID>
      <start>0</start>
      <end>2</end>
      <status>unmodified</status>
      <modifiedWord/>
      <trackRevisions>false</trackRevisions>
    </reviewItem>
    <reviewItem>
      <errorID>58966c56-189d-4139-963f-574a6d598d69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42F99AF0</paraID>
      <start>0</start>
      <end>2</end>
      <status>unmodified</status>
      <modifiedWord/>
      <trackRevisions>false</trackRevisions>
    </reviewItem>
    <reviewItem>
      <errorID>2e112c21-b529-4235-976d-ffbc62564777</errorID>
      <errorWord>间</errorWord>
      <group>L1_Word</group>
      <groupName>字词问题</groupName>
      <ability>L2_Typo</ability>
      <abilityName>字词错误</abilityName>
      <candidateList>
        <item>间和</item>
      </candidateList>
      <explain/>
      <paraID>12EADE2D</paraID>
      <start>45</start>
      <end>46</end>
      <status>unmodified</status>
      <modifiedWord/>
      <trackRevisions>false</trackRevisions>
    </reviewItem>
    <reviewItem>
      <errorID>5f8e03f6-ec9b-4ccf-a820-08e57f263d5c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2F09B4E8</paraID>
      <start>0</start>
      <end>2</end>
      <status>unmodified</status>
      <modifiedWord/>
      <trackRevisions>false</trackRevisions>
    </reviewItem>
    <reviewItem>
      <errorID>ae64935b-6813-406b-a877-e32a47299579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6C8DEC27</paraID>
      <start>0</start>
      <end>2</end>
      <status>unmodified</status>
      <modifiedWord/>
      <trackRevisions>false</trackRevisions>
    </reviewItem>
    <reviewItem>
      <errorID>b39efa98-474b-4cac-a0ab-15f4f51019da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6C8DEC27</paraID>
      <start>79</start>
      <end>81</end>
      <status>unmodified</status>
      <modifiedWord/>
      <trackRevisions>false</trackRevisions>
    </reviewItem>
    <reviewItem>
      <errorID>a22a482c-1322-4822-814b-47c4208f50da</errorID>
      <errorWord>藉此</errorWord>
      <group>L1_Word</group>
      <groupName>字词问题</groupName>
      <ability>L2_Fanti</ability>
      <abilityName>繁转简</abilityName>
      <candidateList>
        <item>借此</item>
      </candidateList>
      <explain/>
      <paraID>6C8DEC27</paraID>
      <start>140</start>
      <end>142</end>
      <status>unmodified</status>
      <modifiedWord/>
      <trackRevisions>false</trackRevisions>
    </reviewItem>
    <reviewItem>
      <errorID>0b0f044b-5e2a-4d0a-93aa-ba27599a1caa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6D6D856C</paraID>
      <start>0</start>
      <end>2</end>
      <status>unmodified</status>
      <modifiedWord/>
      <trackRevisions>false</trackRevisions>
    </reviewItem>
    <reviewItem>
      <errorID>d413bfec-3cd8-4bb6-b66c-20021098ba1e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7D5F7B4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23669f-d573-44a9-8f4a-0744da6968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3239</Words>
  <Characters>3339</Characters>
  <Lines>50</Lines>
  <Paragraphs>14</Paragraphs>
  <TotalTime>10</TotalTime>
  <ScaleCrop>false</ScaleCrop>
  <LinksUpToDate>false</LinksUpToDate>
  <CharactersWithSpaces>3414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2024-07-30T10:04:00Z</dcterms:created>
  <dc:creator>小米</dc:creator>
  <cp:lastModifiedBy>15957778420</cp:lastModifiedBy>
  <dcterms:modified xsi:type="dcterms:W3CDTF">2026-09-08T00:44:18Z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CA26B091A59341239D3BDEAD5E4B91BA_13</vt:lpwstr>
  </property>
  <property fmtid="{D5CDD505-2E9C-101B-9397-08002B2CF9AE}" pid="4" name="KSOTemplateDocerSaveRecord">
    <vt:lpwstr>eyJoZGlkIjoiMjBhZDY0MjgzZjY4OWMyYzg3ZjZjZTcyMzZmMDEwYjIiLCJ1c2VySWQiOiI2ODQ4MTUwMTQifQ==</vt:lpwstr>
  </property>
</Properties>
</file>