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jc w:val="center"/>
        <w:rPr>
          <w:rFonts w:hint="default" w:ascii="宋体" w:hAnsi="宋体" w:eastAsia="宋体" w:cs="宋体"/>
          <w:b/>
          <w:bCs/>
          <w:color w:val="000000"/>
          <w:sz w:val="36"/>
          <w:szCs w:val="36"/>
          <w:lang w:val="en-US" w:eastAsia="zh-CN"/>
        </w:rPr>
      </w:pPr>
      <w:bookmarkStart w:id="0" w:name="_Toc451522337"/>
      <w:r>
        <w:rPr>
          <w:rFonts w:hint="eastAsia" w:ascii="宋体" w:hAnsi="宋体" w:eastAsia="宋体" w:cs="宋体"/>
          <w:b/>
          <w:bCs/>
          <w:color w:val="000000"/>
          <w:sz w:val="36"/>
          <w:szCs w:val="36"/>
          <w:lang w:val="en-US" w:eastAsia="zh-CN"/>
        </w:rPr>
        <w:t>温州市中医院</w:t>
      </w:r>
      <w:bookmarkEnd w:id="0"/>
      <w:r>
        <w:rPr>
          <w:rFonts w:hint="eastAsia" w:ascii="宋体" w:hAnsi="宋体" w:cs="宋体"/>
          <w:b/>
          <w:bCs/>
          <w:color w:val="auto"/>
          <w:sz w:val="36"/>
          <w:szCs w:val="36"/>
          <w:highlight w:val="none"/>
          <w:lang w:val="en-US" w:eastAsia="zh-CN"/>
        </w:rPr>
        <w:t>遴选文件</w:t>
      </w:r>
    </w:p>
    <w:p>
      <w:pPr>
        <w:numPr>
          <w:ilvl w:val="0"/>
          <w:numId w:val="0"/>
        </w:numPr>
        <w:spacing w:line="360" w:lineRule="auto"/>
        <w:ind w:firstLine="562" w:firstLineChars="200"/>
        <w:rPr>
          <w:rFonts w:hint="eastAsia" w:ascii="宋体" w:hAnsi="宋体" w:eastAsia="宋体" w:cs="宋体"/>
          <w:b/>
          <w:bCs/>
          <w:sz w:val="28"/>
          <w:szCs w:val="28"/>
          <w:lang w:val="en-US" w:eastAsia="zh-CN"/>
        </w:rPr>
      </w:pPr>
    </w:p>
    <w:p>
      <w:pPr>
        <w:numPr>
          <w:ilvl w:val="0"/>
          <w:numId w:val="0"/>
        </w:numPr>
        <w:spacing w:line="360" w:lineRule="auto"/>
        <w:rPr>
          <w:rFonts w:hint="eastAsia" w:ascii="宋体" w:hAnsi="宋体" w:eastAsia="宋体" w:cs="宋体"/>
          <w:b w:val="0"/>
          <w:bCs w:val="0"/>
          <w:color w:val="FF0000"/>
          <w:sz w:val="24"/>
          <w:szCs w:val="24"/>
        </w:rPr>
      </w:pPr>
      <w:r>
        <w:rPr>
          <w:rFonts w:hint="eastAsia" w:ascii="宋体" w:hAnsi="宋体" w:eastAsia="宋体" w:cs="宋体"/>
          <w:b/>
          <w:bCs/>
          <w:sz w:val="28"/>
          <w:szCs w:val="28"/>
          <w:lang w:val="en-US" w:eastAsia="zh-CN"/>
        </w:rPr>
        <w:t>一、项目名称</w:t>
      </w:r>
      <w:r>
        <w:rPr>
          <w:rFonts w:hint="eastAsia" w:ascii="宋体" w:hAnsi="宋体" w:eastAsia="宋体" w:cs="宋体"/>
          <w:sz w:val="24"/>
          <w:szCs w:val="24"/>
        </w:rPr>
        <w:t>：</w:t>
      </w:r>
      <w:r>
        <w:rPr>
          <w:rFonts w:hint="eastAsia" w:ascii="宋体" w:hAnsi="宋体" w:eastAsia="宋体" w:cs="宋体"/>
          <w:b w:val="0"/>
          <w:bCs w:val="0"/>
          <w:sz w:val="24"/>
          <w:szCs w:val="24"/>
          <w:lang w:val="en-US" w:eastAsia="zh-Hans"/>
        </w:rPr>
        <w:t>温州市中医院</w:t>
      </w:r>
      <w:bookmarkStart w:id="4" w:name="_GoBack"/>
      <w:bookmarkStart w:id="1" w:name="OLE_LINK1"/>
      <w:r>
        <w:rPr>
          <w:rFonts w:hint="eastAsia" w:ascii="宋体" w:hAnsi="宋体" w:eastAsia="宋体" w:cs="宋体"/>
          <w:color w:val="auto"/>
          <w:sz w:val="24"/>
          <w:szCs w:val="24"/>
          <w:highlight w:val="none"/>
        </w:rPr>
        <w:t>护理管理系统维保</w:t>
      </w:r>
      <w:bookmarkEnd w:id="1"/>
    </w:p>
    <w:bookmarkEnd w:id="4"/>
    <w:p>
      <w:pPr>
        <w:spacing w:line="360" w:lineRule="auto"/>
        <w:rPr>
          <w:rFonts w:hint="eastAsia" w:ascii="宋体" w:hAnsi="宋体" w:eastAsia="宋体" w:cs="宋体"/>
          <w:sz w:val="24"/>
          <w:szCs w:val="24"/>
          <w:lang w:val="en-US"/>
        </w:rPr>
      </w:pPr>
      <w:r>
        <w:rPr>
          <w:rFonts w:hint="eastAsia" w:ascii="宋体" w:hAnsi="宋体" w:eastAsia="宋体" w:cs="宋体"/>
          <w:b/>
          <w:bCs/>
          <w:sz w:val="28"/>
          <w:szCs w:val="28"/>
          <w:lang w:val="en-US" w:eastAsia="zh-CN"/>
        </w:rPr>
        <w:t>二、采购方式：</w:t>
      </w:r>
      <w:r>
        <w:rPr>
          <w:rFonts w:hint="eastAsia" w:ascii="宋体" w:hAnsi="宋体" w:eastAsia="宋体" w:cs="宋体"/>
          <w:sz w:val="24"/>
          <w:szCs w:val="24"/>
          <w:lang w:val="en-US" w:eastAsia="zh-CN"/>
        </w:rPr>
        <w:t>院内公开遴选（非政府采购）</w:t>
      </w:r>
    </w:p>
    <w:p>
      <w:pPr>
        <w:spacing w:line="360" w:lineRule="auto"/>
        <w:rPr>
          <w:rFonts w:hint="eastAsia" w:ascii="宋体" w:hAnsi="宋体" w:eastAsia="宋体" w:cs="宋体"/>
          <w:sz w:val="24"/>
          <w:szCs w:val="24"/>
        </w:rPr>
      </w:pP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预算</w:t>
      </w:r>
      <w:r>
        <w:rPr>
          <w:rFonts w:hint="eastAsia" w:ascii="宋体" w:hAnsi="宋体" w:eastAsia="宋体" w:cs="宋体"/>
          <w:b/>
          <w:bCs/>
          <w:sz w:val="28"/>
          <w:szCs w:val="28"/>
          <w:lang w:val="en-US" w:eastAsia="zh-CN"/>
        </w:rPr>
        <w:t>金额</w:t>
      </w:r>
      <w:r>
        <w:rPr>
          <w:rFonts w:hint="eastAsia" w:ascii="宋体" w:hAnsi="宋体" w:eastAsia="宋体" w:cs="宋体"/>
          <w:b/>
          <w:bCs/>
          <w:sz w:val="28"/>
          <w:szCs w:val="28"/>
        </w:rPr>
        <w:t>：</w:t>
      </w:r>
      <w:r>
        <w:rPr>
          <w:rFonts w:hint="eastAsia" w:ascii="宋体" w:hAnsi="宋体" w:eastAsia="宋体" w:cs="宋体"/>
          <w:b w:val="0"/>
          <w:bCs w:val="0"/>
          <w:sz w:val="24"/>
          <w:szCs w:val="24"/>
          <w:lang w:val="en-US" w:eastAsia="zh-CN"/>
        </w:rPr>
        <w:t>30000</w:t>
      </w:r>
      <w:r>
        <w:rPr>
          <w:rFonts w:hint="eastAsia" w:ascii="宋体" w:hAnsi="宋体" w:eastAsia="宋体" w:cs="宋体"/>
          <w:sz w:val="24"/>
          <w:szCs w:val="24"/>
        </w:rPr>
        <w:t>元</w:t>
      </w:r>
      <w:r>
        <w:rPr>
          <w:rFonts w:hint="eastAsia" w:ascii="宋体" w:hAnsi="宋体" w:eastAsia="宋体" w:cs="宋体"/>
          <w:sz w:val="24"/>
          <w:szCs w:val="24"/>
          <w:lang w:val="en-US" w:eastAsia="zh-CN"/>
        </w:rPr>
        <w:t>/</w:t>
      </w:r>
      <w:r>
        <w:rPr>
          <w:rFonts w:hint="eastAsia" w:ascii="宋体" w:hAnsi="宋体" w:eastAsia="宋体" w:cs="宋体"/>
          <w:sz w:val="24"/>
          <w:szCs w:val="24"/>
        </w:rPr>
        <w:t>年</w:t>
      </w:r>
    </w:p>
    <w:p>
      <w:pPr>
        <w:spacing w:line="360" w:lineRule="auto"/>
        <w:rPr>
          <w:rFonts w:hint="eastAsia" w:ascii="宋体" w:hAnsi="宋体" w:eastAsia="宋体" w:cs="宋体"/>
          <w:b/>
          <w:bCs/>
          <w:color w:val="000000"/>
          <w:sz w:val="28"/>
          <w:szCs w:val="28"/>
        </w:rPr>
      </w:pPr>
      <w:r>
        <w:rPr>
          <w:rFonts w:hint="eastAsia" w:ascii="宋体" w:hAnsi="宋体" w:eastAsia="宋体" w:cs="宋体"/>
          <w:b/>
          <w:bCs/>
          <w:color w:val="000000"/>
          <w:sz w:val="28"/>
          <w:szCs w:val="28"/>
          <w:lang w:val="en-US" w:eastAsia="zh-CN"/>
        </w:rPr>
        <w:t>四</w:t>
      </w:r>
      <w:r>
        <w:rPr>
          <w:rFonts w:hint="eastAsia" w:ascii="宋体" w:hAnsi="宋体" w:eastAsia="宋体" w:cs="宋体"/>
          <w:b/>
          <w:bCs/>
          <w:color w:val="000000"/>
          <w:sz w:val="28"/>
          <w:szCs w:val="28"/>
        </w:rPr>
        <w:t>、服务期限及付款方式</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1、服务期限：1年，自合同签订之日起计。合作期内如因政策变更，导致合同无法履行，则合同自行终止，双方互不承担责任。</w:t>
      </w:r>
    </w:p>
    <w:p>
      <w:pPr>
        <w:spacing w:line="360" w:lineRule="auto"/>
        <w:ind w:firstLine="480" w:firstLineChars="200"/>
        <w:rPr>
          <w:rFonts w:hint="eastAsia" w:ascii="宋体" w:hAnsi="宋体" w:eastAsia="宋体" w:cs="宋体"/>
        </w:rPr>
      </w:pPr>
      <w:r>
        <w:rPr>
          <w:rFonts w:hint="eastAsia" w:ascii="宋体" w:hAnsi="宋体" w:eastAsia="宋体" w:cs="宋体"/>
          <w:sz w:val="24"/>
          <w:szCs w:val="24"/>
          <w:lang w:val="en-US" w:eastAsia="zh-CN"/>
        </w:rPr>
        <w:t>2、</w:t>
      </w:r>
      <w:r>
        <w:rPr>
          <w:rFonts w:hint="eastAsia" w:ascii="宋体" w:hAnsi="宋体" w:eastAsia="宋体" w:cs="宋体"/>
          <w:sz w:val="24"/>
          <w:szCs w:val="24"/>
        </w:rPr>
        <w:t>付款方式：在服务期半年期到后</w:t>
      </w:r>
      <w:r>
        <w:rPr>
          <w:rFonts w:hint="eastAsia" w:ascii="宋体" w:hAnsi="宋体" w:eastAsia="宋体" w:cs="宋体"/>
          <w:sz w:val="24"/>
          <w:szCs w:val="24"/>
          <w:lang w:val="en-US" w:eastAsia="zh-CN"/>
        </w:rPr>
        <w:t>三</w:t>
      </w:r>
      <w:r>
        <w:rPr>
          <w:rFonts w:hint="eastAsia" w:ascii="宋体" w:hAnsi="宋体" w:eastAsia="宋体" w:cs="宋体"/>
          <w:sz w:val="24"/>
          <w:szCs w:val="24"/>
        </w:rPr>
        <w:t>个月内支付合同总金额的50%，服务期满后</w:t>
      </w:r>
      <w:r>
        <w:rPr>
          <w:rFonts w:hint="eastAsia" w:ascii="宋体" w:hAnsi="宋体" w:eastAsia="宋体" w:cs="宋体"/>
          <w:sz w:val="24"/>
          <w:szCs w:val="24"/>
          <w:lang w:val="en-US" w:eastAsia="zh-CN"/>
        </w:rPr>
        <w:t>三</w:t>
      </w:r>
      <w:r>
        <w:rPr>
          <w:rFonts w:hint="eastAsia" w:ascii="宋体" w:hAnsi="宋体" w:eastAsia="宋体" w:cs="宋体"/>
          <w:sz w:val="24"/>
          <w:szCs w:val="24"/>
        </w:rPr>
        <w:t xml:space="preserve">个月内支付合同总金额的50%。 </w:t>
      </w:r>
    </w:p>
    <w:p>
      <w:pPr>
        <w:spacing w:line="360" w:lineRule="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w:t>
      </w:r>
      <w:r>
        <w:rPr>
          <w:rFonts w:hint="eastAsia" w:ascii="宋体" w:hAnsi="宋体" w:eastAsia="宋体" w:cs="宋体"/>
          <w:b/>
          <w:bCs/>
          <w:sz w:val="28"/>
          <w:szCs w:val="28"/>
        </w:rPr>
        <w:t>、服务具体</w:t>
      </w:r>
      <w:r>
        <w:rPr>
          <w:rFonts w:hint="eastAsia" w:ascii="宋体" w:hAnsi="宋体" w:eastAsia="宋体" w:cs="宋体"/>
          <w:b/>
          <w:bCs/>
          <w:sz w:val="28"/>
          <w:szCs w:val="28"/>
          <w:lang w:val="en-US" w:eastAsia="zh-CN"/>
        </w:rPr>
        <w:t>要求</w:t>
      </w:r>
    </w:p>
    <w:p>
      <w:pPr>
        <w:pStyle w:val="2"/>
        <w:numPr>
          <w:ilvl w:val="0"/>
          <w:numId w:val="0"/>
        </w:numPr>
        <w:spacing w:line="360" w:lineRule="auto"/>
        <w:ind w:leftChars="0"/>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技术服务范围</w:t>
      </w:r>
    </w:p>
    <w:tbl>
      <w:tblPr>
        <w:tblStyle w:val="13"/>
        <w:tblW w:w="9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540"/>
        <w:gridCol w:w="2813"/>
        <w:gridCol w:w="4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编号</w:t>
            </w:r>
          </w:p>
        </w:tc>
        <w:tc>
          <w:tcPr>
            <w:tcW w:w="1540"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功能模块</w:t>
            </w:r>
          </w:p>
        </w:tc>
        <w:tc>
          <w:tcPr>
            <w:tcW w:w="6935"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护理人员动态档案管理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护理人员基本档案---列表展示及高级查询</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可按职工性质分类查询；2.提供工号、姓名、简码的快速查询；3.提供人员高级查询；4.可按科室显示人员；5.可自定义显示列及列显示顺序；6.可自定义每页记录显示数7.整体录入功能（批量的信息改变）8.护士注册的时间提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护理人员基本档案-增加、修改、注销及验证</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1.护理人员建档、基本信息修改及人员注销；2.自定义字段是否显示；3.自定义字段是否可修改；4.身份证等数据合法性验证；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护理人员基本档案---档案导入导出</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1.可自定义excel导入模版（新增更更新）；2.excel数据导入（新增或更新）；3.excel数据导出（可自定义导出列）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护理人员调动---查询分析及导出</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1.按科室、人员信息、时间段查询；2.excel导出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护理人员调动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1.指定到人员、调出科室、调出日期，执行调动；2.撤消调动记录，清除相关数据痕迹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批量照片导入</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可选定的单个或多个科室，根据职工姓名对应的照片名称进行一对一的自动导入建档。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护士男女比例分布分析表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分析全院及各科男女护士比例情况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护士职务分布分析表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分析全院及各科护士职务分布情况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护士职称分布分析表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分析全院及各科护士职称情况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护士学历分布分析表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分析全院及各科护士学历分布情况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护士工作年限分析表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分析全院及各科护士工作年限情况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护士服、鞋码的统计表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汇总数据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护士状态分析表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分析护士人事编制情况，如在职、反聘、合同、临时等（含产假、病假、哺乳假、事假、培训、进修）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护士离职率分析表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分析全院及各科护士离职率.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护士层级分布表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分析全院护士层级分布情况（自定义）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床护比分析表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分析全院及各科床护比；一线护士数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护理排班及请假管理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highlight w:val="yellow"/>
              </w:rPr>
            </w:pPr>
            <w:r>
              <w:rPr>
                <w:rFonts w:hint="eastAsia" w:ascii="宋体" w:hAnsi="宋体" w:eastAsia="宋体" w:cs="宋体"/>
                <w:kern w:val="0"/>
                <w:sz w:val="21"/>
                <w:szCs w:val="21"/>
              </w:rPr>
              <w:t>护理单元设置</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highlight w:val="yellow"/>
              </w:rPr>
            </w:pPr>
            <w:r>
              <w:rPr>
                <w:rFonts w:hint="eastAsia" w:ascii="宋体" w:hAnsi="宋体" w:eastAsia="宋体" w:cs="宋体"/>
                <w:kern w:val="0"/>
                <w:sz w:val="21"/>
                <w:szCs w:val="21"/>
              </w:rPr>
              <w:t>指定护理单元排班班次，由护理部设置医院各病区需要的排班班次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排班班次设置</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1.由护理部设置医院各病区需要的排班班次；2.可直接对应班次到指定排班组；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床位数维护</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1.各病区的核定床位数、固定加床、挂床、实际开放床位数的维护；2.在编人数、核定床护比、固定床护比、实际床护比的统计；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排班权限设置</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由护理部指定各班组负责排班的人，支持一个护士长给多个病区排班；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护理排班</w:t>
            </w:r>
          </w:p>
        </w:tc>
        <w:tc>
          <w:tcPr>
            <w:tcW w:w="4122" w:type="dxa"/>
            <w:tcBorders>
              <w:top w:val="single" w:color="auto" w:sz="4" w:space="0"/>
              <w:left w:val="nil"/>
              <w:bottom w:val="single" w:color="auto" w:sz="4" w:space="0"/>
              <w:right w:val="single" w:color="auto" w:sz="4" w:space="0"/>
            </w:tcBorders>
            <w:noWrap w:val="0"/>
            <w:vAlign w:val="center"/>
          </w:tcPr>
          <w:p>
            <w:pPr>
              <w:spacing w:line="360" w:lineRule="auto"/>
              <w:rPr>
                <w:rFonts w:hint="eastAsia" w:ascii="宋体" w:hAnsi="宋体" w:eastAsia="宋体" w:cs="宋体"/>
                <w:sz w:val="21"/>
                <w:szCs w:val="21"/>
              </w:rPr>
            </w:pPr>
            <w:r>
              <w:rPr>
                <w:rFonts w:hint="eastAsia" w:ascii="宋体" w:hAnsi="宋体" w:eastAsia="宋体" w:cs="宋体"/>
                <w:sz w:val="21"/>
                <w:szCs w:val="21"/>
              </w:rPr>
              <w:t>1.分病区、分人员按周填报护理人员每天排班数据及备注；2.支持一次操作多人、复制粘贴、模板导入、备注等功能；3.病区可自定义人员排序、班次颜色等，允许病区人员调出；4.支持彩色excel导出、彩色打印；5.支持右侧输入文本；查看时段在岗护士数；备注栏：护士的排班要求）；可以统计某位护士的某段时间的班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护理人员一览表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1.按科室、按学历一览显示护理人员；2.结合排班等数据，可显示床护比、当天在岗/请假人员情况；3.帮助管理部门即时分析工作量饱和度，合理调配人员、照片关联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全院排班情况</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可查看所有护理单元的排班情况；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排班分类汇总</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按白班、夜班等汇总同类班次，汇总排班数据；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日常工作与学习</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年度工作计划</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科室填报年度工作计划、护理部查看全院科室的工作计划。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护理科务会</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护理科务会登记上报，记录参加科务会的人员、存在的问题、整体改措施、其它问题讨论的结果。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护理隐患讨论</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护理隐患讨论记录，记录讨论时间、护理隐患内容、原困分析、整改措施、参加人数等信息。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业务学习项目登记</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业务学习事项的记录，记录业务学习科室、学习内容、讲师老师、参加人数、及相关课件。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护理疾病查房</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护理疾病查房记录，记录护理疾病名称、病区、主查老师、参加人数、及相关附件。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年度工作总结</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科室填报年度工作总结，护理部查看全院科室年度工作总结。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制度稽查登记表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护理管理制度稽查登记表，记录科室人员对护理制度执行的评价结果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临床护理风险防范</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记录科室，培训时间以及培训老师，相关授课内容，自动获取科室人员做授课考核评价。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集体荣誉登记</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集体荣誉登记记录获奖科室，所获得的奖项，获奖的级别，获奖时间，添加相关备注，上传有关获奖附件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质量检查与查房</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质量检查指标维护</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分病区，分类型设置质量检查指标或项目；有三级质控（有追踪检查、有反馈）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护理质量检查（抽查）</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部组织质量抽查，在此记录检查评分情况。抽查内容包括：普通科室质量检查、急诊科室质量检查、ICU质量检查、供应室质量检查、手术室质量检查、腹透质控检查、新生儿科质量检查、血透室质量检查、分娩室质量检查等；静配中心质量检查（可以用平板检查后，直接导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行政查房</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分护理部行政查房和科护士长行政查房，根据既定的行政查房项目（制度落实、安全目标、护士素质、其他）进行打分，填写扣分原因。(支持满分护理单元快速录入)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质量检查分析</w:t>
            </w:r>
          </w:p>
        </w:tc>
        <w:tc>
          <w:tcPr>
            <w:tcW w:w="4122" w:type="dxa"/>
            <w:tcBorders>
              <w:top w:val="single" w:color="auto" w:sz="4" w:space="0"/>
              <w:left w:val="nil"/>
              <w:bottom w:val="single" w:color="auto" w:sz="4" w:space="0"/>
              <w:right w:val="single" w:color="auto" w:sz="4" w:space="0"/>
            </w:tcBorders>
            <w:noWrap w:val="0"/>
            <w:vAlign w:val="center"/>
          </w:tcPr>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分值汇总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质量问题汇总</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汇总质量自查与抽查、行政查房、护理夜查房过程中发现的问题，方便护理部对单项问题做多病区分析或者对某病区做重点问题分析。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护理教育管理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新护士考试成绩管理</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管理新护士院级和科级的理论考试和操作考试（分中医、西医、科室仪器）的成绩、补考成绩、次数及组织人等情况。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在职护士成绩管理</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管理在职护士院级和科级的理论考试和操作考试的成绩、补考成绩、次数及组织人等情况。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护理不良事件</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不良事件管理（整合模式）</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针对护理隐患（未发生），护理不良事件（已发生）：给药错误、针刺伤、烫伤、药物外渗、非计划性拔管、跌倒、压力性损伤、失禁相关性皮炎、其他等情况进行的上报、管理、整改分析；数据分析汇总、分类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病区事务管理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护士长工作首页</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将护士长所有的管理工作集成在一个管理工作平台上，包括质量检查与查房、日常工作等，对存在的问题及要做的工作进行自动标识提示，可以直接进行PDCA管理。月计划、执行情况（支持拍照上传原始数据）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患教会</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患教记录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应急预案</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演练、考核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中医管理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中医管理</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中医护理方案（科室、护理部均可统计）</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中医操作汇总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满意度调查</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满意度调查</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满意度填报、统计功能、排名、分值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敏感性指标的产生</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敏感性指标的产生</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国家级敏感性指标及专科敏感性指标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实习生管理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实习生管理</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实习生人员的录入、轮转表、小讲课、科室的考核、带教老师的评分、教学查房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single" w:color="auto" w:sz="4" w:space="0"/>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护理管理移动App</w:t>
            </w:r>
          </w:p>
        </w:tc>
        <w:tc>
          <w:tcPr>
            <w:tcW w:w="2813" w:type="dxa"/>
            <w:vMerge w:val="restart"/>
            <w:tcBorders>
              <w:top w:val="single" w:color="auto" w:sz="4" w:space="0"/>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b/>
                <w:bCs/>
                <w:kern w:val="0"/>
                <w:sz w:val="21"/>
                <w:szCs w:val="21"/>
              </w:rPr>
              <w:t>护理质量控制移动端</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登录、基础框架及维护功能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病人满意度调查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护理质量抽查（护理部）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护理质量核查（科片）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护理质量自查（病区）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夜查房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restart"/>
            <w:tcBorders>
              <w:top w:val="single" w:color="auto" w:sz="4" w:space="0"/>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b/>
                <w:bCs/>
                <w:kern w:val="0"/>
                <w:sz w:val="21"/>
                <w:szCs w:val="21"/>
              </w:rPr>
              <w:t>排班查看</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个人排班查看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科室排班查看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排班支持第三方平台互通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restart"/>
            <w:tcBorders>
              <w:top w:val="single" w:color="auto" w:sz="4" w:space="0"/>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b/>
                <w:bCs/>
                <w:kern w:val="0"/>
                <w:sz w:val="21"/>
                <w:szCs w:val="21"/>
              </w:rPr>
              <w:t>基础框架</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登录设置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我的条码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院内升级</w:t>
            </w:r>
          </w:p>
        </w:tc>
      </w:tr>
    </w:tbl>
    <w:p>
      <w:pPr>
        <w:spacing w:line="360" w:lineRule="auto"/>
        <w:rPr>
          <w:rFonts w:hint="eastAsia" w:ascii="宋体" w:hAnsi="宋体" w:eastAsia="宋体" w:cs="宋体"/>
          <w:sz w:val="24"/>
          <w:szCs w:val="24"/>
        </w:rPr>
      </w:pPr>
    </w:p>
    <w:p>
      <w:pPr>
        <w:pStyle w:val="2"/>
        <w:numPr>
          <w:ilvl w:val="0"/>
          <w:numId w:val="0"/>
        </w:numPr>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服务内容与标准</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在维护服务期内，由</w:t>
      </w:r>
      <w:r>
        <w:rPr>
          <w:rFonts w:hint="eastAsia" w:ascii="宋体" w:hAnsi="宋体" w:cs="宋体"/>
          <w:sz w:val="24"/>
          <w:szCs w:val="24"/>
          <w:lang w:val="en-US" w:eastAsia="zh-CN"/>
        </w:rPr>
        <w:t>响应供应商</w:t>
      </w:r>
      <w:r>
        <w:rPr>
          <w:rFonts w:hint="eastAsia" w:ascii="宋体" w:hAnsi="宋体" w:eastAsia="宋体" w:cs="宋体"/>
          <w:sz w:val="24"/>
          <w:szCs w:val="24"/>
        </w:rPr>
        <w:t>为</w:t>
      </w:r>
      <w:r>
        <w:rPr>
          <w:rFonts w:hint="eastAsia" w:ascii="宋体" w:hAnsi="宋体" w:cs="宋体"/>
          <w:sz w:val="24"/>
          <w:szCs w:val="24"/>
          <w:lang w:val="en-US" w:eastAsia="zh-CN"/>
        </w:rPr>
        <w:t>遴选人</w:t>
      </w:r>
      <w:r>
        <w:rPr>
          <w:rFonts w:hint="eastAsia" w:ascii="宋体" w:hAnsi="宋体" w:eastAsia="宋体" w:cs="宋体"/>
          <w:sz w:val="24"/>
          <w:szCs w:val="24"/>
        </w:rPr>
        <w:t>提供护理管理软件维护服务。</w:t>
      </w:r>
    </w:p>
    <w:tbl>
      <w:tblPr>
        <w:tblStyle w:val="13"/>
        <w:tblW w:w="9465" w:type="dxa"/>
        <w:tblInd w:w="5" w:type="dxa"/>
        <w:tblLayout w:type="fixed"/>
        <w:tblCellMar>
          <w:top w:w="0" w:type="dxa"/>
          <w:left w:w="28" w:type="dxa"/>
          <w:bottom w:w="0" w:type="dxa"/>
          <w:right w:w="28" w:type="dxa"/>
        </w:tblCellMar>
      </w:tblPr>
      <w:tblGrid>
        <w:gridCol w:w="885"/>
        <w:gridCol w:w="1095"/>
        <w:gridCol w:w="3670"/>
        <w:gridCol w:w="1985"/>
        <w:gridCol w:w="1830"/>
      </w:tblGrid>
      <w:tr>
        <w:tblPrEx>
          <w:tblCellMar>
            <w:top w:w="0" w:type="dxa"/>
            <w:left w:w="28" w:type="dxa"/>
            <w:bottom w:w="0" w:type="dxa"/>
            <w:right w:w="28" w:type="dxa"/>
          </w:tblCellMar>
        </w:tblPrEx>
        <w:trPr>
          <w:trHeight w:val="866" w:hRule="atLeast"/>
        </w:trPr>
        <w:tc>
          <w:tcPr>
            <w:tcW w:w="885" w:type="dxa"/>
            <w:tcBorders>
              <w:top w:val="single" w:color="000000" w:sz="12" w:space="0"/>
              <w:left w:val="single" w:color="000000" w:sz="12" w:space="0"/>
              <w:right w:val="single" w:color="auto" w:sz="4" w:space="0"/>
            </w:tcBorders>
            <w:noWrap w:val="0"/>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szCs w:val="21"/>
              </w:rPr>
              <w:br w:type="page"/>
            </w:r>
            <w:r>
              <w:rPr>
                <w:rFonts w:hint="eastAsia" w:ascii="宋体" w:hAnsi="宋体" w:eastAsia="宋体" w:cs="宋体"/>
                <w:b/>
                <w:bCs/>
                <w:szCs w:val="21"/>
              </w:rPr>
              <w:t>序号</w:t>
            </w:r>
          </w:p>
        </w:tc>
        <w:tc>
          <w:tcPr>
            <w:tcW w:w="1095" w:type="dxa"/>
            <w:tcBorders>
              <w:top w:val="single" w:color="000000" w:sz="12" w:space="0"/>
              <w:left w:val="single" w:color="auto" w:sz="4" w:space="0"/>
              <w:right w:val="single" w:color="auto" w:sz="4" w:space="0"/>
            </w:tcBorders>
            <w:noWrap w:val="0"/>
            <w:vAlign w:val="center"/>
          </w:tcPr>
          <w:p>
            <w:pPr>
              <w:autoSpaceDE w:val="0"/>
              <w:autoSpaceDN w:val="0"/>
              <w:spacing w:line="360" w:lineRule="auto"/>
              <w:textAlignment w:val="bottom"/>
              <w:rPr>
                <w:rFonts w:hint="eastAsia" w:ascii="宋体" w:hAnsi="宋体" w:eastAsia="宋体" w:cs="宋体"/>
                <w:b/>
                <w:bCs/>
                <w:szCs w:val="21"/>
              </w:rPr>
            </w:pPr>
            <w:r>
              <w:rPr>
                <w:rFonts w:hint="eastAsia" w:ascii="宋体" w:hAnsi="宋体" w:eastAsia="宋体" w:cs="宋体"/>
                <w:b/>
                <w:bCs/>
                <w:szCs w:val="21"/>
              </w:rPr>
              <w:t>服务项目</w:t>
            </w:r>
          </w:p>
        </w:tc>
        <w:tc>
          <w:tcPr>
            <w:tcW w:w="3670" w:type="dxa"/>
            <w:tcBorders>
              <w:top w:val="single" w:color="000000" w:sz="12" w:space="0"/>
              <w:left w:val="single" w:color="000000" w:sz="6" w:space="0"/>
              <w:right w:val="single" w:color="000000" w:sz="6" w:space="0"/>
            </w:tcBorders>
            <w:noWrap w:val="0"/>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b/>
                <w:bCs/>
                <w:szCs w:val="21"/>
              </w:rPr>
              <w:t>服务内容（均限定为合同范围）</w:t>
            </w:r>
          </w:p>
        </w:tc>
        <w:tc>
          <w:tcPr>
            <w:tcW w:w="1985" w:type="dxa"/>
            <w:tcBorders>
              <w:top w:val="single" w:color="000000" w:sz="12" w:space="0"/>
              <w:left w:val="single" w:color="000000" w:sz="6" w:space="0"/>
              <w:right w:val="single" w:color="000000" w:sz="6" w:space="0"/>
            </w:tcBorders>
            <w:noWrap w:val="0"/>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b/>
                <w:bCs/>
                <w:szCs w:val="21"/>
              </w:rPr>
              <w:t>服务方式</w:t>
            </w:r>
          </w:p>
        </w:tc>
        <w:tc>
          <w:tcPr>
            <w:tcW w:w="1830" w:type="dxa"/>
            <w:tcBorders>
              <w:top w:val="single" w:color="000000" w:sz="12" w:space="0"/>
              <w:left w:val="single" w:color="000000" w:sz="6" w:space="0"/>
              <w:right w:val="single" w:color="auto" w:sz="4" w:space="0"/>
            </w:tcBorders>
            <w:noWrap w:val="0"/>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b/>
                <w:bCs/>
                <w:szCs w:val="21"/>
              </w:rPr>
              <w:t>响应时间（工作日）</w:t>
            </w:r>
          </w:p>
        </w:tc>
      </w:tr>
      <w:tr>
        <w:tblPrEx>
          <w:tblCellMar>
            <w:top w:w="0" w:type="dxa"/>
            <w:left w:w="28" w:type="dxa"/>
            <w:bottom w:w="0" w:type="dxa"/>
            <w:right w:w="28" w:type="dxa"/>
          </w:tblCellMar>
        </w:tblPrEx>
        <w:trPr>
          <w:trHeight w:val="538" w:hRule="atLeast"/>
        </w:trPr>
        <w:tc>
          <w:tcPr>
            <w:tcW w:w="9465" w:type="dxa"/>
            <w:gridSpan w:val="5"/>
            <w:tcBorders>
              <w:top w:val="single" w:color="000000" w:sz="12" w:space="0"/>
              <w:left w:val="single" w:color="000000" w:sz="12" w:space="0"/>
              <w:right w:val="single" w:color="auto" w:sz="4" w:space="0"/>
            </w:tcBorders>
            <w:noWrap w:val="0"/>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color w:val="000000"/>
                <w:sz w:val="24"/>
                <w:lang w:val="zh-CN"/>
              </w:rPr>
              <w:t>软件功能适应性维护</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w:t>
            </w:r>
          </w:p>
        </w:tc>
        <w:tc>
          <w:tcPr>
            <w:tcW w:w="1095" w:type="dxa"/>
            <w:tcBorders>
              <w:top w:val="single" w:color="000000" w:sz="12" w:space="0"/>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咨询服务</w:t>
            </w:r>
          </w:p>
        </w:tc>
        <w:tc>
          <w:tcPr>
            <w:tcW w:w="367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软件功能的应用咨询</w:t>
            </w:r>
          </w:p>
        </w:tc>
        <w:tc>
          <w:tcPr>
            <w:tcW w:w="1985"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2小时内响应</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w:t>
            </w:r>
          </w:p>
        </w:tc>
        <w:tc>
          <w:tcPr>
            <w:tcW w:w="1095" w:type="dxa"/>
            <w:tcBorders>
              <w:top w:val="single" w:color="000000" w:sz="12" w:space="0"/>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故障排除</w:t>
            </w:r>
          </w:p>
        </w:tc>
        <w:tc>
          <w:tcPr>
            <w:tcW w:w="367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软件应用过程中出现功能错误，协助查找、排除软件故障，保证系统功能正常运行。</w:t>
            </w:r>
          </w:p>
        </w:tc>
        <w:tc>
          <w:tcPr>
            <w:tcW w:w="1985"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1小时内响应</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w:t>
            </w:r>
          </w:p>
        </w:tc>
        <w:tc>
          <w:tcPr>
            <w:tcW w:w="1095" w:type="dxa"/>
            <w:tcBorders>
              <w:top w:val="single" w:color="000000" w:sz="12" w:space="0"/>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数据维护</w:t>
            </w:r>
          </w:p>
        </w:tc>
        <w:tc>
          <w:tcPr>
            <w:tcW w:w="367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无法由</w:t>
            </w:r>
            <w:r>
              <w:rPr>
                <w:rFonts w:hint="eastAsia" w:ascii="宋体" w:hAnsi="宋体" w:cs="宋体"/>
                <w:sz w:val="21"/>
                <w:szCs w:val="21"/>
                <w:lang w:val="en-US" w:eastAsia="zh-CN"/>
              </w:rPr>
              <w:t>遴选</w:t>
            </w:r>
            <w:r>
              <w:rPr>
                <w:rFonts w:hint="eastAsia" w:ascii="宋体" w:hAnsi="宋体" w:eastAsia="宋体" w:cs="宋体"/>
                <w:sz w:val="21"/>
                <w:szCs w:val="21"/>
              </w:rPr>
              <w:t>方自行完成的数据字典维护；</w:t>
            </w:r>
          </w:p>
        </w:tc>
        <w:tc>
          <w:tcPr>
            <w:tcW w:w="1985"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3小时内响应</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4</w:t>
            </w:r>
          </w:p>
        </w:tc>
        <w:tc>
          <w:tcPr>
            <w:tcW w:w="1095" w:type="dxa"/>
            <w:tcBorders>
              <w:top w:val="single" w:color="000000" w:sz="12" w:space="0"/>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参数设置维护</w:t>
            </w:r>
          </w:p>
        </w:tc>
        <w:tc>
          <w:tcPr>
            <w:tcW w:w="367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系统定义的参数调整；</w:t>
            </w:r>
          </w:p>
        </w:tc>
        <w:tc>
          <w:tcPr>
            <w:tcW w:w="1985"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3小时内响应</w:t>
            </w:r>
          </w:p>
        </w:tc>
      </w:tr>
      <w:tr>
        <w:tblPrEx>
          <w:tblCellMar>
            <w:top w:w="0" w:type="dxa"/>
            <w:left w:w="28" w:type="dxa"/>
            <w:bottom w:w="0" w:type="dxa"/>
            <w:right w:w="28" w:type="dxa"/>
          </w:tblCellMar>
        </w:tblPrEx>
        <w:trPr>
          <w:trHeight w:val="647" w:hRule="atLeast"/>
        </w:trPr>
        <w:tc>
          <w:tcPr>
            <w:tcW w:w="9465" w:type="dxa"/>
            <w:gridSpan w:val="5"/>
            <w:tcBorders>
              <w:top w:val="single" w:color="000000" w:sz="12" w:space="0"/>
              <w:left w:val="single" w:color="000000" w:sz="12"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br w:type="page"/>
            </w:r>
            <w:r>
              <w:rPr>
                <w:rFonts w:hint="eastAsia" w:ascii="宋体" w:hAnsi="宋体" w:eastAsia="宋体" w:cs="宋体"/>
                <w:sz w:val="21"/>
                <w:szCs w:val="21"/>
                <w:lang w:val="zh-CN"/>
              </w:rPr>
              <w:t>数据维护</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5</w:t>
            </w:r>
          </w:p>
        </w:tc>
        <w:tc>
          <w:tcPr>
            <w:tcW w:w="1095" w:type="dxa"/>
            <w:tcBorders>
              <w:top w:val="single" w:color="000000" w:sz="12" w:space="0"/>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数据恢复</w:t>
            </w:r>
          </w:p>
        </w:tc>
        <w:tc>
          <w:tcPr>
            <w:tcW w:w="367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因甲方操作不当或其它原因导致数据丢失，协助甲方系统维护人员恢复数据。</w:t>
            </w:r>
          </w:p>
        </w:tc>
        <w:tc>
          <w:tcPr>
            <w:tcW w:w="1985"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3小时内响应</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6</w:t>
            </w:r>
          </w:p>
        </w:tc>
        <w:tc>
          <w:tcPr>
            <w:tcW w:w="1095" w:type="dxa"/>
            <w:tcBorders>
              <w:top w:val="single" w:color="000000" w:sz="12" w:space="0"/>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特殊服务</w:t>
            </w:r>
          </w:p>
        </w:tc>
        <w:tc>
          <w:tcPr>
            <w:tcW w:w="367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lang w:val="zh-CN"/>
              </w:rPr>
              <w:t>系统灾难发生时，乙方承诺立即响应，减少数据损失，降低灾难对整个系统正常运行的影响。</w:t>
            </w:r>
          </w:p>
        </w:tc>
        <w:tc>
          <w:tcPr>
            <w:tcW w:w="1985"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立即响应</w:t>
            </w:r>
          </w:p>
        </w:tc>
      </w:tr>
      <w:tr>
        <w:tblPrEx>
          <w:tblCellMar>
            <w:top w:w="0" w:type="dxa"/>
            <w:left w:w="28" w:type="dxa"/>
            <w:bottom w:w="0" w:type="dxa"/>
            <w:right w:w="28" w:type="dxa"/>
          </w:tblCellMar>
        </w:tblPrEx>
        <w:trPr>
          <w:trHeight w:val="266" w:hRule="atLeast"/>
        </w:trPr>
        <w:tc>
          <w:tcPr>
            <w:tcW w:w="9465" w:type="dxa"/>
            <w:gridSpan w:val="5"/>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lang w:val="zh-CN"/>
              </w:rPr>
              <w:t>纠错性维护</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7</w:t>
            </w:r>
          </w:p>
        </w:tc>
        <w:tc>
          <w:tcPr>
            <w:tcW w:w="1095" w:type="dxa"/>
            <w:tcBorders>
              <w:top w:val="single" w:color="000000" w:sz="12" w:space="0"/>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数据适应功能性调整</w:t>
            </w:r>
          </w:p>
        </w:tc>
        <w:tc>
          <w:tcPr>
            <w:tcW w:w="367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由于程序修改或增加功能所引起的数据错误的改正；</w:t>
            </w:r>
          </w:p>
        </w:tc>
        <w:tc>
          <w:tcPr>
            <w:tcW w:w="1985"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4小时内响应</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8</w:t>
            </w:r>
          </w:p>
        </w:tc>
        <w:tc>
          <w:tcPr>
            <w:tcW w:w="1095" w:type="dxa"/>
            <w:tcBorders>
              <w:top w:val="single" w:color="000000" w:sz="12" w:space="0"/>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数据调整</w:t>
            </w:r>
          </w:p>
        </w:tc>
        <w:tc>
          <w:tcPr>
            <w:tcW w:w="367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因甲方操作不当或其它原因造成数据出现部分或全部错误，协助甲方系统维护人员进行数据调整。</w:t>
            </w:r>
          </w:p>
        </w:tc>
        <w:tc>
          <w:tcPr>
            <w:tcW w:w="1985"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2小时内响应</w:t>
            </w:r>
          </w:p>
        </w:tc>
      </w:tr>
      <w:tr>
        <w:tblPrEx>
          <w:tblCellMar>
            <w:top w:w="0" w:type="dxa"/>
            <w:left w:w="28" w:type="dxa"/>
            <w:bottom w:w="0" w:type="dxa"/>
            <w:right w:w="28" w:type="dxa"/>
          </w:tblCellMar>
        </w:tblPrEx>
        <w:trPr>
          <w:trHeight w:val="266" w:hRule="atLeast"/>
        </w:trPr>
        <w:tc>
          <w:tcPr>
            <w:tcW w:w="9465" w:type="dxa"/>
            <w:gridSpan w:val="5"/>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lang w:val="zh-CN"/>
              </w:rPr>
              <w:t>功能应用维护</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9</w:t>
            </w:r>
          </w:p>
        </w:tc>
        <w:tc>
          <w:tcPr>
            <w:tcW w:w="1095" w:type="dxa"/>
            <w:tcBorders>
              <w:top w:val="single" w:color="000000" w:sz="12" w:space="0"/>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临时数据统计</w:t>
            </w:r>
          </w:p>
        </w:tc>
        <w:tc>
          <w:tcPr>
            <w:tcW w:w="367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因</w:t>
            </w:r>
            <w:r>
              <w:rPr>
                <w:rFonts w:hint="eastAsia" w:ascii="宋体" w:hAnsi="宋体" w:cs="宋体"/>
                <w:sz w:val="21"/>
                <w:szCs w:val="21"/>
                <w:lang w:val="en-US" w:eastAsia="zh-CN"/>
              </w:rPr>
              <w:t>遴选</w:t>
            </w:r>
            <w:r>
              <w:rPr>
                <w:rFonts w:hint="eastAsia" w:ascii="宋体" w:hAnsi="宋体" w:eastAsia="宋体" w:cs="宋体"/>
                <w:sz w:val="21"/>
                <w:szCs w:val="21"/>
              </w:rPr>
              <w:t>方工作需要，需要临时提取某些特殊数据的服务；</w:t>
            </w:r>
          </w:p>
        </w:tc>
        <w:tc>
          <w:tcPr>
            <w:tcW w:w="1985"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2小时内响应</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10</w:t>
            </w:r>
          </w:p>
        </w:tc>
        <w:tc>
          <w:tcPr>
            <w:tcW w:w="1095" w:type="dxa"/>
            <w:tcBorders>
              <w:top w:val="single" w:color="000000" w:sz="12" w:space="0"/>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日常维护</w:t>
            </w:r>
          </w:p>
        </w:tc>
        <w:tc>
          <w:tcPr>
            <w:tcW w:w="367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协助甲方</w:t>
            </w:r>
            <w:r>
              <w:rPr>
                <w:rFonts w:hint="eastAsia" w:ascii="宋体" w:hAnsi="宋体" w:eastAsia="宋体" w:cs="宋体"/>
                <w:sz w:val="21"/>
                <w:szCs w:val="21"/>
                <w:lang w:val="zh-CN"/>
              </w:rPr>
              <w:t>建立日常维护记录，定期与甲方系统管理人员共同检查系统运行情况，并形成系统维护记录制度和系统管理规范</w:t>
            </w:r>
          </w:p>
        </w:tc>
        <w:tc>
          <w:tcPr>
            <w:tcW w:w="1985"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日常</w:t>
            </w:r>
          </w:p>
        </w:tc>
      </w:tr>
      <w:tr>
        <w:tblPrEx>
          <w:tblCellMar>
            <w:top w:w="0" w:type="dxa"/>
            <w:left w:w="28" w:type="dxa"/>
            <w:bottom w:w="0" w:type="dxa"/>
            <w:right w:w="28" w:type="dxa"/>
          </w:tblCellMar>
        </w:tblPrEx>
        <w:trPr>
          <w:trHeight w:val="647" w:hRule="atLeast"/>
        </w:trPr>
        <w:tc>
          <w:tcPr>
            <w:tcW w:w="9465" w:type="dxa"/>
            <w:gridSpan w:val="5"/>
            <w:tcBorders>
              <w:top w:val="single" w:color="000000" w:sz="12" w:space="0"/>
              <w:left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br w:type="page"/>
            </w:r>
            <w:r>
              <w:rPr>
                <w:rFonts w:hint="eastAsia" w:ascii="宋体" w:hAnsi="宋体" w:eastAsia="宋体" w:cs="宋体"/>
                <w:sz w:val="21"/>
                <w:szCs w:val="21"/>
                <w:lang w:val="zh-CN"/>
              </w:rPr>
              <w:t>培训</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bottom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11</w:t>
            </w:r>
          </w:p>
        </w:tc>
        <w:tc>
          <w:tcPr>
            <w:tcW w:w="1095" w:type="dxa"/>
            <w:tcBorders>
              <w:top w:val="single" w:color="000000" w:sz="12" w:space="0"/>
              <w:left w:val="single" w:color="auto" w:sz="4" w:space="0"/>
              <w:bottom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维护培训</w:t>
            </w:r>
          </w:p>
        </w:tc>
        <w:tc>
          <w:tcPr>
            <w:tcW w:w="3670" w:type="dxa"/>
            <w:tcBorders>
              <w:top w:val="single" w:color="000000" w:sz="12" w:space="0"/>
              <w:left w:val="single" w:color="000000" w:sz="6" w:space="0"/>
              <w:bottom w:val="single" w:color="000000" w:sz="12"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对</w:t>
            </w:r>
            <w:r>
              <w:rPr>
                <w:rFonts w:hint="eastAsia" w:ascii="宋体" w:hAnsi="宋体" w:cs="宋体"/>
                <w:sz w:val="21"/>
                <w:szCs w:val="21"/>
                <w:lang w:val="en-US" w:eastAsia="zh-CN"/>
              </w:rPr>
              <w:t>遴选</w:t>
            </w:r>
            <w:r>
              <w:rPr>
                <w:rFonts w:hint="eastAsia" w:ascii="宋体" w:hAnsi="宋体" w:eastAsia="宋体" w:cs="宋体"/>
                <w:sz w:val="21"/>
                <w:szCs w:val="21"/>
              </w:rPr>
              <w:t>方系统管理员进行基本的数据维护培训；</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因甲方人员离职或岗位调动需要进行培训的系统维护人员。</w:t>
            </w:r>
          </w:p>
        </w:tc>
        <w:tc>
          <w:tcPr>
            <w:tcW w:w="1985" w:type="dxa"/>
            <w:tcBorders>
              <w:top w:val="single" w:color="000000" w:sz="12" w:space="0"/>
              <w:left w:val="single" w:color="000000" w:sz="6" w:space="0"/>
              <w:bottom w:val="single" w:color="000000" w:sz="12"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远程培训或现场</w:t>
            </w:r>
          </w:p>
        </w:tc>
        <w:tc>
          <w:tcPr>
            <w:tcW w:w="1830" w:type="dxa"/>
            <w:tcBorders>
              <w:top w:val="single" w:color="000000" w:sz="12" w:space="0"/>
              <w:left w:val="single" w:color="000000" w:sz="6" w:space="0"/>
              <w:bottom w:val="single" w:color="000000" w:sz="12"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法定工作日预约</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bottom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12</w:t>
            </w:r>
          </w:p>
        </w:tc>
        <w:tc>
          <w:tcPr>
            <w:tcW w:w="1095" w:type="dxa"/>
            <w:tcBorders>
              <w:top w:val="single" w:color="000000" w:sz="12" w:space="0"/>
              <w:left w:val="single" w:color="auto" w:sz="4" w:space="0"/>
              <w:bottom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热线服务</w:t>
            </w:r>
          </w:p>
        </w:tc>
        <w:tc>
          <w:tcPr>
            <w:tcW w:w="3670" w:type="dxa"/>
            <w:tcBorders>
              <w:top w:val="single" w:color="000000" w:sz="12" w:space="0"/>
              <w:left w:val="single" w:color="000000" w:sz="6" w:space="0"/>
              <w:bottom w:val="single" w:color="000000" w:sz="12"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提供与软件系统相关的咨询服务</w:t>
            </w:r>
          </w:p>
        </w:tc>
        <w:tc>
          <w:tcPr>
            <w:tcW w:w="1985" w:type="dxa"/>
            <w:tcBorders>
              <w:top w:val="single" w:color="000000" w:sz="12" w:space="0"/>
              <w:left w:val="single" w:color="000000" w:sz="6" w:space="0"/>
              <w:bottom w:val="single" w:color="000000" w:sz="12"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bottom w:val="single" w:color="000000" w:sz="12"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法定工作日</w:t>
            </w:r>
          </w:p>
        </w:tc>
      </w:tr>
      <w:tr>
        <w:tblPrEx>
          <w:tblCellMar>
            <w:top w:w="0" w:type="dxa"/>
            <w:left w:w="28" w:type="dxa"/>
            <w:bottom w:w="0" w:type="dxa"/>
            <w:right w:w="28" w:type="dxa"/>
          </w:tblCellMar>
        </w:tblPrEx>
        <w:trPr>
          <w:trHeight w:val="647" w:hRule="atLeast"/>
        </w:trPr>
        <w:tc>
          <w:tcPr>
            <w:tcW w:w="885" w:type="dxa"/>
            <w:tcBorders>
              <w:top w:val="single" w:color="000000" w:sz="12" w:space="0"/>
              <w:left w:val="single" w:color="000000" w:sz="12" w:space="0"/>
              <w:bottom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13</w:t>
            </w:r>
          </w:p>
        </w:tc>
        <w:tc>
          <w:tcPr>
            <w:tcW w:w="1095" w:type="dxa"/>
            <w:tcBorders>
              <w:top w:val="single" w:color="000000" w:sz="12" w:space="0"/>
              <w:left w:val="single" w:color="auto" w:sz="4" w:space="0"/>
              <w:bottom w:val="single" w:color="000000" w:sz="12" w:space="0"/>
              <w:right w:val="single" w:color="auto" w:sz="4"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问题解答</w:t>
            </w:r>
          </w:p>
        </w:tc>
        <w:tc>
          <w:tcPr>
            <w:tcW w:w="3670" w:type="dxa"/>
            <w:tcBorders>
              <w:top w:val="single" w:color="000000" w:sz="12" w:space="0"/>
              <w:left w:val="single" w:color="000000" w:sz="6" w:space="0"/>
              <w:bottom w:val="single" w:color="000000" w:sz="12"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lang w:val="zh-CN"/>
              </w:rPr>
              <w:t>解答管理部门针对系统及数据库疑难问题。</w:t>
            </w:r>
          </w:p>
        </w:tc>
        <w:tc>
          <w:tcPr>
            <w:tcW w:w="1985" w:type="dxa"/>
            <w:tcBorders>
              <w:top w:val="single" w:color="000000" w:sz="12" w:space="0"/>
              <w:left w:val="single" w:color="000000" w:sz="6" w:space="0"/>
              <w:bottom w:val="single" w:color="000000" w:sz="12"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微信、电话、邮箱、网络远程、QQ</w:t>
            </w:r>
          </w:p>
        </w:tc>
        <w:tc>
          <w:tcPr>
            <w:tcW w:w="1830" w:type="dxa"/>
            <w:tcBorders>
              <w:top w:val="single" w:color="000000" w:sz="12" w:space="0"/>
              <w:left w:val="single" w:color="000000" w:sz="6" w:space="0"/>
              <w:bottom w:val="single" w:color="000000" w:sz="12" w:space="0"/>
              <w:right w:val="single" w:color="000000" w:sz="6" w:space="0"/>
            </w:tcBorders>
            <w:noWrap w:val="0"/>
            <w:vAlign w:val="center"/>
          </w:tcPr>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法定工作日</w:t>
            </w:r>
          </w:p>
        </w:tc>
      </w:tr>
    </w:tbl>
    <w:p>
      <w:pPr>
        <w:keepNext w:val="0"/>
        <w:keepLines w:val="0"/>
        <w:pageBreakBefore w:val="0"/>
        <w:numPr>
          <w:ilvl w:val="0"/>
          <w:numId w:val="0"/>
        </w:numPr>
        <w:kinsoku/>
        <w:wordWrap/>
        <w:overflowPunct w:val="0"/>
        <w:topLinePunct w:val="0"/>
        <w:autoSpaceDE/>
        <w:autoSpaceDN/>
        <w:bidi w:val="0"/>
        <w:adjustRightInd/>
        <w:snapToGrid/>
        <w:spacing w:line="360" w:lineRule="auto"/>
        <w:rPr>
          <w:rFonts w:hint="eastAsia" w:ascii="宋体" w:hAnsi="宋体" w:eastAsia="宋体" w:cs="宋体"/>
          <w:kern w:val="2"/>
          <w:sz w:val="24"/>
          <w:szCs w:val="24"/>
          <w:lang w:val="en-US" w:eastAsia="zh-CN" w:bidi="ar-SA"/>
        </w:rPr>
      </w:pPr>
    </w:p>
    <w:p>
      <w:pPr>
        <w:keepNext w:val="0"/>
        <w:keepLines w:val="0"/>
        <w:pageBreakBefore w:val="0"/>
        <w:numPr>
          <w:ilvl w:val="0"/>
          <w:numId w:val="0"/>
        </w:numPr>
        <w:kinsoku/>
        <w:wordWrap/>
        <w:overflowPunct w:val="0"/>
        <w:topLinePunct w:val="0"/>
        <w:autoSpaceDE/>
        <w:autoSpaceDN/>
        <w:bidi w:val="0"/>
        <w:adjustRightInd/>
        <w:snapToGrid/>
        <w:spacing w:line="360" w:lineRule="auto"/>
        <w:rPr>
          <w:rFonts w:hint="eastAsia" w:ascii="宋体" w:hAnsi="宋体" w:eastAsia="宋体" w:cs="宋体"/>
          <w:sz w:val="24"/>
          <w:szCs w:val="24"/>
          <w:lang w:val="en-US" w:eastAsia="zh-CN"/>
        </w:rPr>
      </w:pPr>
      <w:r>
        <w:rPr>
          <w:rFonts w:hint="eastAsia" w:ascii="宋体" w:hAnsi="宋体" w:eastAsia="宋体" w:cs="宋体"/>
          <w:b/>
          <w:bCs/>
          <w:kern w:val="2"/>
          <w:sz w:val="24"/>
          <w:szCs w:val="24"/>
          <w:lang w:val="en-US" w:eastAsia="zh-CN" w:bidi="ar-SA"/>
        </w:rPr>
        <w:t>六、</w:t>
      </w:r>
      <w:r>
        <w:rPr>
          <w:rFonts w:hint="eastAsia" w:ascii="宋体" w:hAnsi="宋体" w:eastAsia="宋体" w:cs="黑体"/>
          <w:b/>
          <w:bCs/>
          <w:sz w:val="28"/>
          <w:szCs w:val="28"/>
          <w:lang w:val="en-US" w:eastAsia="zh-CN"/>
        </w:rPr>
        <w:t>定标方法</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1、组织院内开标会议，被遴选的响应供应商数量原则上不得少于三家，遴选过程中符合要求的响应供应商如果只有2家，现场评审小组论证同意后可以继续进行，要求响应供应商一次性报价；响应供应商不足 2 家的，终止遴选并重新组织，或经院方批准采用其它采购方式。</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2、确定入围候选人</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2.1由评审小组确定入围候选人。</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2.2评审小组依据法律、法规及遴选文件有关规定按评审后得分（即技术分与商务分之和）由高到低顺序排序，得分前二名的响应供应商确定为该项目的第一和第二入围标候选人（得分相同报价低的排序第一；得分且报价相同的，技术指标优的排序第一）向遴选人推荐。</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3、确定入围供应商</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3.1遴选人按照评审报告中推荐的入围候选人顺序确定入围供应商；也可以事先授权评审小组按照推荐的入围候选人顺序直接确定入围供应商。入围候选人并列的，采取随机抽取的方式确定。</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3.2如入围供应商放弃入围、或未能在规定时间内与遴选单位签订合同的；或者经质疑，遴选人审查后，确因排名第一的候选人在本次遴选活动中存在违法违规行为或其他原因使质疑成立的，遴选人可以视情况直接确定排名第二的候选人为入围供应商或重新组织遴选。</w:t>
      </w:r>
    </w:p>
    <w:p>
      <w:pPr>
        <w:pStyle w:val="4"/>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4、入围供应商确定后，遴选人将在温州市中医院官网公告入围结果，遴选人向入围供应商发出入围通知书。</w:t>
      </w:r>
    </w:p>
    <w:p>
      <w:pPr>
        <w:numPr>
          <w:ilvl w:val="0"/>
          <w:numId w:val="0"/>
        </w:numPr>
        <w:rPr>
          <w:rFonts w:hint="eastAsia" w:ascii="宋体" w:hAnsi="宋体" w:cs="宋体"/>
          <w:sz w:val="24"/>
          <w:szCs w:val="24"/>
          <w:lang w:val="en-US" w:eastAsia="zh-CN"/>
        </w:rPr>
      </w:pPr>
      <w:r>
        <w:rPr>
          <w:rFonts w:hint="eastAsia"/>
          <w:b/>
          <w:bCs/>
          <w:sz w:val="28"/>
          <w:szCs w:val="28"/>
          <w:lang w:val="en-US" w:eastAsia="zh-CN"/>
        </w:rPr>
        <w:t>七</w:t>
      </w:r>
      <w:r>
        <w:rPr>
          <w:rFonts w:hint="eastAsia"/>
          <w:b/>
          <w:bCs/>
          <w:sz w:val="28"/>
          <w:szCs w:val="28"/>
        </w:rPr>
        <w:t>、评分细则</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1、技术分的评定（70分)（权值70%）</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评审小组按下列评分项目进行评判，每人一张评分计算票，并记名。响应文件各项评分内容由评审小组成员各自评分，如某张票的一个因素项目超过规定的范围，则该张票无效。各评审小组成员对各响应供应商的各项评分内容评分的算术平均值为各响应供应商技术分得分（小数点后按四舍五入保留2位）。</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2、商务分的评定（报价）30分（权值30%）</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满足遴选文件要求且报价最低的报价为评审基准价，其余响应供应商报价与该基准价对比，计算出商务报价评分值（保留小数2位）：</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1）有效响应供应商的报价等于评审基准价时其报价分为满分30分；</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2）其他响应供应商的价格分按以下公式计算：</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报价得分=（评审基准价/响应供应商报价）× 价格权值 ×100（保留小数2位）</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3、有效响应供应商的综合得分为技术分和商务（报价）分的总和。</w:t>
      </w:r>
    </w:p>
    <w:p>
      <w:pPr>
        <w:pStyle w:val="4"/>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4、评审小组认为响应供应商的报价明显低于其他通过符合性审查响应供应商的报价，有可能影响产品质量或者不能诚信履约的，应当要求其在评审现场合理的时间内提供书面说明，必要时提交相关证明材料；响应供应商不能证明其报价合理性的，评审小组应当将其作为无效响应处理。</w:t>
      </w:r>
    </w:p>
    <w:p>
      <w:pPr>
        <w:pStyle w:val="4"/>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spacing w:line="360" w:lineRule="auto"/>
        <w:rPr>
          <w:rFonts w:hint="eastAsia" w:ascii="宋体" w:hAnsi="宋体" w:eastAsia="宋体" w:cs="宋体"/>
          <w:lang w:val="en-US" w:eastAsia="zh-CN"/>
        </w:rPr>
      </w:pPr>
    </w:p>
    <w:p>
      <w:pPr>
        <w:pStyle w:val="2"/>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八、附件</w:t>
      </w:r>
    </w:p>
    <w:p>
      <w:pPr>
        <w:spacing w:line="360" w:lineRule="auto"/>
        <w:rPr>
          <w:rFonts w:hint="eastAsia" w:ascii="宋体" w:hAnsi="宋体" w:eastAsia="宋体" w:cs="宋体"/>
          <w:b/>
          <w:sz w:val="22"/>
          <w:szCs w:val="22"/>
        </w:rPr>
      </w:pPr>
      <w:r>
        <w:rPr>
          <w:rFonts w:hint="eastAsia" w:ascii="宋体" w:hAnsi="宋体" w:eastAsia="宋体" w:cs="宋体"/>
          <w:b/>
          <w:sz w:val="22"/>
          <w:szCs w:val="22"/>
          <w:lang w:val="en-US" w:eastAsia="zh-CN"/>
        </w:rPr>
        <w:t>1、</w:t>
      </w:r>
      <w:r>
        <w:rPr>
          <w:rFonts w:hint="eastAsia" w:ascii="宋体" w:hAnsi="宋体" w:eastAsia="宋体" w:cs="宋体"/>
          <w:b/>
          <w:sz w:val="22"/>
          <w:szCs w:val="22"/>
        </w:rPr>
        <w:t>技术</w:t>
      </w:r>
      <w:r>
        <w:rPr>
          <w:rFonts w:hint="eastAsia" w:ascii="宋体" w:hAnsi="宋体" w:eastAsia="宋体" w:cs="宋体"/>
          <w:b/>
          <w:sz w:val="22"/>
          <w:szCs w:val="22"/>
          <w:lang w:val="en-US" w:eastAsia="zh-CN"/>
        </w:rPr>
        <w:t>评分：满分7</w:t>
      </w:r>
      <w:r>
        <w:rPr>
          <w:rFonts w:hint="eastAsia" w:ascii="宋体" w:hAnsi="宋体" w:eastAsia="宋体" w:cs="宋体"/>
          <w:b/>
          <w:sz w:val="22"/>
          <w:szCs w:val="22"/>
        </w:rPr>
        <w:t>0分</w:t>
      </w:r>
    </w:p>
    <w:tbl>
      <w:tblPr>
        <w:tblStyle w:val="13"/>
        <w:tblW w:w="9690" w:type="dxa"/>
        <w:tblInd w:w="-170" w:type="dxa"/>
        <w:tblLayout w:type="fixed"/>
        <w:tblCellMar>
          <w:top w:w="0" w:type="dxa"/>
          <w:left w:w="108" w:type="dxa"/>
          <w:bottom w:w="0" w:type="dxa"/>
          <w:right w:w="108" w:type="dxa"/>
        </w:tblCellMar>
      </w:tblPr>
      <w:tblGrid>
        <w:gridCol w:w="720"/>
        <w:gridCol w:w="1455"/>
        <w:gridCol w:w="930"/>
        <w:gridCol w:w="6585"/>
      </w:tblGrid>
      <w:tr>
        <w:tblPrEx>
          <w:tblCellMar>
            <w:top w:w="0" w:type="dxa"/>
            <w:left w:w="108" w:type="dxa"/>
            <w:bottom w:w="0" w:type="dxa"/>
            <w:right w:w="108" w:type="dxa"/>
          </w:tblCellMar>
        </w:tblPrEx>
        <w:trPr>
          <w:trHeight w:val="70" w:hRule="atLeast"/>
        </w:trPr>
        <w:tc>
          <w:tcPr>
            <w:tcW w:w="72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b/>
                <w:bCs/>
                <w:szCs w:val="21"/>
              </w:rPr>
            </w:pPr>
            <w:r>
              <w:rPr>
                <w:rFonts w:hint="eastAsia" w:ascii="宋体" w:hAnsi="宋体" w:eastAsia="宋体" w:cs="宋体"/>
                <w:b/>
                <w:bCs/>
                <w:szCs w:val="21"/>
              </w:rPr>
              <w:t>序号</w:t>
            </w:r>
          </w:p>
        </w:tc>
        <w:tc>
          <w:tcPr>
            <w:tcW w:w="145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default" w:ascii="宋体" w:hAnsi="宋体" w:eastAsia="宋体" w:cs="宋体"/>
                <w:b/>
                <w:bCs/>
                <w:szCs w:val="21"/>
                <w:lang w:val="en-US" w:eastAsia="zh-CN"/>
              </w:rPr>
            </w:pPr>
            <w:r>
              <w:rPr>
                <w:rFonts w:hint="eastAsia" w:ascii="宋体" w:hAnsi="宋体" w:eastAsia="宋体" w:cs="宋体"/>
                <w:b/>
                <w:bCs/>
                <w:szCs w:val="21"/>
              </w:rPr>
              <w:t>评</w:t>
            </w:r>
            <w:r>
              <w:rPr>
                <w:rFonts w:hint="eastAsia" w:ascii="宋体" w:hAnsi="宋体" w:cs="宋体"/>
                <w:b/>
                <w:bCs/>
                <w:szCs w:val="21"/>
                <w:lang w:val="en-US" w:eastAsia="zh-CN"/>
              </w:rPr>
              <w:t>分项目</w:t>
            </w:r>
          </w:p>
        </w:tc>
        <w:tc>
          <w:tcPr>
            <w:tcW w:w="93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b/>
                <w:bCs/>
                <w:szCs w:val="21"/>
              </w:rPr>
            </w:pPr>
            <w:r>
              <w:rPr>
                <w:rFonts w:hint="eastAsia" w:ascii="宋体" w:hAnsi="宋体" w:eastAsia="宋体" w:cs="宋体"/>
                <w:b/>
                <w:bCs/>
                <w:szCs w:val="21"/>
              </w:rPr>
              <w:t>分值</w:t>
            </w:r>
          </w:p>
        </w:tc>
        <w:tc>
          <w:tcPr>
            <w:tcW w:w="658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b/>
                <w:bCs/>
                <w:szCs w:val="21"/>
                <w:lang w:val="en-US" w:eastAsia="zh-CN"/>
              </w:rPr>
            </w:pPr>
            <w:r>
              <w:rPr>
                <w:rFonts w:hint="eastAsia" w:ascii="宋体" w:hAnsi="宋体" w:eastAsia="宋体" w:cs="宋体"/>
                <w:b/>
                <w:bCs/>
                <w:szCs w:val="21"/>
              </w:rPr>
              <w:t>评分</w:t>
            </w:r>
            <w:r>
              <w:rPr>
                <w:rFonts w:hint="eastAsia" w:ascii="宋体" w:hAnsi="宋体" w:cs="宋体"/>
                <w:b/>
                <w:bCs/>
                <w:szCs w:val="21"/>
                <w:lang w:val="en-US" w:eastAsia="zh-CN"/>
              </w:rPr>
              <w:t>内容</w:t>
            </w:r>
          </w:p>
        </w:tc>
      </w:tr>
      <w:tr>
        <w:tblPrEx>
          <w:tblCellMar>
            <w:top w:w="0" w:type="dxa"/>
            <w:left w:w="108" w:type="dxa"/>
            <w:bottom w:w="0" w:type="dxa"/>
            <w:right w:w="108" w:type="dxa"/>
          </w:tblCellMar>
        </w:tblPrEx>
        <w:trPr>
          <w:trHeight w:val="1251" w:hRule="atLeast"/>
        </w:trPr>
        <w:tc>
          <w:tcPr>
            <w:tcW w:w="72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b/>
                <w:szCs w:val="21"/>
              </w:rPr>
            </w:pPr>
            <w:r>
              <w:rPr>
                <w:rFonts w:hint="eastAsia" w:ascii="宋体" w:hAnsi="宋体" w:eastAsia="宋体" w:cs="宋体"/>
                <w:szCs w:val="21"/>
              </w:rPr>
              <w:t>1</w:t>
            </w:r>
          </w:p>
        </w:tc>
        <w:tc>
          <w:tcPr>
            <w:tcW w:w="145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autoSpaceDE w:val="0"/>
              <w:autoSpaceDN w:val="0"/>
              <w:adjustRightInd w:val="0"/>
              <w:spacing w:line="360" w:lineRule="auto"/>
              <w:jc w:val="center"/>
              <w:rPr>
                <w:rFonts w:hint="eastAsia" w:ascii="宋体" w:hAnsi="宋体" w:eastAsia="宋体" w:cs="宋体"/>
                <w:b/>
                <w:szCs w:val="21"/>
              </w:rPr>
            </w:pPr>
            <w:r>
              <w:rPr>
                <w:rFonts w:hint="eastAsia" w:ascii="宋体" w:hAnsi="宋体" w:eastAsia="宋体" w:cs="宋体"/>
                <w:b/>
                <w:szCs w:val="21"/>
              </w:rPr>
              <w:t>技术指标要求</w:t>
            </w:r>
          </w:p>
        </w:tc>
        <w:tc>
          <w:tcPr>
            <w:tcW w:w="93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40</w:t>
            </w:r>
          </w:p>
        </w:tc>
        <w:tc>
          <w:tcPr>
            <w:tcW w:w="658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left"/>
              <w:rPr>
                <w:rFonts w:hint="eastAsia" w:ascii="宋体" w:hAnsi="宋体" w:eastAsia="宋体" w:cs="宋体"/>
                <w:szCs w:val="21"/>
              </w:rPr>
            </w:pPr>
            <w:r>
              <w:rPr>
                <w:rFonts w:hint="eastAsia" w:ascii="宋体" w:hAnsi="宋体" w:eastAsia="宋体" w:cs="宋体"/>
                <w:szCs w:val="21"/>
                <w:lang w:val="zh-CN"/>
              </w:rPr>
              <w:t>根据</w:t>
            </w:r>
            <w:r>
              <w:rPr>
                <w:rFonts w:hint="eastAsia" w:ascii="宋体" w:hAnsi="宋体" w:cs="宋体"/>
                <w:szCs w:val="21"/>
                <w:lang w:val="en-US" w:eastAsia="zh-CN"/>
              </w:rPr>
              <w:t>遴选</w:t>
            </w:r>
            <w:r>
              <w:rPr>
                <w:rFonts w:hint="eastAsia" w:ascii="宋体" w:hAnsi="宋体" w:eastAsia="宋体" w:cs="宋体"/>
                <w:szCs w:val="21"/>
                <w:lang w:val="zh-CN"/>
              </w:rPr>
              <w:t>产品项目总体建设要求、系统主要功能需求与技术参数要求，填写完整“技术需求偏离表”，</w:t>
            </w:r>
            <w:r>
              <w:rPr>
                <w:rFonts w:hint="eastAsia" w:ascii="宋体" w:hAnsi="宋体" w:cs="宋体"/>
                <w:szCs w:val="21"/>
                <w:lang w:val="en-US" w:eastAsia="zh-CN"/>
              </w:rPr>
              <w:t>响应</w:t>
            </w:r>
            <w:r>
              <w:rPr>
                <w:rFonts w:hint="eastAsia" w:ascii="宋体" w:hAnsi="宋体" w:eastAsia="宋体" w:cs="宋体"/>
                <w:szCs w:val="21"/>
                <w:lang w:val="zh-CN"/>
              </w:rPr>
              <w:t>产品指标满足或高于要求得满分。指标中响应不完全每项扣2分，扣完为止。</w:t>
            </w:r>
          </w:p>
        </w:tc>
      </w:tr>
      <w:tr>
        <w:tblPrEx>
          <w:tblCellMar>
            <w:top w:w="0" w:type="dxa"/>
            <w:left w:w="108" w:type="dxa"/>
            <w:bottom w:w="0" w:type="dxa"/>
            <w:right w:w="108" w:type="dxa"/>
          </w:tblCellMar>
        </w:tblPrEx>
        <w:trPr>
          <w:trHeight w:val="563" w:hRule="atLeast"/>
        </w:trPr>
        <w:tc>
          <w:tcPr>
            <w:tcW w:w="72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45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b/>
                <w:szCs w:val="21"/>
              </w:rPr>
              <w:t>企业资质</w:t>
            </w:r>
          </w:p>
        </w:tc>
        <w:tc>
          <w:tcPr>
            <w:tcW w:w="93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658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ind w:right="105" w:rightChars="50"/>
              <w:jc w:val="left"/>
              <w:rPr>
                <w:rFonts w:hint="eastAsia" w:ascii="宋体" w:hAnsi="宋体" w:eastAsia="宋体" w:cs="宋体"/>
                <w:szCs w:val="21"/>
                <w:lang w:val="zh-CN"/>
              </w:rPr>
            </w:pPr>
            <w:r>
              <w:rPr>
                <w:rFonts w:hint="eastAsia" w:ascii="宋体" w:hAnsi="宋体" w:eastAsia="宋体" w:cs="宋体"/>
                <w:szCs w:val="21"/>
                <w:lang w:val="zh-CN"/>
              </w:rPr>
              <w:t>① 具有ISO9001:2015质量管理体系认证证书，得1.5分；</w:t>
            </w:r>
            <w:r>
              <w:rPr>
                <w:rFonts w:hint="eastAsia" w:ascii="宋体" w:hAnsi="宋体" w:eastAsia="宋体" w:cs="宋体"/>
                <w:szCs w:val="21"/>
                <w:lang w:val="zh-CN"/>
              </w:rPr>
              <w:br w:type="textWrapping"/>
            </w:r>
            <w:r>
              <w:rPr>
                <w:rFonts w:hint="eastAsia" w:ascii="宋体" w:hAnsi="宋体" w:eastAsia="宋体" w:cs="宋体"/>
                <w:szCs w:val="21"/>
                <w:lang w:val="zh-CN"/>
              </w:rPr>
              <w:t>② 具有ISO/IEC 27001信息安全管理体系认证证书，得1.5分；</w:t>
            </w:r>
            <w:r>
              <w:rPr>
                <w:rFonts w:hint="eastAsia" w:ascii="宋体" w:hAnsi="宋体" w:eastAsia="宋体" w:cs="宋体"/>
                <w:szCs w:val="21"/>
                <w:lang w:val="zh-CN"/>
              </w:rPr>
              <w:br w:type="textWrapping"/>
            </w:r>
            <w:r>
              <w:rPr>
                <w:rFonts w:hint="eastAsia" w:ascii="宋体" w:hAnsi="宋体" w:eastAsia="宋体" w:cs="宋体"/>
                <w:szCs w:val="21"/>
                <w:lang w:val="zh-CN"/>
              </w:rPr>
              <w:t>③ 具有ISO/IEC 20000-1信息技术服务管理体系认证证书，得1.5分；</w:t>
            </w:r>
            <w:r>
              <w:rPr>
                <w:rFonts w:hint="eastAsia" w:ascii="宋体" w:hAnsi="宋体" w:eastAsia="宋体" w:cs="宋体"/>
                <w:szCs w:val="21"/>
                <w:lang w:val="zh-CN"/>
              </w:rPr>
              <w:br w:type="textWrapping"/>
            </w:r>
            <w:r>
              <w:rPr>
                <w:rFonts w:hint="eastAsia" w:ascii="宋体" w:hAnsi="宋体" w:eastAsia="宋体" w:cs="宋体"/>
                <w:szCs w:val="21"/>
                <w:lang w:val="zh-CN"/>
              </w:rPr>
              <w:t>④ 具有国家认可的第三方检测机构（如CNAS、CMA认证机构）出具的护理管理系统软件评测报告，得1.5分。</w:t>
            </w:r>
            <w:r>
              <w:rPr>
                <w:rFonts w:hint="eastAsia" w:ascii="宋体" w:hAnsi="宋体" w:eastAsia="宋体" w:cs="宋体"/>
                <w:szCs w:val="21"/>
                <w:lang w:val="zh-CN"/>
              </w:rPr>
              <w:br w:type="textWrapping"/>
            </w:r>
            <w:r>
              <w:rPr>
                <w:rFonts w:hint="eastAsia" w:ascii="宋体" w:hAnsi="宋体" w:eastAsia="宋体" w:cs="宋体"/>
                <w:szCs w:val="21"/>
                <w:lang w:val="zh-CN"/>
              </w:rPr>
              <w:t>（注：以上证书须在有效期内，提供清晰复印件并加盖</w:t>
            </w:r>
            <w:r>
              <w:rPr>
                <w:rFonts w:hint="eastAsia" w:ascii="宋体" w:hAnsi="宋体" w:cs="宋体"/>
                <w:szCs w:val="21"/>
                <w:lang w:val="en-US" w:eastAsia="zh-CN"/>
              </w:rPr>
              <w:t>响应供应商</w:t>
            </w:r>
            <w:r>
              <w:rPr>
                <w:rFonts w:hint="eastAsia" w:ascii="宋体" w:hAnsi="宋体" w:eastAsia="宋体" w:cs="宋体"/>
                <w:szCs w:val="21"/>
                <w:lang w:val="zh-CN"/>
              </w:rPr>
              <w:t>公章，否则不得分。）</w:t>
            </w:r>
          </w:p>
        </w:tc>
      </w:tr>
      <w:tr>
        <w:tblPrEx>
          <w:tblCellMar>
            <w:top w:w="0" w:type="dxa"/>
            <w:left w:w="108" w:type="dxa"/>
            <w:bottom w:w="0" w:type="dxa"/>
            <w:right w:w="108" w:type="dxa"/>
          </w:tblCellMar>
        </w:tblPrEx>
        <w:trPr>
          <w:trHeight w:val="279" w:hRule="atLeast"/>
        </w:trPr>
        <w:tc>
          <w:tcPr>
            <w:tcW w:w="72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45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b/>
                <w:szCs w:val="21"/>
              </w:rPr>
              <w:t>软件资质</w:t>
            </w:r>
          </w:p>
        </w:tc>
        <w:tc>
          <w:tcPr>
            <w:tcW w:w="93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szCs w:val="21"/>
                <w:lang w:val="zh-CN" w:eastAsia="zh-CN"/>
              </w:rPr>
            </w:pPr>
            <w:r>
              <w:rPr>
                <w:rFonts w:hint="eastAsia" w:ascii="宋体" w:hAnsi="宋体" w:eastAsia="宋体" w:cs="宋体"/>
                <w:szCs w:val="21"/>
                <w:lang w:val="en-US" w:eastAsia="zh-CN"/>
              </w:rPr>
              <w:t>5</w:t>
            </w:r>
          </w:p>
        </w:tc>
        <w:tc>
          <w:tcPr>
            <w:tcW w:w="658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left"/>
              <w:rPr>
                <w:rFonts w:hint="eastAsia" w:ascii="宋体" w:hAnsi="宋体" w:eastAsia="宋体" w:cs="宋体"/>
                <w:szCs w:val="21"/>
                <w:lang w:val="zh-CN"/>
              </w:rPr>
            </w:pPr>
            <w:r>
              <w:rPr>
                <w:rFonts w:hint="eastAsia" w:ascii="宋体" w:hAnsi="宋体" w:cs="宋体"/>
                <w:szCs w:val="21"/>
                <w:lang w:val="en-US" w:eastAsia="zh-CN"/>
              </w:rPr>
              <w:t>响应供应商</w:t>
            </w:r>
            <w:r>
              <w:rPr>
                <w:rFonts w:hint="eastAsia" w:ascii="宋体" w:hAnsi="宋体" w:eastAsia="宋体" w:cs="宋体"/>
                <w:szCs w:val="21"/>
                <w:lang w:val="zh-CN"/>
              </w:rPr>
              <w:t>能提供与本项目相关的软件著作权证书（著作权人须为</w:t>
            </w:r>
            <w:r>
              <w:rPr>
                <w:rFonts w:hint="eastAsia" w:ascii="宋体" w:hAnsi="宋体" w:cs="宋体"/>
                <w:szCs w:val="21"/>
                <w:lang w:val="en-US" w:eastAsia="zh-CN"/>
              </w:rPr>
              <w:t>响应供应商</w:t>
            </w:r>
            <w:r>
              <w:rPr>
                <w:rFonts w:hint="eastAsia" w:ascii="宋体" w:hAnsi="宋体" w:eastAsia="宋体" w:cs="宋体"/>
                <w:szCs w:val="21"/>
                <w:lang w:val="zh-CN"/>
              </w:rPr>
              <w:t>），每提供一个得1分，满分5分。相关范围包括但不限于：护理管理、护理质控、人事管理、排班管理、质控管理、护理培训、不良事件管理等系统软件著作权。</w:t>
            </w:r>
            <w:r>
              <w:rPr>
                <w:rFonts w:hint="eastAsia" w:ascii="宋体" w:hAnsi="宋体" w:eastAsia="宋体" w:cs="宋体"/>
                <w:szCs w:val="21"/>
                <w:lang w:val="zh-CN"/>
              </w:rPr>
              <w:br w:type="textWrapping"/>
            </w:r>
            <w:r>
              <w:rPr>
                <w:rFonts w:hint="eastAsia" w:ascii="宋体" w:hAnsi="宋体" w:eastAsia="宋体" w:cs="宋体"/>
                <w:b/>
                <w:bCs/>
                <w:szCs w:val="21"/>
                <w:lang w:val="en-GB"/>
              </w:rPr>
              <w:t>注：须提供证书</w:t>
            </w:r>
            <w:r>
              <w:rPr>
                <w:rFonts w:hint="eastAsia" w:ascii="宋体" w:hAnsi="宋体" w:eastAsia="宋体" w:cs="宋体"/>
                <w:b/>
                <w:bCs/>
                <w:szCs w:val="21"/>
                <w:lang w:val="en-US" w:eastAsia="zh-CN"/>
              </w:rPr>
              <w:t>清晰复印件并加盖</w:t>
            </w:r>
            <w:r>
              <w:rPr>
                <w:rFonts w:hint="eastAsia" w:ascii="宋体" w:hAnsi="宋体" w:cs="宋体"/>
                <w:b/>
                <w:bCs/>
                <w:szCs w:val="21"/>
                <w:lang w:val="en-US" w:eastAsia="zh-CN"/>
              </w:rPr>
              <w:t>响应供应商</w:t>
            </w:r>
            <w:r>
              <w:rPr>
                <w:rFonts w:hint="eastAsia" w:ascii="宋体" w:hAnsi="宋体" w:eastAsia="宋体" w:cs="宋体"/>
                <w:b/>
                <w:bCs/>
                <w:szCs w:val="21"/>
                <w:lang w:val="en-US" w:eastAsia="zh-CN"/>
              </w:rPr>
              <w:t>公章</w:t>
            </w:r>
            <w:r>
              <w:rPr>
                <w:rFonts w:hint="eastAsia" w:ascii="宋体" w:hAnsi="宋体" w:eastAsia="宋体" w:cs="宋体"/>
                <w:b/>
                <w:bCs/>
                <w:szCs w:val="21"/>
                <w:lang w:val="en-GB"/>
              </w:rPr>
              <w:t>，证书颁发日期在本项目</w:t>
            </w:r>
            <w:r>
              <w:rPr>
                <w:rFonts w:hint="eastAsia" w:ascii="宋体" w:hAnsi="宋体" w:cs="宋体"/>
                <w:b/>
                <w:bCs/>
                <w:szCs w:val="21"/>
                <w:lang w:val="en-US" w:eastAsia="zh-CN"/>
              </w:rPr>
              <w:t>遴选</w:t>
            </w:r>
            <w:r>
              <w:rPr>
                <w:rFonts w:hint="eastAsia" w:ascii="宋体" w:hAnsi="宋体" w:eastAsia="宋体" w:cs="宋体"/>
                <w:b/>
                <w:bCs/>
                <w:szCs w:val="21"/>
                <w:lang w:val="en-GB"/>
              </w:rPr>
              <w:t>文件发布日期前1个月，并体现名称关键字眼认定有效（原件备查）。</w:t>
            </w:r>
          </w:p>
        </w:tc>
      </w:tr>
      <w:tr>
        <w:tblPrEx>
          <w:tblCellMar>
            <w:top w:w="0" w:type="dxa"/>
            <w:left w:w="108" w:type="dxa"/>
            <w:bottom w:w="0" w:type="dxa"/>
            <w:right w:w="108" w:type="dxa"/>
          </w:tblCellMar>
        </w:tblPrEx>
        <w:trPr>
          <w:trHeight w:val="563" w:hRule="atLeast"/>
        </w:trPr>
        <w:tc>
          <w:tcPr>
            <w:tcW w:w="72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45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autoSpaceDE w:val="0"/>
              <w:autoSpaceDN w:val="0"/>
              <w:adjustRightInd w:val="0"/>
              <w:spacing w:line="360" w:lineRule="auto"/>
              <w:jc w:val="center"/>
              <w:rPr>
                <w:rFonts w:hint="eastAsia" w:ascii="宋体" w:hAnsi="宋体" w:eastAsia="宋体" w:cs="宋体"/>
                <w:szCs w:val="21"/>
              </w:rPr>
            </w:pPr>
            <w:r>
              <w:rPr>
                <w:rFonts w:hint="eastAsia" w:ascii="宋体" w:hAnsi="宋体" w:eastAsia="宋体" w:cs="宋体"/>
                <w:b/>
                <w:szCs w:val="21"/>
              </w:rPr>
              <w:t>需求理解</w:t>
            </w:r>
          </w:p>
        </w:tc>
        <w:tc>
          <w:tcPr>
            <w:tcW w:w="93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65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spacing w:line="360" w:lineRule="auto"/>
              <w:ind w:right="105" w:rightChars="50"/>
              <w:jc w:val="left"/>
              <w:rPr>
                <w:rFonts w:hint="eastAsia" w:ascii="宋体" w:hAnsi="宋体" w:eastAsia="宋体" w:cs="宋体"/>
                <w:szCs w:val="21"/>
                <w:lang w:val="en-GB"/>
              </w:rPr>
            </w:pPr>
            <w:r>
              <w:rPr>
                <w:rFonts w:hint="eastAsia" w:ascii="宋体" w:hAnsi="宋体" w:eastAsia="宋体" w:cs="宋体"/>
                <w:szCs w:val="21"/>
                <w:lang w:val="en-GB"/>
              </w:rPr>
              <w:t>根据响应单位对</w:t>
            </w:r>
            <w:r>
              <w:rPr>
                <w:rFonts w:hint="eastAsia" w:ascii="宋体" w:hAnsi="宋体" w:cs="宋体"/>
                <w:szCs w:val="21"/>
                <w:lang w:val="en-US" w:eastAsia="zh-CN"/>
              </w:rPr>
              <w:t>遴选</w:t>
            </w:r>
            <w:r>
              <w:rPr>
                <w:rFonts w:hint="eastAsia" w:ascii="宋体" w:hAnsi="宋体" w:eastAsia="宋体" w:cs="宋体"/>
                <w:szCs w:val="21"/>
                <w:lang w:val="en-GB"/>
              </w:rPr>
              <w:t>单位现状和需求的理解和把握、对系统设计目标是否有清晰的描述，对本项目的重点难点分析及优化建议等进行综合评审。</w:t>
            </w:r>
          </w:p>
          <w:p>
            <w:pPr>
              <w:spacing w:line="360" w:lineRule="auto"/>
              <w:jc w:val="left"/>
              <w:rPr>
                <w:rFonts w:hint="eastAsia" w:ascii="宋体" w:hAnsi="宋体" w:eastAsia="宋体" w:cs="宋体"/>
                <w:szCs w:val="21"/>
                <w:lang w:val="en-US" w:eastAsia="zh-CN"/>
              </w:rPr>
            </w:pPr>
            <w:r>
              <w:rPr>
                <w:rFonts w:hint="eastAsia" w:ascii="宋体" w:hAnsi="宋体" w:eastAsia="宋体" w:cs="宋体"/>
                <w:color w:val="auto"/>
                <w:sz w:val="21"/>
                <w:szCs w:val="21"/>
              </w:rPr>
              <w:t>由专家进行打分。（评分范围：</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3分，2分，1分，</w:t>
            </w:r>
            <w:r>
              <w:rPr>
                <w:rFonts w:hint="eastAsia" w:ascii="宋体" w:hAnsi="宋体" w:eastAsia="宋体" w:cs="宋体"/>
                <w:color w:val="auto"/>
                <w:sz w:val="21"/>
                <w:szCs w:val="21"/>
              </w:rPr>
              <w:t>0分）</w:t>
            </w:r>
            <w:r>
              <w:rPr>
                <w:rFonts w:hint="eastAsia" w:ascii="宋体" w:hAnsi="宋体" w:eastAsia="宋体" w:cs="宋体"/>
                <w:bCs/>
                <w:color w:val="auto"/>
                <w:sz w:val="21"/>
                <w:szCs w:val="21"/>
              </w:rPr>
              <w:t>未提供不得分。</w:t>
            </w:r>
          </w:p>
        </w:tc>
      </w:tr>
      <w:tr>
        <w:tblPrEx>
          <w:tblCellMar>
            <w:top w:w="0" w:type="dxa"/>
            <w:left w:w="108" w:type="dxa"/>
            <w:bottom w:w="0" w:type="dxa"/>
            <w:right w:w="108" w:type="dxa"/>
          </w:tblCellMar>
        </w:tblPrEx>
        <w:trPr>
          <w:trHeight w:val="421" w:hRule="atLeast"/>
        </w:trPr>
        <w:tc>
          <w:tcPr>
            <w:tcW w:w="72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b/>
                <w:szCs w:val="21"/>
              </w:rPr>
            </w:pPr>
            <w:r>
              <w:rPr>
                <w:rFonts w:hint="eastAsia" w:ascii="宋体" w:hAnsi="宋体" w:eastAsia="宋体" w:cs="宋体"/>
                <w:szCs w:val="21"/>
              </w:rPr>
              <w:t>5</w:t>
            </w:r>
          </w:p>
        </w:tc>
        <w:tc>
          <w:tcPr>
            <w:tcW w:w="145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autoSpaceDE w:val="0"/>
              <w:autoSpaceDN w:val="0"/>
              <w:adjustRightInd w:val="0"/>
              <w:spacing w:line="360" w:lineRule="auto"/>
              <w:jc w:val="center"/>
              <w:rPr>
                <w:rFonts w:hint="eastAsia" w:ascii="宋体" w:hAnsi="宋体" w:eastAsia="宋体" w:cs="宋体"/>
                <w:b/>
                <w:szCs w:val="21"/>
              </w:rPr>
            </w:pPr>
            <w:r>
              <w:rPr>
                <w:rFonts w:hint="eastAsia" w:ascii="宋体" w:hAnsi="宋体" w:eastAsia="宋体" w:cs="宋体"/>
                <w:b/>
                <w:szCs w:val="21"/>
              </w:rPr>
              <w:t>服务方案</w:t>
            </w:r>
          </w:p>
        </w:tc>
        <w:tc>
          <w:tcPr>
            <w:tcW w:w="93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b/>
                <w:szCs w:val="21"/>
              </w:rPr>
            </w:pPr>
            <w:r>
              <w:rPr>
                <w:rFonts w:hint="eastAsia" w:ascii="宋体" w:hAnsi="宋体" w:eastAsia="宋体" w:cs="宋体"/>
                <w:szCs w:val="21"/>
              </w:rPr>
              <w:t>6</w:t>
            </w:r>
          </w:p>
        </w:tc>
        <w:tc>
          <w:tcPr>
            <w:tcW w:w="65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spacing w:line="360" w:lineRule="auto"/>
              <w:ind w:right="105" w:rightChars="50"/>
              <w:jc w:val="left"/>
              <w:rPr>
                <w:rFonts w:hint="eastAsia" w:ascii="宋体" w:hAnsi="宋体" w:eastAsia="宋体" w:cs="宋体"/>
                <w:szCs w:val="21"/>
                <w:lang w:val="zh-CN"/>
              </w:rPr>
            </w:pPr>
            <w:r>
              <w:rPr>
                <w:rFonts w:hint="eastAsia" w:ascii="宋体" w:hAnsi="宋体" w:eastAsia="宋体" w:cs="宋体"/>
                <w:color w:val="000000"/>
                <w:szCs w:val="21"/>
              </w:rPr>
              <w:t>根据响应单位提供的运维服务方案，包括但不限于售后技术力量，售后服务内容与计划、故障的响应时间修复时间等运维服务相关承诺进行综合评审。</w:t>
            </w:r>
            <w:r>
              <w:rPr>
                <w:rFonts w:hint="eastAsia" w:ascii="宋体" w:hAnsi="宋体" w:eastAsia="宋体" w:cs="宋体"/>
                <w:color w:val="auto"/>
                <w:sz w:val="21"/>
                <w:szCs w:val="21"/>
              </w:rPr>
              <w:t>由专家进行打分。（评分范围：</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3分，1分，</w:t>
            </w:r>
            <w:r>
              <w:rPr>
                <w:rFonts w:hint="eastAsia" w:ascii="宋体" w:hAnsi="宋体" w:eastAsia="宋体" w:cs="宋体"/>
                <w:color w:val="auto"/>
                <w:sz w:val="21"/>
                <w:szCs w:val="21"/>
              </w:rPr>
              <w:t>0分）</w:t>
            </w:r>
            <w:r>
              <w:rPr>
                <w:rFonts w:hint="eastAsia" w:ascii="宋体" w:hAnsi="宋体" w:eastAsia="宋体" w:cs="宋体"/>
                <w:bCs/>
                <w:color w:val="auto"/>
                <w:sz w:val="21"/>
                <w:szCs w:val="21"/>
              </w:rPr>
              <w:t>未提供不得分。</w:t>
            </w:r>
          </w:p>
        </w:tc>
      </w:tr>
      <w:tr>
        <w:tblPrEx>
          <w:tblCellMar>
            <w:top w:w="0" w:type="dxa"/>
            <w:left w:w="108" w:type="dxa"/>
            <w:bottom w:w="0" w:type="dxa"/>
            <w:right w:w="108" w:type="dxa"/>
          </w:tblCellMar>
        </w:tblPrEx>
        <w:trPr>
          <w:trHeight w:val="1112" w:hRule="atLeast"/>
        </w:trPr>
        <w:tc>
          <w:tcPr>
            <w:tcW w:w="72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b/>
                <w:szCs w:val="21"/>
              </w:rPr>
            </w:pPr>
            <w:r>
              <w:rPr>
                <w:rFonts w:hint="eastAsia" w:ascii="宋体" w:hAnsi="宋体" w:eastAsia="宋体" w:cs="宋体"/>
                <w:szCs w:val="21"/>
              </w:rPr>
              <w:t>6</w:t>
            </w:r>
          </w:p>
        </w:tc>
        <w:tc>
          <w:tcPr>
            <w:tcW w:w="145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autoSpaceDE w:val="0"/>
              <w:autoSpaceDN w:val="0"/>
              <w:adjustRightInd w:val="0"/>
              <w:spacing w:line="360" w:lineRule="auto"/>
              <w:jc w:val="center"/>
              <w:rPr>
                <w:rFonts w:hint="eastAsia" w:ascii="宋体" w:hAnsi="宋体" w:eastAsia="宋体" w:cs="宋体"/>
                <w:b/>
                <w:szCs w:val="21"/>
              </w:rPr>
            </w:pPr>
            <w:r>
              <w:rPr>
                <w:rFonts w:hint="eastAsia" w:ascii="宋体" w:hAnsi="宋体" w:eastAsia="宋体" w:cs="宋体"/>
                <w:b/>
                <w:szCs w:val="21"/>
              </w:rPr>
              <w:t>技术力量团队</w:t>
            </w:r>
          </w:p>
        </w:tc>
        <w:tc>
          <w:tcPr>
            <w:tcW w:w="93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b/>
                <w:szCs w:val="21"/>
              </w:rPr>
            </w:pPr>
            <w:r>
              <w:rPr>
                <w:rFonts w:hint="eastAsia" w:ascii="宋体" w:hAnsi="宋体" w:eastAsia="宋体" w:cs="宋体"/>
                <w:szCs w:val="21"/>
              </w:rPr>
              <w:t>5</w:t>
            </w:r>
          </w:p>
        </w:tc>
        <w:tc>
          <w:tcPr>
            <w:tcW w:w="658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rPr>
                <w:rFonts w:hint="eastAsia" w:ascii="宋体" w:hAnsi="宋体" w:eastAsia="宋体" w:cs="宋体"/>
                <w:szCs w:val="21"/>
              </w:rPr>
            </w:pPr>
            <w:r>
              <w:rPr>
                <w:rFonts w:hint="eastAsia" w:ascii="宋体" w:hAnsi="宋体" w:eastAsia="宋体" w:cs="宋体"/>
                <w:szCs w:val="21"/>
                <w:lang w:val="zh-CN"/>
              </w:rPr>
              <w:t>提供项目团队人员的数量、专业素质、技术能力，相关类似项目对应的服务经验，项目组人员工作履历、服务单位证明材料等</w:t>
            </w:r>
            <w:r>
              <w:rPr>
                <w:rFonts w:hint="eastAsia" w:ascii="宋体" w:hAnsi="宋体" w:eastAsia="宋体" w:cs="宋体"/>
              </w:rPr>
              <w:t>情况，</w:t>
            </w:r>
            <w:r>
              <w:rPr>
                <w:rFonts w:hint="eastAsia" w:ascii="宋体" w:hAnsi="宋体" w:eastAsia="宋体" w:cs="宋体"/>
                <w:color w:val="auto"/>
                <w:sz w:val="21"/>
                <w:szCs w:val="21"/>
              </w:rPr>
              <w:t>由专家进行打分。（评分范围：</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3分，2分，1分，</w:t>
            </w:r>
            <w:r>
              <w:rPr>
                <w:rFonts w:hint="eastAsia" w:ascii="宋体" w:hAnsi="宋体" w:eastAsia="宋体" w:cs="宋体"/>
                <w:color w:val="auto"/>
                <w:sz w:val="21"/>
                <w:szCs w:val="21"/>
              </w:rPr>
              <w:t>0分）</w:t>
            </w:r>
            <w:r>
              <w:rPr>
                <w:rFonts w:hint="eastAsia" w:ascii="宋体" w:hAnsi="宋体" w:eastAsia="宋体" w:cs="宋体"/>
                <w:bCs/>
                <w:color w:val="auto"/>
                <w:sz w:val="21"/>
                <w:szCs w:val="21"/>
              </w:rPr>
              <w:t>未提供不得分。</w:t>
            </w:r>
          </w:p>
        </w:tc>
      </w:tr>
      <w:tr>
        <w:tblPrEx>
          <w:tblCellMar>
            <w:top w:w="0" w:type="dxa"/>
            <w:left w:w="108" w:type="dxa"/>
            <w:bottom w:w="0" w:type="dxa"/>
            <w:right w:w="108" w:type="dxa"/>
          </w:tblCellMar>
        </w:tblPrEx>
        <w:trPr>
          <w:trHeight w:val="704" w:hRule="atLeast"/>
        </w:trPr>
        <w:tc>
          <w:tcPr>
            <w:tcW w:w="72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b/>
                <w:szCs w:val="21"/>
              </w:rPr>
            </w:pPr>
            <w:r>
              <w:rPr>
                <w:rFonts w:hint="eastAsia" w:ascii="宋体" w:hAnsi="宋体" w:eastAsia="宋体" w:cs="宋体"/>
                <w:szCs w:val="21"/>
              </w:rPr>
              <w:t>7</w:t>
            </w:r>
          </w:p>
        </w:tc>
        <w:tc>
          <w:tcPr>
            <w:tcW w:w="145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autoSpaceDE w:val="0"/>
              <w:autoSpaceDN w:val="0"/>
              <w:adjustRightInd w:val="0"/>
              <w:spacing w:line="360" w:lineRule="auto"/>
              <w:jc w:val="center"/>
              <w:rPr>
                <w:rFonts w:hint="eastAsia" w:ascii="宋体" w:hAnsi="宋体" w:eastAsia="宋体" w:cs="宋体"/>
                <w:b/>
                <w:szCs w:val="21"/>
              </w:rPr>
            </w:pPr>
            <w:r>
              <w:rPr>
                <w:rFonts w:hint="eastAsia" w:ascii="宋体" w:hAnsi="宋体" w:eastAsia="宋体" w:cs="宋体"/>
                <w:b/>
                <w:szCs w:val="21"/>
              </w:rPr>
              <w:t>业绩情况</w:t>
            </w:r>
          </w:p>
        </w:tc>
        <w:tc>
          <w:tcPr>
            <w:tcW w:w="930"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jc w:val="center"/>
              <w:rPr>
                <w:rFonts w:hint="eastAsia" w:ascii="宋体" w:hAnsi="宋体" w:eastAsia="宋体" w:cs="宋体"/>
                <w:b/>
                <w:szCs w:val="21"/>
                <w:lang w:eastAsia="zh-CN"/>
              </w:rPr>
            </w:pPr>
            <w:r>
              <w:rPr>
                <w:rFonts w:hint="eastAsia" w:ascii="宋体" w:hAnsi="宋体" w:eastAsia="宋体" w:cs="宋体"/>
                <w:szCs w:val="21"/>
                <w:lang w:val="en-US" w:eastAsia="zh-CN"/>
              </w:rPr>
              <w:t>3</w:t>
            </w:r>
          </w:p>
        </w:tc>
        <w:tc>
          <w:tcPr>
            <w:tcW w:w="6585" w:type="dxa"/>
            <w:tcBorders>
              <w:top w:val="single" w:color="000000" w:sz="2" w:space="0"/>
              <w:left w:val="single" w:color="000000" w:sz="2" w:space="0"/>
              <w:bottom w:val="single" w:color="000000" w:sz="2" w:space="0"/>
              <w:right w:val="single" w:color="000000" w:sz="2" w:space="0"/>
            </w:tcBorders>
            <w:shd w:val="clear" w:color="auto" w:fill="FFFFFF"/>
            <w:noWrap w:val="0"/>
            <w:vAlign w:val="center"/>
          </w:tcPr>
          <w:p>
            <w:pPr>
              <w:spacing w:line="360" w:lineRule="auto"/>
              <w:rPr>
                <w:rFonts w:hint="eastAsia" w:ascii="宋体" w:hAnsi="宋体" w:eastAsia="宋体" w:cs="宋体"/>
                <w:szCs w:val="21"/>
                <w:lang w:val="zh-CN"/>
              </w:rPr>
            </w:pPr>
            <w:r>
              <w:rPr>
                <w:rFonts w:hint="eastAsia" w:ascii="宋体" w:hAnsi="宋体" w:eastAsia="宋体" w:cs="宋体"/>
                <w:szCs w:val="21"/>
                <w:lang w:val="zh-CN"/>
              </w:rPr>
              <w:t>202</w:t>
            </w:r>
            <w:r>
              <w:rPr>
                <w:rFonts w:hint="eastAsia" w:ascii="宋体" w:hAnsi="宋体" w:eastAsia="宋体" w:cs="宋体"/>
                <w:szCs w:val="21"/>
                <w:lang w:val="en-US" w:eastAsia="zh-CN"/>
              </w:rPr>
              <w:t>3</w:t>
            </w:r>
            <w:r>
              <w:rPr>
                <w:rFonts w:hint="eastAsia" w:ascii="宋体" w:hAnsi="宋体" w:eastAsia="宋体" w:cs="宋体"/>
                <w:szCs w:val="21"/>
                <w:lang w:val="zh-CN"/>
              </w:rPr>
              <w:t>年至今（以合同签订时间为准），三级医院护理管理维护合同，每提供一份得</w:t>
            </w:r>
            <w:r>
              <w:rPr>
                <w:rFonts w:hint="eastAsia" w:ascii="宋体" w:hAnsi="宋体" w:eastAsia="宋体" w:cs="宋体"/>
                <w:szCs w:val="21"/>
                <w:lang w:val="en-US" w:eastAsia="zh-CN"/>
              </w:rPr>
              <w:t>1</w:t>
            </w:r>
            <w:r>
              <w:rPr>
                <w:rFonts w:hint="eastAsia" w:ascii="宋体" w:hAnsi="宋体" w:eastAsia="宋体" w:cs="宋体"/>
                <w:szCs w:val="21"/>
                <w:lang w:val="zh-CN"/>
              </w:rPr>
              <w:t>分，最高</w:t>
            </w:r>
            <w:r>
              <w:rPr>
                <w:rFonts w:hint="eastAsia" w:ascii="宋体" w:hAnsi="宋体" w:eastAsia="宋体" w:cs="宋体"/>
                <w:szCs w:val="21"/>
                <w:lang w:val="en-US" w:eastAsia="zh-CN"/>
              </w:rPr>
              <w:t>3</w:t>
            </w:r>
            <w:r>
              <w:rPr>
                <w:rFonts w:hint="eastAsia" w:ascii="宋体" w:hAnsi="宋体" w:eastAsia="宋体" w:cs="宋体"/>
                <w:szCs w:val="21"/>
                <w:lang w:val="zh-CN"/>
              </w:rPr>
              <w:t>分。合同名称必须包含护理管理或护理质控关键字样，且甲方为医院，乙方为</w:t>
            </w:r>
            <w:r>
              <w:rPr>
                <w:rFonts w:hint="eastAsia" w:ascii="宋体" w:hAnsi="宋体" w:cs="宋体"/>
                <w:szCs w:val="21"/>
                <w:lang w:val="en-US" w:eastAsia="zh-CN"/>
              </w:rPr>
              <w:t>入围</w:t>
            </w:r>
            <w:r>
              <w:rPr>
                <w:rFonts w:hint="eastAsia" w:ascii="宋体" w:hAnsi="宋体" w:eastAsia="宋体" w:cs="宋体"/>
                <w:szCs w:val="21"/>
                <w:lang w:val="zh-CN"/>
              </w:rPr>
              <w:t>方，不包含关键字样或甲方乙方不符合要求的不计分。</w:t>
            </w:r>
            <w:r>
              <w:rPr>
                <w:rFonts w:hint="eastAsia" w:ascii="宋体" w:hAnsi="宋体" w:eastAsia="宋体" w:cs="宋体"/>
                <w:szCs w:val="21"/>
                <w:lang w:val="en-US" w:eastAsia="zh-CN"/>
              </w:rPr>
              <w:t>需提供合同复印件并加盖单位公章，</w:t>
            </w:r>
            <w:r>
              <w:rPr>
                <w:rFonts w:hint="eastAsia" w:ascii="宋体" w:hAnsi="宋体" w:eastAsia="宋体" w:cs="宋体"/>
                <w:szCs w:val="21"/>
                <w:lang w:val="zh-CN"/>
              </w:rPr>
              <w:t>未提供不得分。（</w:t>
            </w:r>
            <w:r>
              <w:rPr>
                <w:rFonts w:hint="eastAsia" w:ascii="宋体" w:hAnsi="宋体" w:eastAsia="宋体" w:cs="宋体"/>
                <w:szCs w:val="21"/>
                <w:lang w:val="en-US" w:eastAsia="zh-CN"/>
              </w:rPr>
              <w:t>与同一采购人签订的多份合同视为1个业绩</w:t>
            </w:r>
            <w:r>
              <w:rPr>
                <w:rFonts w:hint="eastAsia" w:ascii="宋体" w:hAnsi="宋体" w:eastAsia="宋体" w:cs="宋体"/>
                <w:szCs w:val="21"/>
                <w:lang w:val="zh-CN"/>
              </w:rPr>
              <w:t>）</w:t>
            </w:r>
          </w:p>
        </w:tc>
      </w:tr>
    </w:tbl>
    <w:p>
      <w:pPr>
        <w:numPr>
          <w:ilvl w:val="0"/>
          <w:numId w:val="0"/>
        </w:numPr>
        <w:spacing w:line="360" w:lineRule="auto"/>
        <w:rPr>
          <w:rFonts w:hint="eastAsia" w:ascii="宋体" w:hAnsi="宋体" w:eastAsia="宋体" w:cs="宋体"/>
          <w:b/>
          <w:bCs/>
          <w:sz w:val="22"/>
          <w:szCs w:val="22"/>
        </w:rPr>
      </w:pPr>
    </w:p>
    <w:p>
      <w:pPr>
        <w:pStyle w:val="4"/>
        <w:spacing w:line="360" w:lineRule="auto"/>
        <w:ind w:left="0" w:leftChars="0" w:firstLine="0" w:firstLineChars="0"/>
        <w:rPr>
          <w:rFonts w:hint="eastAsia" w:ascii="宋体" w:hAnsi="宋体" w:eastAsia="宋体" w:cs="宋体"/>
          <w:b/>
          <w:bCs/>
          <w:sz w:val="22"/>
          <w:szCs w:val="22"/>
        </w:rPr>
      </w:pPr>
      <w:r>
        <w:rPr>
          <w:rFonts w:hint="eastAsia" w:ascii="宋体" w:hAnsi="宋体" w:eastAsia="宋体" w:cs="宋体"/>
          <w:b/>
          <w:bCs/>
          <w:sz w:val="22"/>
          <w:szCs w:val="22"/>
        </w:rPr>
        <w:br w:type="textWrapping"/>
      </w:r>
      <w:r>
        <w:rPr>
          <w:rFonts w:hint="eastAsia" w:ascii="宋体" w:hAnsi="宋体" w:eastAsia="宋体" w:cs="宋体"/>
          <w:b/>
          <w:bCs/>
          <w:sz w:val="22"/>
          <w:szCs w:val="22"/>
        </w:rPr>
        <w:br w:type="textWrapping"/>
      </w:r>
    </w:p>
    <w:p>
      <w:pPr>
        <w:rPr>
          <w:rFonts w:hint="eastAsia" w:ascii="宋体" w:hAnsi="宋体" w:eastAsia="宋体" w:cs="宋体"/>
          <w:b/>
          <w:bCs/>
          <w:sz w:val="22"/>
          <w:szCs w:val="22"/>
        </w:rPr>
      </w:pPr>
    </w:p>
    <w:p>
      <w:pPr>
        <w:rPr>
          <w:rFonts w:hint="eastAsia" w:ascii="宋体" w:hAnsi="宋体" w:eastAsia="宋体" w:cs="宋体"/>
          <w:b/>
          <w:bCs/>
          <w:sz w:val="22"/>
          <w:szCs w:val="22"/>
        </w:rPr>
      </w:pPr>
    </w:p>
    <w:p>
      <w:pPr>
        <w:rPr>
          <w:rFonts w:hint="eastAsia" w:ascii="宋体" w:hAnsi="宋体" w:eastAsia="宋体" w:cs="宋体"/>
          <w:b/>
          <w:bCs/>
          <w:sz w:val="22"/>
          <w:szCs w:val="22"/>
        </w:rPr>
      </w:pPr>
    </w:p>
    <w:p>
      <w:pPr>
        <w:rPr>
          <w:rFonts w:hint="eastAsia" w:ascii="宋体" w:hAnsi="宋体" w:eastAsia="宋体" w:cs="宋体"/>
          <w:b/>
          <w:bCs/>
          <w:sz w:val="22"/>
          <w:szCs w:val="22"/>
        </w:rPr>
      </w:pPr>
    </w:p>
    <w:p>
      <w:pPr>
        <w:rPr>
          <w:rFonts w:hint="eastAsia" w:ascii="宋体" w:hAnsi="宋体" w:eastAsia="宋体" w:cs="宋体"/>
          <w:b/>
          <w:bCs/>
          <w:sz w:val="22"/>
          <w:szCs w:val="22"/>
        </w:rPr>
      </w:pPr>
    </w:p>
    <w:p>
      <w:pPr>
        <w:rPr>
          <w:rFonts w:hint="eastAsia" w:ascii="宋体" w:hAnsi="宋体" w:eastAsia="宋体" w:cs="宋体"/>
          <w:b/>
          <w:bCs/>
          <w:sz w:val="22"/>
          <w:szCs w:val="22"/>
        </w:rPr>
      </w:pPr>
    </w:p>
    <w:p>
      <w:pPr>
        <w:rPr>
          <w:rFonts w:hint="eastAsia" w:ascii="宋体" w:hAnsi="宋体" w:eastAsia="宋体" w:cs="宋体"/>
          <w:b/>
          <w:bCs/>
          <w:sz w:val="22"/>
          <w:szCs w:val="22"/>
        </w:rPr>
      </w:pPr>
    </w:p>
    <w:p>
      <w:pPr>
        <w:numPr>
          <w:ilvl w:val="0"/>
          <w:numId w:val="2"/>
        </w:numPr>
        <w:spacing w:line="360" w:lineRule="auto"/>
        <w:rPr>
          <w:rFonts w:hint="eastAsia" w:ascii="宋体" w:hAnsi="宋体" w:eastAsia="宋体" w:cs="宋体"/>
          <w:b/>
          <w:bCs/>
          <w:sz w:val="22"/>
          <w:szCs w:val="22"/>
        </w:rPr>
      </w:pPr>
      <w:r>
        <w:rPr>
          <w:rFonts w:hint="eastAsia" w:ascii="宋体" w:hAnsi="宋体" w:cs="宋体"/>
          <w:b/>
          <w:bCs/>
          <w:sz w:val="22"/>
          <w:szCs w:val="22"/>
          <w:lang w:val="en-US" w:eastAsia="zh-CN"/>
        </w:rPr>
        <w:t>报价</w:t>
      </w:r>
      <w:r>
        <w:rPr>
          <w:rFonts w:hint="eastAsia" w:ascii="宋体" w:hAnsi="宋体" w:eastAsia="宋体" w:cs="宋体"/>
          <w:b/>
          <w:bCs/>
          <w:sz w:val="22"/>
          <w:szCs w:val="22"/>
        </w:rPr>
        <w:t>评分：</w:t>
      </w:r>
      <w:r>
        <w:rPr>
          <w:rFonts w:hint="eastAsia" w:ascii="宋体" w:hAnsi="宋体" w:eastAsia="宋体" w:cs="宋体"/>
          <w:b/>
          <w:bCs/>
          <w:sz w:val="22"/>
          <w:szCs w:val="22"/>
          <w:lang w:val="en-US" w:eastAsia="zh-CN"/>
        </w:rPr>
        <w:t>满分30</w:t>
      </w:r>
      <w:r>
        <w:rPr>
          <w:rFonts w:hint="eastAsia" w:ascii="宋体" w:hAnsi="宋体" w:eastAsia="宋体" w:cs="宋体"/>
          <w:b/>
          <w:bCs/>
          <w:sz w:val="22"/>
          <w:szCs w:val="22"/>
        </w:rPr>
        <w:t>分</w:t>
      </w:r>
    </w:p>
    <w:p>
      <w:pPr>
        <w:tabs>
          <w:tab w:val="left" w:pos="774"/>
        </w:tabs>
        <w:autoSpaceDE w:val="0"/>
        <w:autoSpaceDN w:val="0"/>
        <w:spacing w:before="240" w:line="360" w:lineRule="auto"/>
        <w:ind w:left="774" w:hanging="576"/>
        <w:jc w:val="center"/>
        <w:outlineLvl w:val="2"/>
        <w:rPr>
          <w:rFonts w:hint="eastAsia" w:ascii="宋体" w:hAnsi="宋体" w:eastAsia="宋体" w:cs="宋体"/>
          <w:b/>
          <w:color w:val="auto"/>
          <w:sz w:val="28"/>
          <w:szCs w:val="28"/>
          <w:highlight w:val="none"/>
          <w:lang w:val="zh-CN"/>
        </w:rPr>
      </w:pPr>
      <w:bookmarkStart w:id="2" w:name="_Toc11964"/>
      <w:bookmarkStart w:id="3" w:name="_Toc8618"/>
      <w:r>
        <w:rPr>
          <w:rFonts w:hint="eastAsia" w:ascii="宋体" w:hAnsi="宋体" w:eastAsia="宋体" w:cs="宋体"/>
          <w:b/>
          <w:color w:val="auto"/>
          <w:sz w:val="28"/>
          <w:szCs w:val="28"/>
          <w:highlight w:val="none"/>
          <w:lang w:val="zh-CN"/>
        </w:rPr>
        <w:t>报价一览表</w:t>
      </w:r>
      <w:bookmarkEnd w:id="2"/>
      <w:bookmarkEnd w:id="3"/>
    </w:p>
    <w:p>
      <w:pPr>
        <w:spacing w:line="360" w:lineRule="auto"/>
        <w:rPr>
          <w:rFonts w:hint="eastAsia" w:ascii="宋体" w:hAnsi="宋体" w:eastAsia="宋体" w:cs="宋体"/>
          <w:b w:val="0"/>
          <w:bCs w:val="0"/>
          <w:color w:val="auto"/>
          <w:sz w:val="22"/>
          <w:szCs w:val="18"/>
          <w:highlight w:val="none"/>
        </w:rPr>
      </w:pPr>
      <w:r>
        <w:rPr>
          <w:rFonts w:hint="eastAsia" w:ascii="宋体" w:hAnsi="宋体" w:eastAsia="宋体" w:cs="宋体"/>
          <w:b w:val="0"/>
          <w:bCs w:val="0"/>
          <w:color w:val="auto"/>
          <w:sz w:val="24"/>
          <w:szCs w:val="24"/>
          <w:highlight w:val="none"/>
        </w:rPr>
        <w:t>项目名称：</w:t>
      </w:r>
      <w:r>
        <w:rPr>
          <w:rFonts w:hint="eastAsia" w:ascii="宋体" w:hAnsi="宋体" w:eastAsia="宋体" w:cs="宋体"/>
          <w:b w:val="0"/>
          <w:bCs w:val="0"/>
          <w:color w:val="auto"/>
          <w:sz w:val="24"/>
          <w:szCs w:val="24"/>
          <w:highlight w:val="none"/>
          <w:lang w:val="en-US" w:eastAsia="zh-Hans"/>
        </w:rPr>
        <w:t>温州市中医院</w:t>
      </w:r>
      <w:r>
        <w:rPr>
          <w:rFonts w:hint="eastAsia" w:ascii="宋体" w:hAnsi="宋体" w:eastAsia="宋体" w:cs="宋体"/>
          <w:b w:val="0"/>
          <w:bCs w:val="0"/>
          <w:color w:val="auto"/>
          <w:sz w:val="24"/>
          <w:szCs w:val="24"/>
          <w:highlight w:val="none"/>
          <w:lang w:val="en-US" w:eastAsia="zh-CN"/>
        </w:rPr>
        <w:t>护理管理系统维保</w:t>
      </w: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olor w:val="auto"/>
          <w:sz w:val="22"/>
          <w:szCs w:val="18"/>
          <w:highlight w:val="none"/>
        </w:rPr>
        <w:t xml:space="preserve">                            </w:t>
      </w:r>
    </w:p>
    <w:tbl>
      <w:tblPr>
        <w:tblStyle w:val="13"/>
        <w:tblW w:w="9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5"/>
        <w:gridCol w:w="3540"/>
        <w:gridCol w:w="3105"/>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535" w:type="dxa"/>
            <w:noWrap w:val="0"/>
            <w:vAlign w:val="center"/>
          </w:tcPr>
          <w:p>
            <w:pPr>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序号</w:t>
            </w:r>
          </w:p>
        </w:tc>
        <w:tc>
          <w:tcPr>
            <w:tcW w:w="3540" w:type="dxa"/>
            <w:noWrap w:val="0"/>
            <w:vAlign w:val="center"/>
          </w:tcPr>
          <w:p>
            <w:pPr>
              <w:spacing w:line="360" w:lineRule="auto"/>
              <w:jc w:val="center"/>
              <w:rPr>
                <w:rFonts w:hint="eastAsia" w:ascii="宋体" w:hAnsi="宋体" w:eastAsia="宋体" w:cs="宋体"/>
                <w:color w:val="auto"/>
                <w:sz w:val="22"/>
                <w:highlight w:val="none"/>
              </w:rPr>
            </w:pPr>
            <w:r>
              <w:rPr>
                <w:rFonts w:hint="eastAsia" w:ascii="宋体" w:hAnsi="宋体" w:eastAsia="宋体" w:cs="宋体"/>
                <w:bCs/>
                <w:color w:val="auto"/>
                <w:sz w:val="22"/>
                <w:szCs w:val="22"/>
                <w:highlight w:val="none"/>
              </w:rPr>
              <w:t>项目名称</w:t>
            </w:r>
          </w:p>
        </w:tc>
        <w:tc>
          <w:tcPr>
            <w:tcW w:w="3105" w:type="dxa"/>
            <w:noWrap w:val="0"/>
            <w:vAlign w:val="center"/>
          </w:tcPr>
          <w:p>
            <w:pPr>
              <w:spacing w:line="360" w:lineRule="auto"/>
              <w:jc w:val="center"/>
              <w:rPr>
                <w:rFonts w:hint="eastAsia" w:ascii="宋体" w:hAnsi="宋体" w:eastAsia="宋体" w:cs="宋体"/>
                <w:color w:val="auto"/>
                <w:sz w:val="22"/>
                <w:highlight w:val="none"/>
                <w:lang w:eastAsia="zh-CN"/>
              </w:rPr>
            </w:pPr>
            <w:r>
              <w:rPr>
                <w:rFonts w:hint="eastAsia" w:ascii="宋体" w:hAnsi="宋体" w:eastAsia="宋体" w:cs="宋体"/>
                <w:bCs/>
                <w:color w:val="auto"/>
                <w:sz w:val="22"/>
                <w:szCs w:val="22"/>
                <w:highlight w:val="none"/>
              </w:rPr>
              <w:t>报价</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人民币元</w:t>
            </w:r>
            <w:r>
              <w:rPr>
                <w:rFonts w:hint="eastAsia" w:ascii="宋体" w:hAnsi="宋体" w:eastAsia="宋体" w:cs="宋体"/>
                <w:bCs/>
                <w:color w:val="auto"/>
                <w:sz w:val="22"/>
                <w:szCs w:val="22"/>
                <w:highlight w:val="none"/>
                <w:lang w:eastAsia="zh-CN"/>
              </w:rPr>
              <w:t>）</w:t>
            </w:r>
          </w:p>
        </w:tc>
        <w:tc>
          <w:tcPr>
            <w:tcW w:w="1323" w:type="dxa"/>
            <w:noWrap w:val="0"/>
            <w:vAlign w:val="center"/>
          </w:tcPr>
          <w:p>
            <w:pPr>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535" w:type="dxa"/>
            <w:vMerge w:val="restart"/>
            <w:noWrap w:val="0"/>
            <w:vAlign w:val="center"/>
          </w:tcPr>
          <w:p>
            <w:pPr>
              <w:spacing w:line="360" w:lineRule="auto"/>
              <w:jc w:val="center"/>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w:t>
            </w:r>
          </w:p>
        </w:tc>
        <w:tc>
          <w:tcPr>
            <w:tcW w:w="3540" w:type="dxa"/>
            <w:vMerge w:val="restart"/>
            <w:noWrap w:val="0"/>
            <w:vAlign w:val="center"/>
          </w:tcPr>
          <w:p>
            <w:pPr>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温州市中医院</w:t>
            </w:r>
            <w:r>
              <w:rPr>
                <w:rFonts w:hint="eastAsia" w:ascii="宋体" w:hAnsi="宋体" w:eastAsia="宋体" w:cs="宋体"/>
                <w:b w:val="0"/>
                <w:bCs w:val="0"/>
                <w:color w:val="auto"/>
                <w:sz w:val="21"/>
                <w:szCs w:val="21"/>
                <w:highlight w:val="none"/>
                <w:shd w:val="clear"/>
                <w:lang w:val="en-US" w:eastAsia="zh-CN"/>
              </w:rPr>
              <w:t>护理管理系统维保</w:t>
            </w:r>
          </w:p>
        </w:tc>
        <w:tc>
          <w:tcPr>
            <w:tcW w:w="3105" w:type="dxa"/>
            <w:noWrap w:val="0"/>
            <w:vAlign w:val="center"/>
          </w:tcPr>
          <w:p>
            <w:pPr>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大写：</w:t>
            </w:r>
          </w:p>
        </w:tc>
        <w:tc>
          <w:tcPr>
            <w:tcW w:w="1323" w:type="dxa"/>
            <w:vMerge w:val="restart"/>
            <w:noWrap w:val="0"/>
            <w:vAlign w:val="center"/>
          </w:tcPr>
          <w:p>
            <w:pPr>
              <w:spacing w:line="360" w:lineRule="auto"/>
              <w:jc w:val="center"/>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1535" w:type="dxa"/>
            <w:vMerge w:val="continue"/>
            <w:noWrap w:val="0"/>
            <w:vAlign w:val="center"/>
          </w:tcPr>
          <w:p>
            <w:pPr>
              <w:spacing w:line="360" w:lineRule="auto"/>
              <w:jc w:val="center"/>
              <w:rPr>
                <w:rFonts w:hint="eastAsia" w:ascii="宋体" w:hAnsi="宋体" w:eastAsia="宋体" w:cs="宋体"/>
                <w:color w:val="auto"/>
                <w:sz w:val="22"/>
                <w:highlight w:val="none"/>
              </w:rPr>
            </w:pPr>
          </w:p>
        </w:tc>
        <w:tc>
          <w:tcPr>
            <w:tcW w:w="3540" w:type="dxa"/>
            <w:vMerge w:val="continue"/>
            <w:noWrap w:val="0"/>
            <w:vAlign w:val="center"/>
          </w:tcPr>
          <w:p>
            <w:pPr>
              <w:spacing w:line="360" w:lineRule="auto"/>
              <w:jc w:val="center"/>
              <w:rPr>
                <w:rFonts w:hint="eastAsia" w:ascii="宋体" w:hAnsi="宋体" w:eastAsia="宋体" w:cs="宋体"/>
                <w:color w:val="auto"/>
                <w:sz w:val="22"/>
                <w:highlight w:val="none"/>
              </w:rPr>
            </w:pPr>
          </w:p>
        </w:tc>
        <w:tc>
          <w:tcPr>
            <w:tcW w:w="3105" w:type="dxa"/>
            <w:noWrap w:val="0"/>
            <w:vAlign w:val="center"/>
          </w:tcPr>
          <w:p>
            <w:pPr>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小写：</w:t>
            </w:r>
          </w:p>
        </w:tc>
        <w:tc>
          <w:tcPr>
            <w:tcW w:w="1323" w:type="dxa"/>
            <w:vMerge w:val="continue"/>
            <w:noWrap w:val="0"/>
            <w:vAlign w:val="center"/>
          </w:tcPr>
          <w:p>
            <w:pPr>
              <w:spacing w:line="360" w:lineRule="auto"/>
              <w:jc w:val="center"/>
              <w:rPr>
                <w:rFonts w:hint="eastAsia" w:ascii="宋体" w:hAnsi="宋体" w:eastAsia="宋体" w:cs="宋体"/>
                <w:color w:val="auto"/>
                <w:sz w:val="22"/>
                <w:highlight w:val="none"/>
              </w:rPr>
            </w:pPr>
          </w:p>
        </w:tc>
      </w:tr>
    </w:tbl>
    <w:p>
      <w:pPr>
        <w:spacing w:line="360" w:lineRule="auto"/>
        <w:ind w:firstLine="541" w:firstLineChars="245"/>
        <w:rPr>
          <w:rFonts w:hint="eastAsia" w:ascii="宋体" w:hAnsi="宋体" w:eastAsia="宋体" w:cs="宋体"/>
          <w:b/>
          <w:color w:val="auto"/>
          <w:sz w:val="22"/>
          <w:highlight w:val="none"/>
        </w:rPr>
      </w:pPr>
    </w:p>
    <w:p>
      <w:pPr>
        <w:spacing w:line="240" w:lineRule="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说明：</w:t>
      </w:r>
    </w:p>
    <w:p>
      <w:pPr>
        <w:spacing w:line="360" w:lineRule="auto"/>
        <w:ind w:firstLine="442" w:firstLineChars="200"/>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w:t>
      </w:r>
      <w:r>
        <w:rPr>
          <w:rFonts w:hint="eastAsia" w:ascii="宋体" w:hAnsi="宋体" w:eastAsia="宋体" w:cs="宋体"/>
          <w:b/>
          <w:color w:val="auto"/>
          <w:sz w:val="22"/>
          <w:highlight w:val="none"/>
        </w:rPr>
        <w:t>、全部报价均为税后价。</w:t>
      </w:r>
    </w:p>
    <w:p>
      <w:pPr>
        <w:pStyle w:val="2"/>
        <w:spacing w:line="360" w:lineRule="auto"/>
        <w:ind w:firstLine="442" w:firstLineChars="200"/>
        <w:rPr>
          <w:rFonts w:hint="eastAsia"/>
          <w:sz w:val="22"/>
          <w:szCs w:val="22"/>
        </w:rPr>
      </w:pPr>
      <w:r>
        <w:rPr>
          <w:rFonts w:hint="eastAsia"/>
          <w:sz w:val="22"/>
          <w:szCs w:val="22"/>
          <w:lang w:val="en-US" w:eastAsia="zh-CN"/>
        </w:rPr>
        <w:t>2、响应</w:t>
      </w:r>
      <w:r>
        <w:rPr>
          <w:rFonts w:hint="eastAsia"/>
          <w:sz w:val="22"/>
          <w:szCs w:val="22"/>
        </w:rPr>
        <w:t>总价应包括本项目整个服务期所需的一切设备、材料、软硬件、人工、工具、设备、保险、交通、利润、税金（包含须由</w:t>
      </w:r>
      <w:r>
        <w:rPr>
          <w:rFonts w:hint="eastAsia" w:ascii="新宋体" w:hAnsi="新宋体" w:eastAsia="新宋体" w:cs="新宋体"/>
          <w:color w:val="000000"/>
          <w:kern w:val="2"/>
          <w:sz w:val="22"/>
          <w:szCs w:val="22"/>
          <w:lang w:val="en-US" w:eastAsia="zh-CN" w:bidi="ar-SA"/>
        </w:rPr>
        <w:t>响应供应商</w:t>
      </w:r>
      <w:r>
        <w:rPr>
          <w:rFonts w:hint="eastAsia"/>
          <w:sz w:val="22"/>
          <w:szCs w:val="22"/>
        </w:rPr>
        <w:t>承担的各种税费）、其它需</w:t>
      </w:r>
      <w:r>
        <w:rPr>
          <w:rFonts w:hint="eastAsia" w:ascii="新宋体" w:hAnsi="新宋体" w:eastAsia="新宋体" w:cs="新宋体"/>
          <w:color w:val="000000"/>
          <w:kern w:val="2"/>
          <w:sz w:val="22"/>
          <w:szCs w:val="22"/>
          <w:lang w:val="en-US" w:eastAsia="zh-CN" w:bidi="ar-SA"/>
        </w:rPr>
        <w:t>响应供应商</w:t>
      </w:r>
      <w:r>
        <w:rPr>
          <w:rFonts w:hint="eastAsia"/>
          <w:sz w:val="22"/>
          <w:szCs w:val="22"/>
        </w:rPr>
        <w:t>承担的费用及潜在可能涉及的一切费用。</w:t>
      </w:r>
      <w:r>
        <w:rPr>
          <w:rFonts w:hint="eastAsia" w:ascii="新宋体" w:hAnsi="新宋体" w:eastAsia="新宋体" w:cs="新宋体"/>
          <w:color w:val="000000"/>
          <w:kern w:val="2"/>
          <w:sz w:val="22"/>
          <w:szCs w:val="22"/>
          <w:lang w:val="en-US" w:eastAsia="zh-CN" w:bidi="ar-SA"/>
        </w:rPr>
        <w:t>响应供应商</w:t>
      </w:r>
      <w:r>
        <w:rPr>
          <w:rFonts w:hint="eastAsia"/>
          <w:sz w:val="22"/>
          <w:szCs w:val="22"/>
        </w:rPr>
        <w:t>应认真计算可能发生的各相关费用并计入</w:t>
      </w:r>
      <w:r>
        <w:rPr>
          <w:rFonts w:hint="eastAsia"/>
          <w:sz w:val="22"/>
          <w:szCs w:val="22"/>
          <w:lang w:val="en-US" w:eastAsia="zh-CN"/>
        </w:rPr>
        <w:t>响应</w:t>
      </w:r>
      <w:r>
        <w:rPr>
          <w:rFonts w:hint="eastAsia"/>
          <w:sz w:val="22"/>
          <w:szCs w:val="22"/>
        </w:rPr>
        <w:t>报价内，在项目实施过程中不得藉此要求增加任何费用。如上述没有提及但该项目仍需要的内容，请</w:t>
      </w:r>
      <w:r>
        <w:rPr>
          <w:rFonts w:hint="eastAsia" w:ascii="新宋体" w:hAnsi="新宋体" w:eastAsia="新宋体" w:cs="新宋体"/>
          <w:color w:val="000000"/>
          <w:kern w:val="2"/>
          <w:sz w:val="22"/>
          <w:szCs w:val="22"/>
          <w:lang w:val="en-US" w:eastAsia="zh-CN" w:bidi="ar-SA"/>
        </w:rPr>
        <w:t>响应供应商</w:t>
      </w:r>
      <w:r>
        <w:rPr>
          <w:rFonts w:hint="eastAsia"/>
          <w:sz w:val="22"/>
          <w:szCs w:val="22"/>
        </w:rPr>
        <w:t>自行考虑一并计入</w:t>
      </w:r>
      <w:r>
        <w:rPr>
          <w:rFonts w:hint="eastAsia"/>
          <w:sz w:val="22"/>
          <w:szCs w:val="22"/>
          <w:lang w:val="en-US" w:eastAsia="zh-CN"/>
        </w:rPr>
        <w:t>响应</w:t>
      </w:r>
      <w:r>
        <w:rPr>
          <w:rFonts w:hint="eastAsia"/>
          <w:sz w:val="22"/>
          <w:szCs w:val="22"/>
        </w:rPr>
        <w:t>报价中（未计入的，视为</w:t>
      </w:r>
      <w:r>
        <w:rPr>
          <w:rFonts w:hint="eastAsia" w:ascii="新宋体" w:hAnsi="新宋体" w:eastAsia="新宋体" w:cs="新宋体"/>
          <w:color w:val="000000"/>
          <w:kern w:val="2"/>
          <w:sz w:val="22"/>
          <w:szCs w:val="22"/>
          <w:lang w:val="en-US" w:eastAsia="zh-CN" w:bidi="ar-SA"/>
        </w:rPr>
        <w:t>响应供应商</w:t>
      </w:r>
      <w:r>
        <w:rPr>
          <w:rFonts w:hint="eastAsia"/>
          <w:sz w:val="22"/>
          <w:szCs w:val="22"/>
        </w:rPr>
        <w:t>的优惠）</w:t>
      </w:r>
    </w:p>
    <w:p>
      <w:pPr>
        <w:pStyle w:val="2"/>
        <w:spacing w:line="360" w:lineRule="auto"/>
        <w:ind w:firstLine="442" w:firstLineChars="200"/>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val="en-US" w:eastAsia="zh-CN"/>
        </w:rPr>
        <w:t>3</w:t>
      </w:r>
      <w:r>
        <w:rPr>
          <w:rFonts w:hint="eastAsia" w:ascii="宋体" w:hAnsi="宋体" w:eastAsia="宋体" w:cs="宋体"/>
          <w:b/>
          <w:color w:val="auto"/>
          <w:sz w:val="22"/>
          <w:highlight w:val="none"/>
        </w:rPr>
        <w:t>、不提供此表格将被视为没有实质性响应文件</w:t>
      </w:r>
      <w:r>
        <w:rPr>
          <w:rFonts w:hint="eastAsia" w:ascii="宋体" w:hAnsi="宋体" w:eastAsia="宋体" w:cs="宋体"/>
          <w:b/>
          <w:color w:val="auto"/>
          <w:sz w:val="22"/>
          <w:highlight w:val="none"/>
          <w:lang w:eastAsia="zh-CN"/>
        </w:rPr>
        <w:t>。</w:t>
      </w:r>
    </w:p>
    <w:p>
      <w:pPr>
        <w:ind w:firstLine="442" w:firstLineChars="200"/>
        <w:rPr>
          <w:rFonts w:hint="default"/>
          <w:lang w:val="en-US" w:eastAsia="zh-CN"/>
        </w:rPr>
      </w:pPr>
      <w:r>
        <w:rPr>
          <w:rFonts w:hint="eastAsia" w:ascii="宋体" w:hAnsi="宋体" w:cs="宋体"/>
          <w:b/>
          <w:color w:val="auto"/>
          <w:sz w:val="22"/>
          <w:highlight w:val="none"/>
          <w:lang w:val="en-US" w:eastAsia="zh-CN"/>
        </w:rPr>
        <w:t>4、报价超过预算金额按无效标处理。</w:t>
      </w:r>
    </w:p>
    <w:p>
      <w:pPr>
        <w:spacing w:line="360" w:lineRule="auto"/>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pPr>
        <w:spacing w:line="360" w:lineRule="auto"/>
        <w:ind w:firstLine="4400" w:firstLineChars="2000"/>
        <w:rPr>
          <w:rFonts w:hint="eastAsia" w:ascii="宋体" w:hAnsi="宋体" w:eastAsia="宋体" w:cs="宋体"/>
          <w:color w:val="auto"/>
          <w:sz w:val="22"/>
          <w:szCs w:val="22"/>
          <w:highlight w:val="none"/>
        </w:rPr>
      </w:pPr>
    </w:p>
    <w:p>
      <w:pPr>
        <w:spacing w:line="360" w:lineRule="auto"/>
        <w:ind w:firstLine="4400" w:firstLineChars="2000"/>
        <w:rPr>
          <w:rFonts w:hint="eastAsia" w:ascii="宋体" w:hAnsi="宋体" w:eastAsia="宋体" w:cs="宋体"/>
          <w:color w:val="auto"/>
          <w:sz w:val="22"/>
          <w:szCs w:val="22"/>
          <w:highlight w:val="none"/>
        </w:rPr>
      </w:pPr>
    </w:p>
    <w:p>
      <w:pPr>
        <w:spacing w:line="360" w:lineRule="auto"/>
        <w:ind w:firstLine="4400" w:firstLineChars="2000"/>
        <w:rPr>
          <w:rFonts w:hint="eastAsia" w:ascii="宋体" w:hAnsi="宋体" w:eastAsia="宋体" w:cs="宋体"/>
          <w:color w:val="auto"/>
          <w:sz w:val="22"/>
          <w:szCs w:val="22"/>
          <w:highlight w:val="none"/>
        </w:rPr>
      </w:pPr>
    </w:p>
    <w:p>
      <w:pPr>
        <w:spacing w:line="360" w:lineRule="auto"/>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pPr>
        <w:spacing w:line="360" w:lineRule="auto"/>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供应商全称（盖章）：</w:t>
      </w:r>
    </w:p>
    <w:p>
      <w:pPr>
        <w:spacing w:line="360" w:lineRule="auto"/>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供应商代表（签字）：</w:t>
      </w:r>
    </w:p>
    <w:p>
      <w:pPr>
        <w:spacing w:line="360" w:lineRule="auto"/>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日  期：   </w:t>
      </w:r>
    </w:p>
    <w:p>
      <w:pPr>
        <w:pStyle w:val="2"/>
        <w:spacing w:line="360" w:lineRule="auto"/>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adjustRightInd w:val="0"/>
        <w:snapToGrid w:val="0"/>
        <w:spacing w:line="360" w:lineRule="auto"/>
        <w:jc w:val="left"/>
        <w:rPr>
          <w:rFonts w:hint="eastAsia" w:ascii="宋体" w:hAnsi="宋体" w:eastAsia="宋体" w:cs="宋体"/>
          <w:color w:val="000000"/>
          <w:szCs w:val="21"/>
        </w:rPr>
      </w:pPr>
    </w:p>
    <w:p>
      <w:pPr>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温州市中医院护理管理系统维保服务合同</w:t>
      </w:r>
    </w:p>
    <w:p>
      <w:pPr>
        <w:spacing w:line="360" w:lineRule="auto"/>
        <w:jc w:val="center"/>
        <w:rPr>
          <w:rFonts w:hint="eastAsia" w:ascii="宋体" w:hAnsi="宋体" w:eastAsia="宋体" w:cs="宋体"/>
          <w:b/>
          <w:szCs w:val="21"/>
        </w:rPr>
      </w:pPr>
      <w:r>
        <w:rPr>
          <w:rFonts w:hint="eastAsia" w:ascii="宋体" w:hAnsi="宋体" w:eastAsia="宋体" w:cs="宋体"/>
          <w:b/>
          <w:szCs w:val="21"/>
        </w:rPr>
        <w:t xml:space="preserve">               </w:t>
      </w:r>
    </w:p>
    <w:p>
      <w:pPr>
        <w:spacing w:line="360" w:lineRule="auto"/>
        <w:jc w:val="center"/>
        <w:rPr>
          <w:rFonts w:hint="eastAsia" w:ascii="宋体" w:hAnsi="宋体" w:eastAsia="宋体" w:cs="宋体"/>
          <w:b/>
          <w:szCs w:val="21"/>
        </w:rPr>
      </w:pPr>
      <w:r>
        <w:rPr>
          <w:rFonts w:hint="eastAsia" w:ascii="宋体" w:hAnsi="宋体" w:eastAsia="宋体" w:cs="宋体"/>
          <w:b/>
          <w:szCs w:val="21"/>
        </w:rPr>
        <w:t xml:space="preserve">                                                     合同编号：</w:t>
      </w:r>
    </w:p>
    <w:p>
      <w:pPr>
        <w:widowControl/>
        <w:spacing w:line="360" w:lineRule="auto"/>
        <w:jc w:val="left"/>
        <w:rPr>
          <w:rFonts w:hint="eastAsia" w:ascii="宋体" w:hAnsi="宋体" w:eastAsia="宋体" w:cs="宋体"/>
          <w:kern w:val="0"/>
          <w:sz w:val="22"/>
          <w:szCs w:val="22"/>
        </w:rPr>
      </w:pPr>
      <w:r>
        <w:rPr>
          <w:rFonts w:hint="eastAsia" w:ascii="宋体" w:hAnsi="宋体" w:eastAsia="宋体" w:cs="宋体"/>
          <w:kern w:val="0"/>
          <w:sz w:val="22"/>
          <w:szCs w:val="22"/>
        </w:rPr>
        <w:t>甲方（需方）：温州市中医院</w:t>
      </w:r>
    </w:p>
    <w:p>
      <w:pPr>
        <w:widowControl/>
        <w:spacing w:line="360" w:lineRule="auto"/>
        <w:jc w:val="left"/>
        <w:rPr>
          <w:rFonts w:hint="eastAsia" w:ascii="宋体" w:hAnsi="宋体" w:eastAsia="宋体" w:cs="宋体"/>
          <w:kern w:val="0"/>
          <w:sz w:val="22"/>
          <w:szCs w:val="22"/>
        </w:rPr>
      </w:pPr>
      <w:r>
        <w:rPr>
          <w:rFonts w:hint="eastAsia" w:ascii="宋体" w:hAnsi="宋体" w:eastAsia="宋体" w:cs="宋体"/>
          <w:kern w:val="0"/>
          <w:sz w:val="22"/>
          <w:szCs w:val="22"/>
        </w:rPr>
        <w:t>乙方（服务方）：</w:t>
      </w:r>
    </w:p>
    <w:p>
      <w:pPr>
        <w:widowControl/>
        <w:spacing w:line="360" w:lineRule="auto"/>
        <w:ind w:firstLine="440" w:firstLineChars="200"/>
        <w:jc w:val="left"/>
        <w:rPr>
          <w:rFonts w:hint="eastAsia" w:ascii="宋体" w:hAnsi="宋体" w:eastAsia="宋体" w:cs="宋体"/>
          <w:color w:val="000000"/>
          <w:sz w:val="22"/>
          <w:szCs w:val="22"/>
          <w:lang w:val="zh-CN"/>
        </w:rPr>
      </w:pPr>
      <w:r>
        <w:rPr>
          <w:rFonts w:hint="eastAsia" w:ascii="宋体" w:hAnsi="宋体" w:eastAsia="宋体" w:cs="宋体"/>
          <w:color w:val="000000"/>
          <w:sz w:val="22"/>
          <w:szCs w:val="22"/>
          <w:lang w:val="zh-CN"/>
        </w:rPr>
        <w:t>双方依照《中华人民共和国</w:t>
      </w:r>
      <w:r>
        <w:rPr>
          <w:rFonts w:hint="eastAsia" w:ascii="宋体" w:hAnsi="宋体" w:eastAsia="宋体" w:cs="宋体"/>
          <w:color w:val="000000"/>
          <w:sz w:val="22"/>
          <w:szCs w:val="22"/>
        </w:rPr>
        <w:t>民法典</w:t>
      </w:r>
      <w:r>
        <w:rPr>
          <w:rFonts w:hint="eastAsia" w:ascii="宋体" w:hAnsi="宋体" w:eastAsia="宋体" w:cs="宋体"/>
          <w:color w:val="000000"/>
          <w:sz w:val="22"/>
          <w:szCs w:val="22"/>
          <w:lang w:val="zh-CN"/>
        </w:rPr>
        <w:t>》等法律法规，遵循平等、自愿、公平的原则，就</w:t>
      </w:r>
      <w:r>
        <w:rPr>
          <w:rFonts w:hint="eastAsia" w:ascii="宋体" w:hAnsi="宋体" w:eastAsia="宋体" w:cs="宋体"/>
          <w:kern w:val="0"/>
          <w:sz w:val="22"/>
          <w:szCs w:val="22"/>
        </w:rPr>
        <w:t>温州市中医院</w:t>
      </w:r>
      <w:r>
        <w:rPr>
          <w:rFonts w:hint="eastAsia" w:ascii="宋体" w:hAnsi="宋体" w:eastAsia="宋体" w:cs="宋体"/>
          <w:color w:val="000000"/>
          <w:sz w:val="22"/>
          <w:szCs w:val="22"/>
          <w:lang w:val="zh-CN"/>
        </w:rPr>
        <w:t>护理管理系统软件服务事宜，特签订本服务合同。</w:t>
      </w:r>
    </w:p>
    <w:p>
      <w:pPr>
        <w:pStyle w:val="3"/>
        <w:keepLines w:val="0"/>
        <w:numPr>
          <w:ilvl w:val="0"/>
          <w:numId w:val="3"/>
        </w:numPr>
        <w:spacing w:before="0" w:after="0" w:line="360" w:lineRule="auto"/>
        <w:rPr>
          <w:rFonts w:hint="eastAsia" w:ascii="宋体" w:hAnsi="宋体" w:eastAsia="宋体" w:cs="宋体"/>
          <w:sz w:val="28"/>
          <w:szCs w:val="28"/>
        </w:rPr>
      </w:pPr>
      <w:r>
        <w:rPr>
          <w:rFonts w:hint="eastAsia" w:ascii="宋体" w:hAnsi="宋体" w:eastAsia="宋体" w:cs="宋体"/>
          <w:sz w:val="28"/>
          <w:szCs w:val="28"/>
        </w:rPr>
        <w:t>维护服务内容</w:t>
      </w:r>
    </w:p>
    <w:p>
      <w:pPr>
        <w:autoSpaceDE w:val="0"/>
        <w:autoSpaceDN w:val="0"/>
        <w:adjustRightInd w:val="0"/>
        <w:spacing w:line="360" w:lineRule="auto"/>
        <w:ind w:firstLine="440" w:firstLineChars="200"/>
        <w:rPr>
          <w:rFonts w:hint="eastAsia" w:ascii="宋体" w:hAnsi="宋体" w:eastAsia="宋体" w:cs="宋体"/>
          <w:color w:val="000000"/>
          <w:sz w:val="22"/>
          <w:szCs w:val="22"/>
          <w:lang w:val="zh-CN"/>
        </w:rPr>
      </w:pPr>
      <w:r>
        <w:rPr>
          <w:rFonts w:hint="eastAsia" w:ascii="宋体" w:hAnsi="宋体" w:eastAsia="宋体" w:cs="宋体"/>
          <w:color w:val="000000"/>
          <w:sz w:val="22"/>
          <w:szCs w:val="22"/>
          <w:lang w:val="zh-CN"/>
        </w:rPr>
        <w:t>在维护服务期（以下简称“服务期”）内，由乙方为甲方提供护理管理软件系统维护服务。服务内容包含功能应用维护、数据维护、培训等其他服务与系统功能提升开发服务四部分。</w:t>
      </w:r>
    </w:p>
    <w:tbl>
      <w:tblPr>
        <w:tblStyle w:val="13"/>
        <w:tblW w:w="9584" w:type="dxa"/>
        <w:jc w:val="center"/>
        <w:tblLayout w:type="fixed"/>
        <w:tblCellMar>
          <w:top w:w="0" w:type="dxa"/>
          <w:left w:w="28" w:type="dxa"/>
          <w:bottom w:w="0" w:type="dxa"/>
          <w:right w:w="28" w:type="dxa"/>
        </w:tblCellMar>
      </w:tblPr>
      <w:tblGrid>
        <w:gridCol w:w="1004"/>
        <w:gridCol w:w="1095"/>
        <w:gridCol w:w="3670"/>
        <w:gridCol w:w="1985"/>
        <w:gridCol w:w="1830"/>
      </w:tblGrid>
      <w:tr>
        <w:tblPrEx>
          <w:tblCellMar>
            <w:top w:w="0" w:type="dxa"/>
            <w:left w:w="28" w:type="dxa"/>
            <w:bottom w:w="0" w:type="dxa"/>
            <w:right w:w="28" w:type="dxa"/>
          </w:tblCellMar>
        </w:tblPrEx>
        <w:trPr>
          <w:trHeight w:val="866"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szCs w:val="21"/>
              </w:rPr>
              <w:br w:type="page"/>
            </w:r>
            <w:r>
              <w:rPr>
                <w:rFonts w:hint="eastAsia" w:ascii="宋体" w:hAnsi="宋体" w:eastAsia="宋体" w:cs="宋体"/>
                <w:b/>
                <w:bCs/>
                <w:szCs w:val="21"/>
              </w:rPr>
              <w:t>序号</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textAlignment w:val="bottom"/>
              <w:rPr>
                <w:rFonts w:hint="eastAsia" w:ascii="宋体" w:hAnsi="宋体" w:eastAsia="宋体" w:cs="宋体"/>
                <w:b/>
                <w:bCs/>
                <w:szCs w:val="21"/>
              </w:rPr>
            </w:pPr>
            <w:r>
              <w:rPr>
                <w:rFonts w:hint="eastAsia" w:ascii="宋体" w:hAnsi="宋体" w:eastAsia="宋体" w:cs="宋体"/>
                <w:b/>
                <w:bCs/>
                <w:szCs w:val="21"/>
              </w:rPr>
              <w:t>服务项目</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b/>
                <w:bCs/>
                <w:szCs w:val="21"/>
              </w:rPr>
              <w:t>服务内容（均限定为合同范围）</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b/>
                <w:bCs/>
                <w:szCs w:val="21"/>
              </w:rPr>
              <w:t>服务方式</w:t>
            </w:r>
          </w:p>
        </w:tc>
        <w:tc>
          <w:tcPr>
            <w:tcW w:w="1830" w:type="dxa"/>
            <w:tcBorders>
              <w:top w:val="single" w:color="000000" w:sz="12" w:space="0"/>
              <w:left w:val="single" w:color="000000" w:sz="6"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b/>
                <w:bCs/>
                <w:szCs w:val="21"/>
              </w:rPr>
              <w:t>响应时间（工作日）</w:t>
            </w:r>
          </w:p>
        </w:tc>
      </w:tr>
      <w:tr>
        <w:tblPrEx>
          <w:tblCellMar>
            <w:top w:w="0" w:type="dxa"/>
            <w:left w:w="28" w:type="dxa"/>
            <w:bottom w:w="0" w:type="dxa"/>
            <w:right w:w="28" w:type="dxa"/>
          </w:tblCellMar>
        </w:tblPrEx>
        <w:trPr>
          <w:trHeight w:val="538" w:hRule="atLeast"/>
          <w:jc w:val="center"/>
        </w:trPr>
        <w:tc>
          <w:tcPr>
            <w:tcW w:w="9584" w:type="dxa"/>
            <w:gridSpan w:val="5"/>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color w:val="000000"/>
                <w:sz w:val="24"/>
                <w:lang w:val="zh-CN"/>
              </w:rPr>
              <w:t>软件功能适应性维护</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1</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textAlignment w:val="bottom"/>
              <w:rPr>
                <w:rFonts w:hint="eastAsia" w:ascii="宋体" w:hAnsi="宋体" w:eastAsia="宋体" w:cs="宋体"/>
                <w:szCs w:val="21"/>
              </w:rPr>
            </w:pPr>
            <w:r>
              <w:rPr>
                <w:rFonts w:hint="eastAsia" w:ascii="宋体" w:hAnsi="宋体" w:eastAsia="宋体" w:cs="宋体"/>
                <w:szCs w:val="21"/>
              </w:rPr>
              <w:t>咨询服务</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软件功能的应用咨询</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2小时内响应</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2</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textAlignment w:val="bottom"/>
              <w:rPr>
                <w:rFonts w:hint="eastAsia" w:ascii="宋体" w:hAnsi="宋体" w:eastAsia="宋体" w:cs="宋体"/>
                <w:bCs/>
                <w:szCs w:val="21"/>
              </w:rPr>
            </w:pPr>
            <w:r>
              <w:rPr>
                <w:rFonts w:hint="eastAsia" w:ascii="宋体" w:hAnsi="宋体" w:eastAsia="宋体" w:cs="宋体"/>
                <w:bCs/>
                <w:szCs w:val="21"/>
              </w:rPr>
              <w:t>故障排除</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bCs/>
                <w:szCs w:val="21"/>
              </w:rPr>
            </w:pPr>
            <w:r>
              <w:rPr>
                <w:rFonts w:hint="eastAsia" w:ascii="宋体" w:hAnsi="宋体" w:eastAsia="宋体" w:cs="宋体"/>
                <w:bCs/>
                <w:szCs w:val="21"/>
              </w:rPr>
              <w:t>软件应用过程中出现功能错误，协助查找、排除软件故障，保证系统功能正常运行。</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bCs/>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1小时内响应</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3</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textAlignment w:val="bottom"/>
              <w:rPr>
                <w:rFonts w:hint="eastAsia" w:ascii="宋体" w:hAnsi="宋体" w:eastAsia="宋体" w:cs="宋体"/>
                <w:szCs w:val="21"/>
              </w:rPr>
            </w:pPr>
            <w:r>
              <w:rPr>
                <w:rFonts w:hint="eastAsia" w:ascii="宋体" w:hAnsi="宋体" w:eastAsia="宋体" w:cs="宋体"/>
                <w:szCs w:val="21"/>
              </w:rPr>
              <w:t>数据维护</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无法由</w:t>
            </w:r>
            <w:r>
              <w:rPr>
                <w:rFonts w:hint="eastAsia" w:ascii="宋体" w:hAnsi="宋体" w:eastAsia="宋体" w:cs="宋体"/>
                <w:szCs w:val="21"/>
                <w:lang w:eastAsia="zh-CN"/>
              </w:rPr>
              <w:t>甲方</w:t>
            </w:r>
            <w:r>
              <w:rPr>
                <w:rFonts w:hint="eastAsia" w:ascii="宋体" w:hAnsi="宋体" w:eastAsia="宋体" w:cs="宋体"/>
                <w:szCs w:val="21"/>
              </w:rPr>
              <w:t>自行完成的数据字典维护；</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3小时内响应</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4</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textAlignment w:val="bottom"/>
              <w:rPr>
                <w:rFonts w:hint="eastAsia" w:ascii="宋体" w:hAnsi="宋体" w:eastAsia="宋体" w:cs="宋体"/>
                <w:szCs w:val="21"/>
              </w:rPr>
            </w:pPr>
            <w:r>
              <w:rPr>
                <w:rFonts w:hint="eastAsia" w:ascii="宋体" w:hAnsi="宋体" w:eastAsia="宋体" w:cs="宋体"/>
                <w:szCs w:val="21"/>
              </w:rPr>
              <w:t>参数设置维护</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系统定义的参数调整；</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3小时内响应</w:t>
            </w:r>
          </w:p>
        </w:tc>
      </w:tr>
      <w:tr>
        <w:tblPrEx>
          <w:tblCellMar>
            <w:top w:w="0" w:type="dxa"/>
            <w:left w:w="28" w:type="dxa"/>
            <w:bottom w:w="0" w:type="dxa"/>
            <w:right w:w="28" w:type="dxa"/>
          </w:tblCellMar>
        </w:tblPrEx>
        <w:trPr>
          <w:trHeight w:val="647" w:hRule="atLeast"/>
          <w:jc w:val="center"/>
        </w:trPr>
        <w:tc>
          <w:tcPr>
            <w:tcW w:w="9584" w:type="dxa"/>
            <w:gridSpan w:val="5"/>
            <w:tcBorders>
              <w:top w:val="single" w:color="000000" w:sz="12" w:space="0"/>
              <w:left w:val="single" w:color="000000" w:sz="12"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szCs w:val="21"/>
              </w:rPr>
              <w:br w:type="page"/>
            </w:r>
            <w:r>
              <w:rPr>
                <w:rFonts w:hint="eastAsia" w:ascii="宋体" w:hAnsi="宋体" w:eastAsia="宋体" w:cs="宋体"/>
                <w:color w:val="000000"/>
                <w:sz w:val="24"/>
                <w:lang w:val="zh-CN"/>
              </w:rPr>
              <w:t>数据维护</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5</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jc w:val="left"/>
              <w:textAlignment w:val="bottom"/>
              <w:rPr>
                <w:rFonts w:hint="eastAsia" w:ascii="宋体" w:hAnsi="宋体" w:eastAsia="宋体" w:cs="宋体"/>
                <w:b/>
                <w:bCs/>
                <w:szCs w:val="21"/>
              </w:rPr>
            </w:pPr>
            <w:r>
              <w:rPr>
                <w:rFonts w:hint="eastAsia" w:ascii="宋体" w:hAnsi="宋体" w:eastAsia="宋体" w:cs="宋体"/>
                <w:szCs w:val="21"/>
              </w:rPr>
              <w:t>数据恢复</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bCs/>
                <w:szCs w:val="21"/>
              </w:rPr>
            </w:pPr>
            <w:r>
              <w:rPr>
                <w:rFonts w:hint="eastAsia" w:ascii="宋体" w:hAnsi="宋体" w:eastAsia="宋体" w:cs="宋体"/>
                <w:szCs w:val="21"/>
              </w:rPr>
              <w:t>因甲方操作不当或其它原因导致</w:t>
            </w:r>
            <w:r>
              <w:rPr>
                <w:rFonts w:hint="eastAsia" w:ascii="宋体" w:hAnsi="宋体" w:eastAsia="宋体" w:cs="宋体"/>
                <w:bCs/>
                <w:szCs w:val="21"/>
              </w:rPr>
              <w:t>数据丢失，协助甲方系统维护人员恢复数据。</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bCs/>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bCs/>
                <w:szCs w:val="21"/>
              </w:rPr>
            </w:pPr>
            <w:r>
              <w:rPr>
                <w:rFonts w:hint="eastAsia" w:ascii="宋体" w:hAnsi="宋体" w:eastAsia="宋体" w:cs="宋体"/>
                <w:szCs w:val="21"/>
              </w:rPr>
              <w:t>3小时内响应</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6</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特殊服务</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color w:val="000000"/>
                <w:szCs w:val="21"/>
                <w:lang w:val="zh-CN"/>
              </w:rPr>
              <w:t>系统灾难发生时，乙方承诺立即响应，减少数据损失，降低灾难对整个系统正常运行的影响。</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立即响应</w:t>
            </w:r>
          </w:p>
        </w:tc>
      </w:tr>
      <w:tr>
        <w:tblPrEx>
          <w:tblCellMar>
            <w:top w:w="0" w:type="dxa"/>
            <w:left w:w="28" w:type="dxa"/>
            <w:bottom w:w="0" w:type="dxa"/>
            <w:right w:w="28" w:type="dxa"/>
          </w:tblCellMar>
        </w:tblPrEx>
        <w:trPr>
          <w:trHeight w:val="266" w:hRule="atLeast"/>
          <w:jc w:val="center"/>
        </w:trPr>
        <w:tc>
          <w:tcPr>
            <w:tcW w:w="9584" w:type="dxa"/>
            <w:gridSpan w:val="5"/>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color w:val="000000"/>
                <w:sz w:val="24"/>
                <w:lang w:val="zh-CN"/>
              </w:rPr>
              <w:t>纠错性维护</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7</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textAlignment w:val="bottom"/>
              <w:rPr>
                <w:rFonts w:hint="eastAsia" w:ascii="宋体" w:hAnsi="宋体" w:eastAsia="宋体" w:cs="宋体"/>
                <w:szCs w:val="21"/>
              </w:rPr>
            </w:pPr>
            <w:r>
              <w:rPr>
                <w:rFonts w:hint="eastAsia" w:ascii="宋体" w:hAnsi="宋体" w:eastAsia="宋体" w:cs="宋体"/>
                <w:szCs w:val="21"/>
              </w:rPr>
              <w:t>数据适应功能性调整</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由于程序修改或增加功能所引起的数据错误的改正；</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4小时内响应</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8</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数据调整</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因甲方操作不当或其它原因造成数据出现部分或全部错误，协助甲方系统维护人员进行数据调整。</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bCs/>
                <w:szCs w:val="21"/>
              </w:rPr>
            </w:pPr>
            <w:r>
              <w:rPr>
                <w:rFonts w:hint="eastAsia" w:ascii="宋体" w:hAnsi="宋体" w:eastAsia="宋体" w:cs="宋体"/>
                <w:szCs w:val="21"/>
              </w:rPr>
              <w:t>2小时内响应</w:t>
            </w:r>
          </w:p>
        </w:tc>
      </w:tr>
      <w:tr>
        <w:tblPrEx>
          <w:tblCellMar>
            <w:top w:w="0" w:type="dxa"/>
            <w:left w:w="28" w:type="dxa"/>
            <w:bottom w:w="0" w:type="dxa"/>
            <w:right w:w="28" w:type="dxa"/>
          </w:tblCellMar>
        </w:tblPrEx>
        <w:trPr>
          <w:trHeight w:val="266" w:hRule="atLeast"/>
          <w:jc w:val="center"/>
        </w:trPr>
        <w:tc>
          <w:tcPr>
            <w:tcW w:w="9584" w:type="dxa"/>
            <w:gridSpan w:val="5"/>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color w:val="000000"/>
                <w:sz w:val="24"/>
                <w:lang w:val="zh-CN"/>
              </w:rPr>
              <w:t>功能应用维护</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9</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textAlignment w:val="bottom"/>
              <w:rPr>
                <w:rFonts w:hint="eastAsia" w:ascii="宋体" w:hAnsi="宋体" w:eastAsia="宋体" w:cs="宋体"/>
                <w:bCs/>
                <w:szCs w:val="21"/>
              </w:rPr>
            </w:pPr>
            <w:r>
              <w:rPr>
                <w:rFonts w:hint="eastAsia" w:ascii="宋体" w:hAnsi="宋体" w:eastAsia="宋体" w:cs="宋体"/>
                <w:bCs/>
                <w:szCs w:val="21"/>
              </w:rPr>
              <w:t>临时数据统计</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bCs/>
                <w:szCs w:val="21"/>
              </w:rPr>
            </w:pPr>
            <w:r>
              <w:rPr>
                <w:rFonts w:hint="eastAsia" w:ascii="宋体" w:hAnsi="宋体" w:eastAsia="宋体" w:cs="宋体"/>
                <w:szCs w:val="21"/>
              </w:rPr>
              <w:t>因</w:t>
            </w:r>
            <w:r>
              <w:rPr>
                <w:rFonts w:hint="eastAsia" w:ascii="宋体" w:hAnsi="宋体" w:cs="宋体"/>
                <w:szCs w:val="21"/>
                <w:lang w:val="en-US" w:eastAsia="zh-CN"/>
              </w:rPr>
              <w:t>遴选</w:t>
            </w:r>
            <w:r>
              <w:rPr>
                <w:rFonts w:hint="eastAsia" w:ascii="宋体" w:hAnsi="宋体" w:eastAsia="宋体" w:cs="宋体"/>
                <w:szCs w:val="21"/>
              </w:rPr>
              <w:t>方工作需要，需要临时提取某些特殊数据的服务；</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2小时内响应</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10</w:t>
            </w:r>
          </w:p>
        </w:tc>
        <w:tc>
          <w:tcPr>
            <w:tcW w:w="1095" w:type="dxa"/>
            <w:tcBorders>
              <w:top w:val="single" w:color="000000" w:sz="12" w:space="0"/>
              <w:left w:val="single" w:color="auto" w:sz="4" w:space="0"/>
              <w:right w:val="single" w:color="auto" w:sz="4" w:space="0"/>
            </w:tcBorders>
            <w:vAlign w:val="center"/>
          </w:tcPr>
          <w:p>
            <w:pPr>
              <w:autoSpaceDE w:val="0"/>
              <w:autoSpaceDN w:val="0"/>
              <w:spacing w:line="360" w:lineRule="auto"/>
              <w:textAlignment w:val="bottom"/>
              <w:rPr>
                <w:rFonts w:hint="eastAsia" w:ascii="宋体" w:hAnsi="宋体" w:eastAsia="宋体" w:cs="宋体"/>
                <w:szCs w:val="21"/>
              </w:rPr>
            </w:pPr>
            <w:r>
              <w:rPr>
                <w:rFonts w:hint="eastAsia" w:ascii="宋体" w:hAnsi="宋体" w:eastAsia="宋体" w:cs="宋体"/>
                <w:szCs w:val="21"/>
              </w:rPr>
              <w:t>日常维护</w:t>
            </w:r>
          </w:p>
        </w:tc>
        <w:tc>
          <w:tcPr>
            <w:tcW w:w="3670"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bCs/>
                <w:szCs w:val="21"/>
              </w:rPr>
            </w:pPr>
            <w:r>
              <w:rPr>
                <w:rFonts w:hint="eastAsia" w:ascii="宋体" w:hAnsi="宋体" w:eastAsia="宋体" w:cs="宋体"/>
                <w:bCs/>
                <w:szCs w:val="21"/>
              </w:rPr>
              <w:t>协助甲方</w:t>
            </w:r>
            <w:r>
              <w:rPr>
                <w:rFonts w:hint="eastAsia" w:ascii="宋体" w:hAnsi="宋体" w:eastAsia="宋体" w:cs="宋体"/>
                <w:color w:val="000000"/>
                <w:szCs w:val="21"/>
                <w:lang w:val="zh-CN"/>
              </w:rPr>
              <w:t>建立日常维护记录，定期与甲方系统管理人员共同检查系统运行情况，并形成系统维护记录制度和系统管理规范</w:t>
            </w:r>
          </w:p>
        </w:tc>
        <w:tc>
          <w:tcPr>
            <w:tcW w:w="1985" w:type="dxa"/>
            <w:tcBorders>
              <w:top w:val="single" w:color="000000" w:sz="12" w:space="0"/>
              <w:left w:val="single" w:color="000000" w:sz="6"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bCs/>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日常</w:t>
            </w:r>
          </w:p>
        </w:tc>
      </w:tr>
      <w:tr>
        <w:tblPrEx>
          <w:tblCellMar>
            <w:top w:w="0" w:type="dxa"/>
            <w:left w:w="28" w:type="dxa"/>
            <w:bottom w:w="0" w:type="dxa"/>
            <w:right w:w="28" w:type="dxa"/>
          </w:tblCellMar>
        </w:tblPrEx>
        <w:trPr>
          <w:trHeight w:val="647" w:hRule="atLeast"/>
          <w:jc w:val="center"/>
        </w:trPr>
        <w:tc>
          <w:tcPr>
            <w:tcW w:w="9584" w:type="dxa"/>
            <w:gridSpan w:val="5"/>
            <w:tcBorders>
              <w:top w:val="single" w:color="000000" w:sz="12" w:space="0"/>
              <w:left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szCs w:val="21"/>
              </w:rPr>
              <w:br w:type="page"/>
            </w:r>
            <w:r>
              <w:rPr>
                <w:rFonts w:hint="eastAsia" w:ascii="宋体" w:hAnsi="宋体" w:eastAsia="宋体" w:cs="宋体"/>
                <w:color w:val="000000"/>
                <w:sz w:val="24"/>
                <w:lang w:val="zh-CN"/>
              </w:rPr>
              <w:t>培训</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bottom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11</w:t>
            </w:r>
          </w:p>
        </w:tc>
        <w:tc>
          <w:tcPr>
            <w:tcW w:w="1095" w:type="dxa"/>
            <w:tcBorders>
              <w:top w:val="single" w:color="000000" w:sz="12" w:space="0"/>
              <w:left w:val="single" w:color="auto" w:sz="4" w:space="0"/>
              <w:bottom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bCs/>
                <w:szCs w:val="21"/>
              </w:rPr>
            </w:pPr>
            <w:r>
              <w:rPr>
                <w:rFonts w:hint="eastAsia" w:ascii="宋体" w:hAnsi="宋体" w:eastAsia="宋体" w:cs="宋体"/>
                <w:bCs/>
                <w:szCs w:val="21"/>
              </w:rPr>
              <w:t>维护培训</w:t>
            </w:r>
          </w:p>
        </w:tc>
        <w:tc>
          <w:tcPr>
            <w:tcW w:w="3670" w:type="dxa"/>
            <w:tcBorders>
              <w:top w:val="single" w:color="000000" w:sz="12" w:space="0"/>
              <w:left w:val="single" w:color="000000" w:sz="6" w:space="0"/>
              <w:bottom w:val="single" w:color="000000" w:sz="12"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对</w:t>
            </w:r>
            <w:r>
              <w:rPr>
                <w:rFonts w:hint="eastAsia" w:ascii="宋体" w:hAnsi="宋体" w:eastAsia="宋体" w:cs="宋体"/>
                <w:szCs w:val="21"/>
                <w:lang w:eastAsia="zh-CN"/>
              </w:rPr>
              <w:t>甲</w:t>
            </w:r>
            <w:r>
              <w:rPr>
                <w:rFonts w:hint="eastAsia" w:ascii="宋体" w:hAnsi="宋体" w:eastAsia="宋体" w:cs="宋体"/>
                <w:szCs w:val="21"/>
              </w:rPr>
              <w:t>方系统管理员进行基本的数据维护培训；</w:t>
            </w:r>
          </w:p>
          <w:p>
            <w:pPr>
              <w:autoSpaceDE w:val="0"/>
              <w:autoSpaceDN w:val="0"/>
              <w:spacing w:line="360" w:lineRule="auto"/>
              <w:jc w:val="left"/>
              <w:textAlignment w:val="bottom"/>
              <w:rPr>
                <w:rFonts w:hint="eastAsia" w:ascii="宋体" w:hAnsi="宋体" w:eastAsia="宋体" w:cs="宋体"/>
                <w:b/>
                <w:bCs/>
                <w:szCs w:val="21"/>
              </w:rPr>
            </w:pPr>
            <w:r>
              <w:rPr>
                <w:rFonts w:hint="eastAsia" w:ascii="宋体" w:hAnsi="宋体" w:eastAsia="宋体" w:cs="宋体"/>
                <w:szCs w:val="21"/>
              </w:rPr>
              <w:t>因甲方人员离职或岗位调动需要进行培训的系统维护人员。</w:t>
            </w:r>
          </w:p>
        </w:tc>
        <w:tc>
          <w:tcPr>
            <w:tcW w:w="1985" w:type="dxa"/>
            <w:tcBorders>
              <w:top w:val="single" w:color="000000" w:sz="12" w:space="0"/>
              <w:left w:val="single" w:color="000000" w:sz="6" w:space="0"/>
              <w:bottom w:val="single" w:color="000000" w:sz="12"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远程培训或现场</w:t>
            </w:r>
          </w:p>
        </w:tc>
        <w:tc>
          <w:tcPr>
            <w:tcW w:w="1830" w:type="dxa"/>
            <w:tcBorders>
              <w:top w:val="single" w:color="000000" w:sz="12" w:space="0"/>
              <w:left w:val="single" w:color="000000" w:sz="6" w:space="0"/>
              <w:bottom w:val="single" w:color="000000" w:sz="12"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b/>
                <w:bCs/>
                <w:szCs w:val="21"/>
              </w:rPr>
            </w:pPr>
            <w:r>
              <w:rPr>
                <w:rFonts w:hint="eastAsia" w:ascii="宋体" w:hAnsi="宋体" w:eastAsia="宋体" w:cs="宋体"/>
                <w:szCs w:val="21"/>
              </w:rPr>
              <w:t>法定工作日预约</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bottom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12</w:t>
            </w:r>
          </w:p>
        </w:tc>
        <w:tc>
          <w:tcPr>
            <w:tcW w:w="1095" w:type="dxa"/>
            <w:tcBorders>
              <w:top w:val="single" w:color="000000" w:sz="12" w:space="0"/>
              <w:left w:val="single" w:color="auto" w:sz="4" w:space="0"/>
              <w:bottom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bCs/>
                <w:szCs w:val="21"/>
              </w:rPr>
            </w:pPr>
            <w:r>
              <w:rPr>
                <w:rFonts w:hint="eastAsia" w:ascii="宋体" w:hAnsi="宋体" w:eastAsia="宋体" w:cs="宋体"/>
                <w:szCs w:val="21"/>
              </w:rPr>
              <w:t>热线服务</w:t>
            </w:r>
          </w:p>
        </w:tc>
        <w:tc>
          <w:tcPr>
            <w:tcW w:w="3670" w:type="dxa"/>
            <w:tcBorders>
              <w:top w:val="single" w:color="000000" w:sz="12" w:space="0"/>
              <w:left w:val="single" w:color="000000" w:sz="6" w:space="0"/>
              <w:bottom w:val="single" w:color="000000" w:sz="12"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提供与软件系统相关的咨询服务</w:t>
            </w:r>
          </w:p>
        </w:tc>
        <w:tc>
          <w:tcPr>
            <w:tcW w:w="1985" w:type="dxa"/>
            <w:tcBorders>
              <w:top w:val="single" w:color="000000" w:sz="12" w:space="0"/>
              <w:left w:val="single" w:color="000000" w:sz="6" w:space="0"/>
              <w:bottom w:val="single" w:color="000000" w:sz="12"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bottom w:val="single" w:color="000000" w:sz="12"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法定工作日</w:t>
            </w:r>
          </w:p>
        </w:tc>
      </w:tr>
      <w:tr>
        <w:tblPrEx>
          <w:tblCellMar>
            <w:top w:w="0" w:type="dxa"/>
            <w:left w:w="28" w:type="dxa"/>
            <w:bottom w:w="0" w:type="dxa"/>
            <w:right w:w="28" w:type="dxa"/>
          </w:tblCellMar>
        </w:tblPrEx>
        <w:trPr>
          <w:trHeight w:val="647" w:hRule="atLeast"/>
          <w:jc w:val="center"/>
        </w:trPr>
        <w:tc>
          <w:tcPr>
            <w:tcW w:w="1004" w:type="dxa"/>
            <w:tcBorders>
              <w:top w:val="single" w:color="000000" w:sz="12" w:space="0"/>
              <w:left w:val="single" w:color="000000" w:sz="12" w:space="0"/>
              <w:bottom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13</w:t>
            </w:r>
          </w:p>
        </w:tc>
        <w:tc>
          <w:tcPr>
            <w:tcW w:w="1095" w:type="dxa"/>
            <w:tcBorders>
              <w:top w:val="single" w:color="000000" w:sz="12" w:space="0"/>
              <w:left w:val="single" w:color="auto" w:sz="4" w:space="0"/>
              <w:bottom w:val="single" w:color="000000" w:sz="12" w:space="0"/>
              <w:right w:val="single" w:color="auto" w:sz="4"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问题解答</w:t>
            </w:r>
          </w:p>
        </w:tc>
        <w:tc>
          <w:tcPr>
            <w:tcW w:w="3670" w:type="dxa"/>
            <w:tcBorders>
              <w:top w:val="single" w:color="000000" w:sz="12" w:space="0"/>
              <w:left w:val="single" w:color="000000" w:sz="6" w:space="0"/>
              <w:bottom w:val="single" w:color="000000" w:sz="12"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color w:val="000000"/>
                <w:szCs w:val="21"/>
                <w:lang w:val="zh-CN"/>
              </w:rPr>
              <w:t>解答管理部门针对系统及数据库疑难问题。</w:t>
            </w:r>
          </w:p>
        </w:tc>
        <w:tc>
          <w:tcPr>
            <w:tcW w:w="1985" w:type="dxa"/>
            <w:tcBorders>
              <w:top w:val="single" w:color="000000" w:sz="12" w:space="0"/>
              <w:left w:val="single" w:color="000000" w:sz="6" w:space="0"/>
              <w:bottom w:val="single" w:color="000000" w:sz="12" w:space="0"/>
              <w:right w:val="single" w:color="000000" w:sz="6" w:space="0"/>
            </w:tcBorders>
            <w:vAlign w:val="center"/>
          </w:tcPr>
          <w:p>
            <w:pPr>
              <w:autoSpaceDE w:val="0"/>
              <w:autoSpaceDN w:val="0"/>
              <w:spacing w:line="360" w:lineRule="auto"/>
              <w:jc w:val="left"/>
              <w:textAlignment w:val="bottom"/>
              <w:rPr>
                <w:rFonts w:hint="eastAsia" w:ascii="宋体" w:hAnsi="宋体" w:eastAsia="宋体" w:cs="宋体"/>
                <w:szCs w:val="21"/>
              </w:rPr>
            </w:pPr>
            <w:r>
              <w:rPr>
                <w:rFonts w:hint="eastAsia" w:ascii="宋体" w:hAnsi="宋体" w:eastAsia="宋体" w:cs="宋体"/>
                <w:szCs w:val="21"/>
              </w:rPr>
              <w:t>微信、电话、邮箱、网络远程、QQ</w:t>
            </w:r>
          </w:p>
        </w:tc>
        <w:tc>
          <w:tcPr>
            <w:tcW w:w="1830" w:type="dxa"/>
            <w:tcBorders>
              <w:top w:val="single" w:color="000000" w:sz="12" w:space="0"/>
              <w:left w:val="single" w:color="000000" w:sz="6" w:space="0"/>
              <w:bottom w:val="single" w:color="000000" w:sz="12" w:space="0"/>
              <w:right w:val="single" w:color="000000" w:sz="6" w:space="0"/>
            </w:tcBorders>
            <w:vAlign w:val="center"/>
          </w:tcPr>
          <w:p>
            <w:pPr>
              <w:autoSpaceDE w:val="0"/>
              <w:autoSpaceDN w:val="0"/>
              <w:spacing w:line="360" w:lineRule="auto"/>
              <w:jc w:val="center"/>
              <w:textAlignment w:val="bottom"/>
              <w:rPr>
                <w:rFonts w:hint="eastAsia" w:ascii="宋体" w:hAnsi="宋体" w:eastAsia="宋体" w:cs="宋体"/>
                <w:szCs w:val="21"/>
              </w:rPr>
            </w:pPr>
            <w:r>
              <w:rPr>
                <w:rFonts w:hint="eastAsia" w:ascii="宋体" w:hAnsi="宋体" w:eastAsia="宋体" w:cs="宋体"/>
                <w:szCs w:val="21"/>
              </w:rPr>
              <w:t>法定工作日</w:t>
            </w:r>
          </w:p>
        </w:tc>
      </w:tr>
    </w:tbl>
    <w:p>
      <w:pPr>
        <w:autoSpaceDE w:val="0"/>
        <w:autoSpaceDN w:val="0"/>
        <w:adjustRightInd w:val="0"/>
        <w:spacing w:line="360" w:lineRule="auto"/>
        <w:ind w:firstLine="440" w:firstLineChars="200"/>
        <w:rPr>
          <w:rFonts w:hint="eastAsia" w:ascii="宋体" w:hAnsi="宋体" w:eastAsia="宋体" w:cs="宋体"/>
          <w:color w:val="000000"/>
          <w:sz w:val="22"/>
          <w:szCs w:val="22"/>
          <w:lang w:val="zh-CN"/>
        </w:rPr>
      </w:pPr>
    </w:p>
    <w:p>
      <w:pPr>
        <w:autoSpaceDE w:val="0"/>
        <w:autoSpaceDN w:val="0"/>
        <w:adjustRightInd w:val="0"/>
        <w:spacing w:line="360" w:lineRule="auto"/>
        <w:jc w:val="left"/>
        <w:rPr>
          <w:rFonts w:hint="eastAsia" w:ascii="宋体" w:hAnsi="宋体" w:eastAsia="宋体" w:cs="宋体"/>
          <w:color w:val="000000"/>
          <w:sz w:val="22"/>
          <w:szCs w:val="22"/>
          <w:lang w:val="zh-CN"/>
        </w:rPr>
      </w:pPr>
      <w:r>
        <w:rPr>
          <w:rFonts w:hint="eastAsia" w:ascii="宋体" w:hAnsi="宋体" w:eastAsia="宋体" w:cs="宋体"/>
          <w:color w:val="000000"/>
          <w:sz w:val="22"/>
          <w:szCs w:val="22"/>
        </w:rPr>
        <w:t>注： 1、</w:t>
      </w:r>
      <w:r>
        <w:rPr>
          <w:rFonts w:hint="eastAsia" w:ascii="宋体" w:hAnsi="宋体" w:eastAsia="宋体" w:cs="宋体"/>
          <w:color w:val="000000"/>
          <w:sz w:val="22"/>
          <w:szCs w:val="22"/>
          <w:lang w:val="zh-CN"/>
        </w:rPr>
        <w:t>不在上述条款内的服务和其他事宜，</w:t>
      </w:r>
      <w:r>
        <w:rPr>
          <w:rFonts w:hint="eastAsia" w:ascii="宋体" w:hAnsi="宋体" w:eastAsia="宋体" w:cs="宋体"/>
          <w:color w:val="000000"/>
          <w:sz w:val="22"/>
          <w:szCs w:val="22"/>
        </w:rPr>
        <w:t>甲乙</w:t>
      </w:r>
      <w:r>
        <w:rPr>
          <w:rFonts w:hint="eastAsia" w:ascii="宋体" w:hAnsi="宋体" w:eastAsia="宋体" w:cs="宋体"/>
          <w:color w:val="000000"/>
          <w:sz w:val="22"/>
          <w:szCs w:val="22"/>
          <w:lang w:val="zh-CN"/>
        </w:rPr>
        <w:t>双方友好协商，另行解决。</w:t>
      </w:r>
    </w:p>
    <w:p>
      <w:pPr>
        <w:autoSpaceDE w:val="0"/>
        <w:autoSpaceDN w:val="0"/>
        <w:adjustRightInd w:val="0"/>
        <w:spacing w:line="360" w:lineRule="auto"/>
        <w:jc w:val="left"/>
        <w:rPr>
          <w:rFonts w:hint="eastAsia" w:ascii="宋体" w:hAnsi="宋体" w:eastAsia="宋体" w:cs="宋体"/>
          <w:color w:val="000000"/>
          <w:sz w:val="22"/>
          <w:szCs w:val="22"/>
          <w:lang w:val="zh-CN"/>
        </w:rPr>
      </w:pPr>
      <w:r>
        <w:rPr>
          <w:rFonts w:hint="eastAsia" w:ascii="宋体" w:hAnsi="宋体" w:eastAsia="宋体" w:cs="宋体"/>
          <w:color w:val="000000"/>
          <w:sz w:val="22"/>
          <w:szCs w:val="22"/>
          <w:lang w:val="zh-CN"/>
        </w:rPr>
        <w:t xml:space="preserve">  </w:t>
      </w:r>
      <w:r>
        <w:rPr>
          <w:rFonts w:hint="eastAsia" w:ascii="宋体" w:hAnsi="宋体" w:eastAsia="宋体" w:cs="宋体"/>
          <w:color w:val="000000"/>
          <w:sz w:val="22"/>
          <w:szCs w:val="22"/>
        </w:rPr>
        <w:t xml:space="preserve">   </w:t>
      </w:r>
      <w:r>
        <w:rPr>
          <w:rFonts w:hint="eastAsia" w:ascii="宋体" w:hAnsi="宋体" w:eastAsia="宋体" w:cs="宋体"/>
          <w:color w:val="000000"/>
          <w:sz w:val="22"/>
          <w:szCs w:val="22"/>
          <w:lang w:val="zh-CN"/>
        </w:rPr>
        <w:t>2、在维护服务期内，针对本系统已上线的所有功能，由乙方为甲方提供护理管理软件维护服务。</w:t>
      </w:r>
    </w:p>
    <w:p>
      <w:pPr>
        <w:pStyle w:val="12"/>
        <w:spacing w:line="360" w:lineRule="auto"/>
        <w:ind w:left="0" w:leftChars="0" w:firstLine="0" w:firstLineChars="0"/>
        <w:rPr>
          <w:rFonts w:hint="eastAsia" w:ascii="宋体" w:hAnsi="宋体" w:eastAsia="宋体" w:cs="宋体"/>
        </w:rPr>
      </w:pPr>
    </w:p>
    <w:p>
      <w:pPr>
        <w:pStyle w:val="3"/>
        <w:keepLines w:val="0"/>
        <w:numPr>
          <w:ilvl w:val="0"/>
          <w:numId w:val="3"/>
        </w:numPr>
        <w:spacing w:before="0" w:after="0" w:line="360" w:lineRule="auto"/>
        <w:rPr>
          <w:rFonts w:hint="eastAsia" w:ascii="宋体" w:hAnsi="宋体" w:eastAsia="宋体" w:cs="宋体"/>
          <w:sz w:val="28"/>
          <w:szCs w:val="28"/>
        </w:rPr>
      </w:pPr>
      <w:r>
        <w:rPr>
          <w:rFonts w:hint="eastAsia" w:ascii="宋体" w:hAnsi="宋体" w:eastAsia="宋体" w:cs="宋体"/>
          <w:sz w:val="28"/>
          <w:szCs w:val="28"/>
        </w:rPr>
        <w:t>乙方联系方式</w:t>
      </w:r>
    </w:p>
    <w:p>
      <w:pPr>
        <w:spacing w:line="360" w:lineRule="auto"/>
        <w:ind w:left="210" w:leftChars="100" w:firstLine="560"/>
        <w:rPr>
          <w:rFonts w:hint="eastAsia" w:ascii="宋体" w:hAnsi="宋体" w:eastAsia="宋体" w:cs="宋体"/>
          <w:color w:val="000000"/>
          <w:sz w:val="22"/>
          <w:szCs w:val="22"/>
          <w:lang w:val="zh-CN"/>
        </w:rPr>
      </w:pPr>
      <w:r>
        <w:rPr>
          <w:rFonts w:hint="eastAsia" w:ascii="宋体" w:hAnsi="宋体" w:eastAsia="宋体" w:cs="宋体"/>
          <w:color w:val="000000"/>
          <w:sz w:val="22"/>
          <w:szCs w:val="22"/>
          <w:lang w:val="zh-CN"/>
        </w:rPr>
        <w:t>服务电话：</w:t>
      </w:r>
      <w:r>
        <w:rPr>
          <w:rFonts w:hint="eastAsia" w:ascii="宋体" w:hAnsi="宋体" w:eastAsia="宋体" w:cs="宋体"/>
          <w:color w:val="000000"/>
          <w:sz w:val="22"/>
          <w:szCs w:val="22"/>
          <w:lang w:val="en-US" w:eastAsia="zh-CN"/>
        </w:rPr>
        <w:t xml:space="preserve">         </w:t>
      </w:r>
      <w:r>
        <w:rPr>
          <w:rFonts w:hint="eastAsia" w:ascii="宋体" w:hAnsi="宋体" w:eastAsia="宋体" w:cs="宋体"/>
          <w:color w:val="000000"/>
          <w:sz w:val="22"/>
          <w:szCs w:val="22"/>
          <w:lang w:val="zh-CN"/>
        </w:rPr>
        <w:t>，7×24小时服务；</w:t>
      </w:r>
    </w:p>
    <w:p>
      <w:pPr>
        <w:spacing w:line="360" w:lineRule="auto"/>
        <w:ind w:left="210" w:leftChars="100" w:firstLine="560"/>
        <w:rPr>
          <w:rFonts w:hint="eastAsia" w:ascii="宋体" w:hAnsi="宋体" w:eastAsia="宋体" w:cs="宋体"/>
          <w:color w:val="000000"/>
          <w:sz w:val="22"/>
          <w:szCs w:val="22"/>
          <w:lang w:val="zh-CN"/>
        </w:rPr>
      </w:pPr>
      <w:r>
        <w:rPr>
          <w:rFonts w:hint="eastAsia" w:ascii="宋体" w:hAnsi="宋体" w:eastAsia="宋体" w:cs="宋体"/>
          <w:color w:val="000000"/>
          <w:sz w:val="22"/>
          <w:szCs w:val="22"/>
          <w:lang w:val="zh-CN"/>
        </w:rPr>
        <w:t>电子邮箱：</w:t>
      </w:r>
    </w:p>
    <w:p>
      <w:pPr>
        <w:spacing w:line="360" w:lineRule="auto"/>
        <w:ind w:left="210" w:leftChars="100" w:firstLine="560"/>
        <w:rPr>
          <w:rFonts w:hint="eastAsia" w:ascii="宋体" w:hAnsi="宋体" w:eastAsia="宋体" w:cs="宋体"/>
          <w:color w:val="000000"/>
          <w:sz w:val="22"/>
          <w:szCs w:val="22"/>
          <w:lang w:val="zh-CN"/>
        </w:rPr>
      </w:pPr>
      <w:r>
        <w:rPr>
          <w:rFonts w:hint="eastAsia" w:ascii="宋体" w:hAnsi="宋体" w:eastAsia="宋体" w:cs="宋体"/>
          <w:color w:val="000000"/>
          <w:sz w:val="22"/>
          <w:szCs w:val="22"/>
          <w:lang w:val="zh-CN"/>
        </w:rPr>
        <w:t>QQ：</w:t>
      </w:r>
    </w:p>
    <w:p>
      <w:pPr>
        <w:pStyle w:val="3"/>
        <w:keepLines w:val="0"/>
        <w:numPr>
          <w:ilvl w:val="0"/>
          <w:numId w:val="3"/>
        </w:numPr>
        <w:spacing w:before="0" w:after="0" w:line="360" w:lineRule="auto"/>
        <w:rPr>
          <w:rFonts w:hint="eastAsia" w:ascii="宋体" w:hAnsi="宋体" w:eastAsia="宋体" w:cs="宋体"/>
          <w:sz w:val="28"/>
          <w:szCs w:val="28"/>
        </w:rPr>
      </w:pPr>
      <w:r>
        <w:rPr>
          <w:rFonts w:hint="eastAsia" w:ascii="宋体" w:hAnsi="宋体" w:eastAsia="宋体" w:cs="宋体"/>
          <w:sz w:val="28"/>
          <w:szCs w:val="28"/>
        </w:rPr>
        <w:t>乙方响应时间</w:t>
      </w:r>
    </w:p>
    <w:p>
      <w:pPr>
        <w:autoSpaceDE w:val="0"/>
        <w:autoSpaceDN w:val="0"/>
        <w:adjustRightInd w:val="0"/>
        <w:spacing w:line="360" w:lineRule="auto"/>
        <w:ind w:left="437" w:leftChars="208" w:firstLine="0" w:firstLineChars="0"/>
        <w:rPr>
          <w:rFonts w:hint="eastAsia" w:ascii="宋体" w:hAnsi="宋体" w:eastAsia="宋体" w:cs="宋体"/>
          <w:color w:val="000000"/>
          <w:sz w:val="22"/>
          <w:szCs w:val="22"/>
          <w:lang w:val="zh-CN"/>
        </w:rPr>
      </w:pPr>
      <w:r>
        <w:rPr>
          <w:rFonts w:hint="eastAsia" w:ascii="宋体" w:hAnsi="宋体" w:eastAsia="宋体" w:cs="宋体"/>
          <w:color w:val="000000"/>
          <w:sz w:val="22"/>
          <w:szCs w:val="22"/>
        </w:rPr>
        <w:t>乙方将跟踪所有的应用系统问题，以确保对其都有适当的解决方案。本合同中的响应时间是指甲方向乙方提出应用系统问题之时起至乙方做出相应反馈之时所经历的时间。</w:t>
      </w:r>
    </w:p>
    <w:p>
      <w:pPr>
        <w:pStyle w:val="21"/>
        <w:numPr>
          <w:ilvl w:val="0"/>
          <w:numId w:val="4"/>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当系统出现灾难性故障，导致甲方全部或部分业务不能正常进行时，乙方承诺在收到甲方有效通知（包括但不限于报修电话或传真）时起</w:t>
      </w:r>
      <w:r>
        <w:rPr>
          <w:rFonts w:hint="eastAsia" w:ascii="宋体" w:hAnsi="宋体" w:eastAsia="宋体" w:cs="宋体"/>
          <w:color w:val="000000"/>
          <w:sz w:val="22"/>
          <w:szCs w:val="22"/>
          <w:u w:val="single"/>
        </w:rPr>
        <w:t xml:space="preserve"> 1 </w:t>
      </w:r>
      <w:r>
        <w:rPr>
          <w:rFonts w:hint="eastAsia" w:ascii="宋体" w:hAnsi="宋体" w:eastAsia="宋体" w:cs="宋体"/>
          <w:color w:val="000000"/>
          <w:sz w:val="22"/>
          <w:szCs w:val="22"/>
        </w:rPr>
        <w:t>小时内通过远程手段给予支持。当远程无法协助解决时，在甲方的要求下乙方派人到达现场协助解决。</w:t>
      </w:r>
    </w:p>
    <w:p>
      <w:pPr>
        <w:pStyle w:val="21"/>
        <w:numPr>
          <w:ilvl w:val="0"/>
          <w:numId w:val="4"/>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当系统发生一般性故障，但甲方的业务尚能正常运转时，乙方承诺在收到甲方有效通知（包括但不限于报修电话或传真）时起</w:t>
      </w:r>
      <w:r>
        <w:rPr>
          <w:rFonts w:hint="eastAsia" w:ascii="宋体" w:hAnsi="宋体" w:eastAsia="宋体" w:cs="宋体"/>
          <w:color w:val="000000"/>
          <w:sz w:val="22"/>
          <w:szCs w:val="22"/>
          <w:lang w:val="zh-CN"/>
        </w:rPr>
        <w:t>2</w:t>
      </w:r>
      <w:r>
        <w:rPr>
          <w:rFonts w:hint="eastAsia" w:ascii="宋体" w:hAnsi="宋体" w:eastAsia="宋体" w:cs="宋体"/>
          <w:color w:val="000000"/>
          <w:sz w:val="22"/>
          <w:szCs w:val="22"/>
        </w:rPr>
        <w:t>小时内做出响应，在响应后2个工作日内提出解决方案，并在双方配合下解决问题。</w:t>
      </w:r>
    </w:p>
    <w:p>
      <w:pPr>
        <w:pStyle w:val="21"/>
        <w:numPr>
          <w:ilvl w:val="0"/>
          <w:numId w:val="4"/>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当甲方提出增加、调整或修改系统需求时，乙方承诺在收到甲方有效通知（包括但不限于报修电话或传真）时起2小时内做出响应，在响应后2个工作日内提出解决方案，并在双方配合下解决问题。</w:t>
      </w:r>
    </w:p>
    <w:p>
      <w:pPr>
        <w:pStyle w:val="3"/>
        <w:keepLines w:val="0"/>
        <w:numPr>
          <w:ilvl w:val="0"/>
          <w:numId w:val="3"/>
        </w:numPr>
        <w:spacing w:before="0" w:after="0" w:line="360" w:lineRule="auto"/>
        <w:rPr>
          <w:rFonts w:hint="eastAsia" w:ascii="宋体" w:hAnsi="宋体" w:eastAsia="宋体" w:cs="宋体"/>
          <w:sz w:val="28"/>
          <w:szCs w:val="28"/>
        </w:rPr>
      </w:pPr>
      <w:r>
        <w:rPr>
          <w:rFonts w:hint="eastAsia" w:ascii="宋体" w:hAnsi="宋体" w:eastAsia="宋体" w:cs="宋体"/>
          <w:sz w:val="22"/>
          <w:szCs w:val="28"/>
        </w:rPr>
        <w:t xml:space="preserve"> </w:t>
      </w:r>
      <w:r>
        <w:rPr>
          <w:rFonts w:hint="eastAsia" w:ascii="宋体" w:hAnsi="宋体" w:eastAsia="宋体" w:cs="宋体"/>
          <w:sz w:val="28"/>
          <w:szCs w:val="28"/>
        </w:rPr>
        <w:t>维护服务期限</w:t>
      </w:r>
    </w:p>
    <w:p>
      <w:pPr>
        <w:widowControl/>
        <w:numPr>
          <w:ilvl w:val="0"/>
          <w:numId w:val="5"/>
        </w:numPr>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服务期：</w:t>
      </w:r>
      <w:r>
        <w:rPr>
          <w:rFonts w:hint="eastAsia" w:ascii="宋体" w:hAnsi="宋体" w:eastAsia="宋体" w:cs="宋体"/>
          <w:kern w:val="0"/>
          <w:sz w:val="24"/>
          <w:u w:val="single"/>
        </w:rPr>
        <w:t>1</w:t>
      </w:r>
      <w:r>
        <w:rPr>
          <w:rFonts w:hint="eastAsia" w:ascii="宋体" w:hAnsi="宋体" w:eastAsia="宋体" w:cs="宋体"/>
          <w:kern w:val="0"/>
          <w:sz w:val="24"/>
        </w:rPr>
        <w:t>年，自</w:t>
      </w:r>
      <w:r>
        <w:rPr>
          <w:rFonts w:hint="eastAsia" w:ascii="宋体" w:hAnsi="宋体" w:eastAsia="宋体" w:cs="宋体"/>
          <w:kern w:val="0"/>
          <w:sz w:val="24"/>
          <w:u w:val="single"/>
        </w:rPr>
        <w:t xml:space="preserve"> 合同签订之日</w:t>
      </w:r>
      <w:r>
        <w:rPr>
          <w:rFonts w:hint="eastAsia" w:ascii="宋体" w:hAnsi="宋体" w:eastAsia="宋体" w:cs="宋体"/>
          <w:kern w:val="0"/>
          <w:sz w:val="24"/>
        </w:rPr>
        <w:t xml:space="preserve"> 起。</w:t>
      </w:r>
    </w:p>
    <w:p>
      <w:pPr>
        <w:pStyle w:val="3"/>
        <w:keepLines w:val="0"/>
        <w:numPr>
          <w:ilvl w:val="0"/>
          <w:numId w:val="3"/>
        </w:numPr>
        <w:spacing w:before="0" w:after="0" w:line="360" w:lineRule="auto"/>
        <w:rPr>
          <w:rFonts w:hint="eastAsia" w:ascii="宋体" w:hAnsi="宋体" w:eastAsia="宋体" w:cs="宋体"/>
          <w:sz w:val="28"/>
          <w:szCs w:val="28"/>
        </w:rPr>
      </w:pPr>
      <w:r>
        <w:rPr>
          <w:rFonts w:hint="eastAsia" w:ascii="宋体" w:hAnsi="宋体" w:eastAsia="宋体" w:cs="宋体"/>
          <w:sz w:val="28"/>
          <w:szCs w:val="28"/>
        </w:rPr>
        <w:t>甲方配合内容</w:t>
      </w:r>
    </w:p>
    <w:p>
      <w:pPr>
        <w:pStyle w:val="21"/>
        <w:numPr>
          <w:ilvl w:val="0"/>
          <w:numId w:val="6"/>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甲方应依照本合同第六条的规定及时付款，否则将承担违约责任。</w:t>
      </w:r>
    </w:p>
    <w:p>
      <w:pPr>
        <w:pStyle w:val="21"/>
        <w:numPr>
          <w:ilvl w:val="0"/>
          <w:numId w:val="6"/>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甲方为乙方技术人员提供现场服务配合，包括但不限于甲方业务科室的联络协调、提供工作场所和计算机设备、加班时甲方有关科室予以配合。</w:t>
      </w:r>
    </w:p>
    <w:p>
      <w:pPr>
        <w:pStyle w:val="21"/>
        <w:numPr>
          <w:ilvl w:val="0"/>
          <w:numId w:val="6"/>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如甲方提出应用程序功能的修改需求，甲方应首先填写《系统需求记录单》。</w:t>
      </w:r>
    </w:p>
    <w:p>
      <w:pPr>
        <w:pStyle w:val="3"/>
        <w:keepLines w:val="0"/>
        <w:numPr>
          <w:ilvl w:val="0"/>
          <w:numId w:val="3"/>
        </w:numPr>
        <w:spacing w:before="0" w:after="0" w:line="360" w:lineRule="auto"/>
        <w:rPr>
          <w:rFonts w:hint="eastAsia" w:ascii="宋体" w:hAnsi="宋体" w:eastAsia="宋体" w:cs="宋体"/>
          <w:sz w:val="28"/>
          <w:szCs w:val="28"/>
        </w:rPr>
      </w:pPr>
      <w:r>
        <w:rPr>
          <w:rFonts w:hint="eastAsia" w:ascii="宋体" w:hAnsi="宋体" w:eastAsia="宋体" w:cs="宋体"/>
          <w:sz w:val="28"/>
          <w:szCs w:val="28"/>
        </w:rPr>
        <w:t>费用和付费方式：</w:t>
      </w:r>
    </w:p>
    <w:p>
      <w:pPr>
        <w:pStyle w:val="21"/>
        <w:numPr>
          <w:ilvl w:val="0"/>
          <w:numId w:val="7"/>
        </w:numPr>
        <w:spacing w:line="360" w:lineRule="auto"/>
        <w:ind w:left="704" w:firstLineChars="0"/>
        <w:rPr>
          <w:rFonts w:hint="eastAsia" w:ascii="宋体" w:hAnsi="宋体" w:eastAsia="宋体" w:cs="宋体"/>
          <w:color w:val="000000"/>
          <w:sz w:val="22"/>
          <w:szCs w:val="22"/>
        </w:rPr>
      </w:pPr>
      <w:r>
        <w:rPr>
          <w:rFonts w:hint="eastAsia" w:ascii="宋体" w:hAnsi="宋体" w:eastAsia="宋体" w:cs="宋体"/>
          <w:sz w:val="20"/>
          <w:szCs w:val="22"/>
        </w:rPr>
        <w:t xml:space="preserve">  </w:t>
      </w:r>
      <w:r>
        <w:rPr>
          <w:rFonts w:hint="eastAsia" w:ascii="宋体" w:hAnsi="宋体" w:eastAsia="宋体" w:cs="宋体"/>
          <w:color w:val="000000"/>
          <w:sz w:val="22"/>
          <w:szCs w:val="22"/>
        </w:rPr>
        <w:t>本合同年度维护服务费人民币</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u w:val="single"/>
          <w:lang w:val="en-US" w:eastAsia="zh-CN"/>
        </w:rPr>
        <w:t xml:space="preserve">     </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元整（￥</w:t>
      </w:r>
      <w:r>
        <w:rPr>
          <w:rFonts w:hint="eastAsia" w:ascii="宋体" w:hAnsi="宋体" w:eastAsia="宋体" w:cs="宋体"/>
          <w:color w:val="000000"/>
          <w:sz w:val="22"/>
          <w:szCs w:val="22"/>
          <w:lang w:val="en-US" w:eastAsia="zh-CN"/>
        </w:rPr>
        <w:t xml:space="preserve">       </w:t>
      </w:r>
      <w:r>
        <w:rPr>
          <w:rFonts w:hint="eastAsia" w:ascii="宋体" w:hAnsi="宋体" w:eastAsia="宋体" w:cs="宋体"/>
          <w:color w:val="000000"/>
          <w:sz w:val="22"/>
          <w:szCs w:val="22"/>
        </w:rPr>
        <w:t>元）；</w:t>
      </w:r>
    </w:p>
    <w:p>
      <w:pPr>
        <w:pStyle w:val="21"/>
        <w:numPr>
          <w:ilvl w:val="0"/>
          <w:numId w:val="7"/>
        </w:numPr>
        <w:spacing w:line="360" w:lineRule="auto"/>
        <w:ind w:left="704"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付款方式：</w:t>
      </w:r>
    </w:p>
    <w:p>
      <w:pPr>
        <w:widowControl/>
        <w:adjustRightInd w:val="0"/>
        <w:spacing w:line="360" w:lineRule="auto"/>
        <w:ind w:left="630" w:leftChars="300" w:firstLine="440" w:firstLineChars="200"/>
        <w:jc w:val="left"/>
        <w:rPr>
          <w:rFonts w:hint="eastAsia" w:ascii="宋体" w:hAnsi="宋体" w:eastAsia="宋体" w:cs="宋体"/>
          <w:kern w:val="0"/>
          <w:sz w:val="22"/>
          <w:szCs w:val="22"/>
          <w:lang w:val="zh-CN"/>
        </w:rPr>
      </w:pPr>
      <w:r>
        <w:rPr>
          <w:rFonts w:hint="eastAsia" w:ascii="宋体" w:hAnsi="宋体" w:eastAsia="宋体" w:cs="宋体"/>
          <w:sz w:val="22"/>
          <w:szCs w:val="22"/>
        </w:rPr>
        <w:t>在服务期半年期到后</w:t>
      </w:r>
      <w:r>
        <w:rPr>
          <w:rFonts w:hint="eastAsia" w:ascii="宋体" w:hAnsi="宋体" w:eastAsia="宋体" w:cs="宋体"/>
          <w:sz w:val="22"/>
          <w:szCs w:val="22"/>
          <w:lang w:val="en-US" w:eastAsia="zh-CN"/>
        </w:rPr>
        <w:t>三</w:t>
      </w:r>
      <w:r>
        <w:rPr>
          <w:rFonts w:hint="eastAsia" w:ascii="宋体" w:hAnsi="宋体" w:eastAsia="宋体" w:cs="宋体"/>
          <w:sz w:val="22"/>
          <w:szCs w:val="22"/>
        </w:rPr>
        <w:t>个月内支付合同总金额的50%，</w:t>
      </w:r>
      <w:r>
        <w:rPr>
          <w:rFonts w:hint="eastAsia" w:ascii="宋体" w:hAnsi="宋体" w:eastAsia="宋体" w:cs="宋体"/>
          <w:kern w:val="0"/>
          <w:sz w:val="22"/>
          <w:szCs w:val="22"/>
          <w:lang w:val="zh-CN"/>
        </w:rPr>
        <w:t>即人民币</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kern w:val="0"/>
          <w:sz w:val="22"/>
          <w:szCs w:val="22"/>
          <w:lang w:val="zh-CN"/>
        </w:rPr>
        <w:t>（大写）元整，小写</w:t>
      </w:r>
      <w:r>
        <w:rPr>
          <w:rFonts w:hint="eastAsia" w:ascii="宋体" w:hAnsi="宋体" w:eastAsia="宋体" w:cs="宋体"/>
          <w:sz w:val="22"/>
          <w:szCs w:val="22"/>
          <w:lang w:val="zh-CN"/>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kern w:val="0"/>
          <w:sz w:val="22"/>
          <w:szCs w:val="22"/>
          <w:lang w:val="zh-CN"/>
        </w:rPr>
        <w:t>元</w:t>
      </w:r>
    </w:p>
    <w:p>
      <w:pPr>
        <w:widowControl/>
        <w:adjustRightInd w:val="0"/>
        <w:spacing w:line="360" w:lineRule="auto"/>
        <w:ind w:left="630" w:leftChars="300" w:firstLine="440" w:firstLineChars="200"/>
        <w:jc w:val="left"/>
        <w:rPr>
          <w:rFonts w:hint="eastAsia" w:ascii="宋体" w:hAnsi="宋体" w:eastAsia="宋体" w:cs="宋体"/>
          <w:kern w:val="0"/>
          <w:sz w:val="22"/>
          <w:szCs w:val="22"/>
          <w:lang w:val="zh-CN"/>
        </w:rPr>
      </w:pPr>
      <w:r>
        <w:rPr>
          <w:rFonts w:hint="eastAsia" w:ascii="宋体" w:hAnsi="宋体" w:eastAsia="宋体" w:cs="宋体"/>
          <w:sz w:val="22"/>
          <w:szCs w:val="22"/>
        </w:rPr>
        <w:t>服务期满后</w:t>
      </w:r>
      <w:r>
        <w:rPr>
          <w:rFonts w:hint="eastAsia" w:ascii="宋体" w:hAnsi="宋体" w:eastAsia="宋体" w:cs="宋体"/>
          <w:sz w:val="22"/>
          <w:szCs w:val="22"/>
          <w:lang w:val="en-US" w:eastAsia="zh-CN"/>
        </w:rPr>
        <w:t>三</w:t>
      </w:r>
      <w:r>
        <w:rPr>
          <w:rFonts w:hint="eastAsia" w:ascii="宋体" w:hAnsi="宋体" w:eastAsia="宋体" w:cs="宋体"/>
          <w:sz w:val="22"/>
          <w:szCs w:val="22"/>
        </w:rPr>
        <w:t xml:space="preserve">个月内支付合同总金额的50% </w:t>
      </w:r>
      <w:r>
        <w:rPr>
          <w:rFonts w:hint="eastAsia" w:ascii="宋体" w:hAnsi="宋体" w:eastAsia="宋体" w:cs="宋体"/>
          <w:kern w:val="0"/>
          <w:sz w:val="22"/>
          <w:szCs w:val="22"/>
        </w:rPr>
        <w:t>，</w:t>
      </w:r>
      <w:r>
        <w:rPr>
          <w:rFonts w:hint="eastAsia" w:ascii="宋体" w:hAnsi="宋体" w:eastAsia="宋体" w:cs="宋体"/>
          <w:kern w:val="0"/>
          <w:sz w:val="22"/>
          <w:szCs w:val="22"/>
          <w:lang w:val="zh-CN"/>
        </w:rPr>
        <w:t>即人民币</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kern w:val="0"/>
          <w:sz w:val="22"/>
          <w:szCs w:val="22"/>
          <w:lang w:val="zh-CN"/>
        </w:rPr>
        <w:t>（大写）元整，小写</w:t>
      </w:r>
      <w:r>
        <w:rPr>
          <w:rFonts w:hint="eastAsia" w:ascii="宋体" w:hAnsi="宋体" w:eastAsia="宋体" w:cs="宋体"/>
          <w:sz w:val="22"/>
          <w:szCs w:val="22"/>
          <w:lang w:val="zh-CN"/>
        </w:rPr>
        <w:t>￥</w:t>
      </w:r>
      <w:r>
        <w:rPr>
          <w:rFonts w:hint="eastAsia" w:ascii="宋体" w:hAnsi="宋体" w:eastAsia="宋体" w:cs="宋体"/>
          <w:sz w:val="22"/>
          <w:szCs w:val="22"/>
          <w:u w:val="single"/>
        </w:rPr>
        <w:t xml:space="preserve">  </w:t>
      </w:r>
      <w:r>
        <w:rPr>
          <w:rFonts w:hint="eastAsia" w:ascii="宋体" w:hAnsi="宋体" w:eastAsia="宋体" w:cs="宋体"/>
          <w:kern w:val="0"/>
          <w:sz w:val="22"/>
          <w:szCs w:val="22"/>
          <w:lang w:val="zh-CN"/>
        </w:rPr>
        <w:t>元。</w:t>
      </w:r>
    </w:p>
    <w:p>
      <w:pPr>
        <w:widowControl/>
        <w:adjustRightInd w:val="0"/>
        <w:spacing w:line="360" w:lineRule="auto"/>
        <w:ind w:firstLine="440" w:firstLineChars="200"/>
        <w:jc w:val="left"/>
        <w:rPr>
          <w:rFonts w:hint="eastAsia" w:ascii="宋体" w:hAnsi="宋体" w:eastAsia="宋体" w:cs="宋体"/>
          <w:color w:val="000000"/>
          <w:kern w:val="0"/>
          <w:sz w:val="22"/>
          <w:szCs w:val="22"/>
          <w:lang w:val="zh-CN"/>
        </w:rPr>
      </w:pPr>
      <w:r>
        <w:rPr>
          <w:rFonts w:hint="eastAsia" w:ascii="宋体" w:hAnsi="宋体" w:eastAsia="宋体" w:cs="宋体"/>
          <w:color w:val="000000"/>
          <w:kern w:val="0"/>
          <w:sz w:val="22"/>
          <w:szCs w:val="22"/>
          <w:lang w:val="zh-CN"/>
        </w:rPr>
        <w:t>乙方账号：</w:t>
      </w:r>
    </w:p>
    <w:p>
      <w:pPr>
        <w:widowControl/>
        <w:adjustRightInd w:val="0"/>
        <w:spacing w:line="360" w:lineRule="auto"/>
        <w:ind w:left="1260" w:leftChars="600" w:firstLine="440" w:firstLineChars="200"/>
        <w:rPr>
          <w:rFonts w:hint="eastAsia" w:ascii="宋体" w:hAnsi="宋体" w:eastAsia="宋体" w:cs="宋体"/>
          <w:color w:val="000000"/>
          <w:kern w:val="0"/>
          <w:sz w:val="22"/>
          <w:szCs w:val="22"/>
          <w:lang w:val="zh-CN"/>
        </w:rPr>
      </w:pPr>
      <w:r>
        <w:rPr>
          <w:rFonts w:hint="eastAsia" w:ascii="宋体" w:hAnsi="宋体" w:eastAsia="宋体" w:cs="宋体"/>
          <w:color w:val="000000"/>
          <w:kern w:val="0"/>
          <w:sz w:val="22"/>
          <w:szCs w:val="22"/>
          <w:lang w:val="zh-CN"/>
        </w:rPr>
        <w:t>单位名称：</w:t>
      </w:r>
    </w:p>
    <w:p>
      <w:pPr>
        <w:widowControl/>
        <w:adjustRightInd w:val="0"/>
        <w:spacing w:line="360" w:lineRule="auto"/>
        <w:ind w:left="1260" w:leftChars="600" w:firstLine="440" w:firstLineChars="200"/>
        <w:rPr>
          <w:rFonts w:hint="eastAsia" w:ascii="宋体" w:hAnsi="宋体" w:eastAsia="宋体" w:cs="宋体"/>
          <w:color w:val="000000"/>
          <w:kern w:val="0"/>
          <w:sz w:val="22"/>
          <w:szCs w:val="22"/>
          <w:lang w:val="zh-CN"/>
        </w:rPr>
      </w:pPr>
      <w:r>
        <w:rPr>
          <w:rFonts w:hint="eastAsia" w:ascii="宋体" w:hAnsi="宋体" w:eastAsia="宋体" w:cs="宋体"/>
          <w:color w:val="000000"/>
          <w:kern w:val="0"/>
          <w:sz w:val="22"/>
          <w:szCs w:val="22"/>
          <w:lang w:val="zh-CN"/>
        </w:rPr>
        <w:t>开户银行：</w:t>
      </w:r>
    </w:p>
    <w:p>
      <w:pPr>
        <w:widowControl/>
        <w:adjustRightInd w:val="0"/>
        <w:spacing w:line="360" w:lineRule="auto"/>
        <w:ind w:left="1260" w:leftChars="600" w:firstLine="440" w:firstLineChars="200"/>
        <w:rPr>
          <w:rFonts w:hint="eastAsia" w:ascii="宋体" w:hAnsi="宋体" w:eastAsia="宋体" w:cs="宋体"/>
          <w:color w:val="000000"/>
          <w:kern w:val="0"/>
          <w:sz w:val="22"/>
          <w:szCs w:val="22"/>
          <w:lang w:val="zh-CN"/>
        </w:rPr>
      </w:pPr>
      <w:r>
        <w:rPr>
          <w:rFonts w:hint="eastAsia" w:ascii="宋体" w:hAnsi="宋体" w:eastAsia="宋体" w:cs="宋体"/>
          <w:color w:val="000000"/>
          <w:kern w:val="0"/>
          <w:sz w:val="22"/>
          <w:szCs w:val="22"/>
          <w:lang w:val="zh-CN"/>
        </w:rPr>
        <w:t>银行账号：</w:t>
      </w:r>
    </w:p>
    <w:p>
      <w:pPr>
        <w:pStyle w:val="3"/>
        <w:keepLines w:val="0"/>
        <w:numPr>
          <w:ilvl w:val="0"/>
          <w:numId w:val="3"/>
        </w:numPr>
        <w:spacing w:before="0" w:after="0" w:line="360" w:lineRule="auto"/>
        <w:rPr>
          <w:rFonts w:hint="eastAsia" w:ascii="宋体" w:hAnsi="宋体" w:eastAsia="宋体" w:cs="宋体"/>
          <w:sz w:val="28"/>
          <w:szCs w:val="28"/>
        </w:rPr>
      </w:pPr>
      <w:r>
        <w:rPr>
          <w:rFonts w:hint="eastAsia" w:ascii="宋体" w:hAnsi="宋体" w:eastAsia="宋体" w:cs="宋体"/>
          <w:sz w:val="28"/>
          <w:szCs w:val="28"/>
        </w:rPr>
        <w:t>违约责任</w:t>
      </w:r>
    </w:p>
    <w:p>
      <w:pPr>
        <w:pStyle w:val="21"/>
        <w:numPr>
          <w:ilvl w:val="0"/>
          <w:numId w:val="8"/>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甲方逾期支付合同价款的，乙方可以迟延履行相应的合同义务，并且每逾期一日，甲方应当按照合同总价款的</w:t>
      </w:r>
      <w:r>
        <w:rPr>
          <w:rFonts w:hint="eastAsia" w:ascii="宋体" w:hAnsi="宋体" w:eastAsia="宋体" w:cs="宋体"/>
          <w:color w:val="000000"/>
          <w:sz w:val="22"/>
          <w:szCs w:val="22"/>
          <w:u w:val="single"/>
        </w:rPr>
        <w:t xml:space="preserve"> 3 </w:t>
      </w:r>
      <w:r>
        <w:rPr>
          <w:rFonts w:hint="eastAsia" w:ascii="宋体" w:hAnsi="宋体" w:eastAsia="宋体" w:cs="宋体"/>
          <w:color w:val="000000"/>
          <w:sz w:val="22"/>
          <w:szCs w:val="22"/>
        </w:rPr>
        <w:t>‰向乙方支付逾期付款违约金。</w:t>
      </w:r>
    </w:p>
    <w:p>
      <w:pPr>
        <w:pStyle w:val="21"/>
        <w:numPr>
          <w:ilvl w:val="0"/>
          <w:numId w:val="8"/>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因乙方原因导致延期提供服务的，每迟延一日，乙方应当按照合同总价款的 </w:t>
      </w:r>
      <w:r>
        <w:rPr>
          <w:rFonts w:hint="eastAsia" w:ascii="宋体" w:hAnsi="宋体" w:eastAsia="宋体" w:cs="宋体"/>
          <w:color w:val="000000"/>
          <w:sz w:val="22"/>
          <w:szCs w:val="22"/>
          <w:u w:val="single"/>
        </w:rPr>
        <w:t xml:space="preserve">3 </w:t>
      </w:r>
      <w:r>
        <w:rPr>
          <w:rFonts w:hint="eastAsia" w:ascii="宋体" w:hAnsi="宋体" w:eastAsia="宋体" w:cs="宋体"/>
          <w:color w:val="000000"/>
          <w:sz w:val="22"/>
          <w:szCs w:val="22"/>
        </w:rPr>
        <w:t>‰向甲方支付违约金，逾期超过10日的，甲方有权解除合同。</w:t>
      </w:r>
    </w:p>
    <w:p>
      <w:pPr>
        <w:pStyle w:val="21"/>
        <w:numPr>
          <w:ilvl w:val="0"/>
          <w:numId w:val="8"/>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乙方未按照合同约定时间响应及时解决问题的，每发生一次，乙方应当按照合同总价款的1%向甲方支付违约金。发生三次及以上的，甲方有权解除合同并要求乙方赔偿损失。</w:t>
      </w:r>
    </w:p>
    <w:p>
      <w:pPr>
        <w:pStyle w:val="21"/>
        <w:numPr>
          <w:ilvl w:val="0"/>
          <w:numId w:val="8"/>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如乙方不能按照合同约定服务条款执行，甲方有权从未支付的服务费中相应扣除，给甲方造成损失的，还应当赔偿损失。</w:t>
      </w:r>
    </w:p>
    <w:p>
      <w:pPr>
        <w:pStyle w:val="3"/>
        <w:keepLines w:val="0"/>
        <w:numPr>
          <w:ilvl w:val="0"/>
          <w:numId w:val="3"/>
        </w:numPr>
        <w:spacing w:before="0" w:after="0" w:line="360" w:lineRule="auto"/>
        <w:rPr>
          <w:rFonts w:hint="eastAsia" w:ascii="宋体" w:hAnsi="宋体" w:eastAsia="宋体" w:cs="宋体"/>
          <w:sz w:val="28"/>
          <w:szCs w:val="28"/>
        </w:rPr>
      </w:pPr>
      <w:r>
        <w:rPr>
          <w:rFonts w:hint="eastAsia" w:ascii="宋体" w:hAnsi="宋体" w:eastAsia="宋体" w:cs="宋体"/>
          <w:sz w:val="28"/>
          <w:szCs w:val="28"/>
        </w:rPr>
        <w:t>其它条款</w:t>
      </w:r>
    </w:p>
    <w:p>
      <w:pPr>
        <w:pStyle w:val="21"/>
        <w:numPr>
          <w:ilvl w:val="0"/>
          <w:numId w:val="9"/>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增加服务范围</w:t>
      </w:r>
    </w:p>
    <w:p>
      <w:pPr>
        <w:pStyle w:val="21"/>
        <w:numPr>
          <w:ilvl w:val="0"/>
          <w:numId w:val="0"/>
        </w:numPr>
        <w:spacing w:line="360" w:lineRule="auto"/>
        <w:ind w:left="796" w:leftChars="379" w:firstLine="0"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如乙方在服务期内根据相关补充协议对甲方系统进行改造并增加功能模块的，所增加模块在免费维护期后，并入当期维护合同的服务范围，维护合同金额由双方协商确定。</w:t>
      </w:r>
    </w:p>
    <w:p>
      <w:pPr>
        <w:pStyle w:val="21"/>
        <w:numPr>
          <w:ilvl w:val="0"/>
          <w:numId w:val="9"/>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不可抗力</w:t>
      </w:r>
    </w:p>
    <w:p>
      <w:pPr>
        <w:pStyle w:val="21"/>
        <w:numPr>
          <w:ilvl w:val="0"/>
          <w:numId w:val="0"/>
        </w:numPr>
        <w:spacing w:line="360" w:lineRule="auto"/>
        <w:ind w:left="796" w:leftChars="379" w:firstLine="0"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本合同中，不可抗力是指不能预见、不能避免并不能克服的客观情况，包括但不限于：战争、火灾、洪水、台风、地震、政策变化或其它人力不可抗拒之事件。在乙方为甲方提供维护服务的过程中出现不可抗力事件，并造成本合同一方不能、不充分或延期履行合同的，该合同方不承担任何责任。但是，遭受不可抗力的合同一方在知道或是应该知道自己无法履行合同的情况下，应该在合理期限内及时通知合同相对方，并且尽可能地采取积极有效措施避免损失的实际发生或扩大。</w:t>
      </w:r>
    </w:p>
    <w:p>
      <w:pPr>
        <w:pStyle w:val="21"/>
        <w:numPr>
          <w:ilvl w:val="0"/>
          <w:numId w:val="9"/>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争议解决</w:t>
      </w:r>
    </w:p>
    <w:p>
      <w:pPr>
        <w:pStyle w:val="21"/>
        <w:numPr>
          <w:ilvl w:val="0"/>
          <w:numId w:val="0"/>
        </w:numPr>
        <w:spacing w:line="360" w:lineRule="auto"/>
        <w:ind w:left="796" w:leftChars="379" w:firstLine="0"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甲乙双方因履行本合同发生争议，应协商解决。协商不成,双方均可向</w:t>
      </w:r>
      <w:r>
        <w:rPr>
          <w:rFonts w:hint="eastAsia" w:ascii="宋体" w:hAnsi="宋体" w:eastAsia="宋体" w:cs="宋体"/>
          <w:color w:val="000000"/>
          <w:sz w:val="22"/>
          <w:szCs w:val="22"/>
          <w:lang w:eastAsia="zh-CN"/>
        </w:rPr>
        <w:t>甲方所在地</w:t>
      </w:r>
      <w:r>
        <w:rPr>
          <w:rFonts w:hint="eastAsia" w:ascii="宋体" w:hAnsi="宋体" w:eastAsia="宋体" w:cs="宋体"/>
          <w:color w:val="000000"/>
          <w:sz w:val="22"/>
          <w:szCs w:val="22"/>
        </w:rPr>
        <w:t>人民法院提起诉讼解决。</w:t>
      </w:r>
    </w:p>
    <w:p>
      <w:pPr>
        <w:pStyle w:val="21"/>
        <w:numPr>
          <w:ilvl w:val="0"/>
          <w:numId w:val="9"/>
        </w:numPr>
        <w:spacing w:line="360" w:lineRule="auto"/>
        <w:ind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其它约定</w:t>
      </w:r>
    </w:p>
    <w:p>
      <w:pPr>
        <w:pStyle w:val="21"/>
        <w:numPr>
          <w:ilvl w:val="0"/>
          <w:numId w:val="0"/>
        </w:numPr>
        <w:spacing w:line="360" w:lineRule="auto"/>
        <w:ind w:left="796" w:leftChars="379" w:firstLine="0" w:firstLineChars="0"/>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每期服务完结后由乙方出具年度服务报告，并书面形式向甲方汇报，甲方根据乙方当期服务情况进行服务满意度确认。</w:t>
      </w:r>
    </w:p>
    <w:p>
      <w:pPr>
        <w:pStyle w:val="21"/>
        <w:numPr>
          <w:ilvl w:val="0"/>
          <w:numId w:val="0"/>
        </w:numPr>
        <w:spacing w:line="360" w:lineRule="auto"/>
        <w:ind w:left="796" w:leftChars="379" w:firstLine="0" w:firstLineChars="0"/>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2）</w:t>
      </w:r>
      <w:r>
        <w:rPr>
          <w:rFonts w:hint="eastAsia" w:ascii="宋体" w:hAnsi="宋体" w:eastAsia="宋体" w:cs="宋体"/>
          <w:color w:val="000000"/>
          <w:sz w:val="22"/>
          <w:szCs w:val="22"/>
        </w:rPr>
        <w:t>本合同之未尽事项，双方可以以补充协议或其它书面形式另行约定，补充协议与本合同具有同等法律效力。</w:t>
      </w:r>
    </w:p>
    <w:p>
      <w:pPr>
        <w:pStyle w:val="21"/>
        <w:numPr>
          <w:ilvl w:val="0"/>
          <w:numId w:val="0"/>
        </w:numPr>
        <w:spacing w:line="360" w:lineRule="auto"/>
        <w:ind w:left="359" w:leftChars="0"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本合同附件是本合同不可分割的组成部分，与本合同具有同等法律效力。</w:t>
      </w:r>
    </w:p>
    <w:p>
      <w:pPr>
        <w:pStyle w:val="21"/>
        <w:numPr>
          <w:ilvl w:val="0"/>
          <w:numId w:val="0"/>
        </w:numPr>
        <w:spacing w:line="360" w:lineRule="auto"/>
        <w:ind w:left="874" w:leftChars="416" w:firstLine="0" w:firstLineChars="0"/>
        <w:rPr>
          <w:rFonts w:hint="eastAsia" w:ascii="宋体" w:hAnsi="宋体" w:eastAsia="宋体" w:cs="宋体"/>
          <w:color w:val="000000"/>
          <w:sz w:val="22"/>
          <w:szCs w:val="22"/>
          <w:lang w:val="zh-CN"/>
        </w:rPr>
      </w:pP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4）</w:t>
      </w:r>
      <w:r>
        <w:rPr>
          <w:rFonts w:hint="eastAsia" w:ascii="宋体" w:hAnsi="宋体" w:eastAsia="宋体" w:cs="宋体"/>
          <w:color w:val="000000"/>
          <w:sz w:val="22"/>
          <w:szCs w:val="22"/>
        </w:rPr>
        <w:t>本合同自双方授权代表签字并加盖公章之日起生效。本合同一式贰份，甲乙双方各执壹份，具有同等法律效力。</w:t>
      </w:r>
      <w:r>
        <w:rPr>
          <w:rFonts w:hint="eastAsia" w:ascii="宋体" w:hAnsi="宋体" w:eastAsia="宋体" w:cs="宋体"/>
          <w:sz w:val="22"/>
          <w:szCs w:val="22"/>
        </w:rPr>
        <w:t xml:space="preserve"> </w:t>
      </w:r>
    </w:p>
    <w:p>
      <w:pPr>
        <w:pStyle w:val="21"/>
        <w:spacing w:line="360" w:lineRule="auto"/>
        <w:ind w:firstLine="0" w:firstLineChars="0"/>
        <w:rPr>
          <w:rFonts w:hint="eastAsia" w:ascii="宋体" w:hAnsi="宋体" w:eastAsia="宋体" w:cs="宋体"/>
          <w:sz w:val="22"/>
          <w:szCs w:val="22"/>
        </w:rPr>
      </w:pPr>
    </w:p>
    <w:p>
      <w:pPr>
        <w:pStyle w:val="21"/>
        <w:spacing w:line="360" w:lineRule="auto"/>
        <w:ind w:firstLine="0" w:firstLineChars="0"/>
        <w:rPr>
          <w:rFonts w:hint="eastAsia" w:ascii="宋体" w:hAnsi="宋体" w:eastAsia="宋体" w:cs="宋体"/>
          <w:sz w:val="22"/>
          <w:szCs w:val="22"/>
          <w:lang w:val="zh-CN"/>
        </w:rPr>
      </w:pPr>
    </w:p>
    <w:tbl>
      <w:tblPr>
        <w:tblStyle w:val="13"/>
        <w:tblpPr w:leftFromText="180" w:rightFromText="180" w:vertAnchor="text" w:horzAnchor="page" w:tblpX="897" w:tblpY="406"/>
        <w:tblOverlap w:val="never"/>
        <w:tblW w:w="10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9"/>
        <w:gridCol w:w="4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tcPr>
          <w:p>
            <w:pPr>
              <w:autoSpaceDE w:val="0"/>
              <w:autoSpaceDN w:val="0"/>
              <w:adjustRightInd w:val="0"/>
              <w:spacing w:line="360" w:lineRule="auto"/>
              <w:rPr>
                <w:rFonts w:hint="eastAsia" w:ascii="宋体" w:hAnsi="宋体" w:eastAsia="宋体" w:cs="宋体"/>
                <w:b/>
                <w:bCs/>
                <w:color w:val="000000"/>
                <w:sz w:val="22"/>
                <w:szCs w:val="22"/>
                <w:lang w:val="zh-CN"/>
              </w:rPr>
            </w:pPr>
            <w:r>
              <w:rPr>
                <w:rFonts w:hint="eastAsia" w:ascii="宋体" w:hAnsi="宋体" w:eastAsia="宋体" w:cs="宋体"/>
                <w:b/>
                <w:bCs/>
                <w:color w:val="000000"/>
                <w:sz w:val="22"/>
                <w:szCs w:val="22"/>
                <w:lang w:val="zh-CN"/>
              </w:rPr>
              <w:t>甲</w:t>
            </w:r>
            <w:r>
              <w:rPr>
                <w:rFonts w:hint="eastAsia" w:ascii="宋体" w:hAnsi="宋体" w:eastAsia="宋体" w:cs="宋体"/>
                <w:b/>
                <w:bCs/>
                <w:color w:val="000000"/>
                <w:sz w:val="22"/>
                <w:szCs w:val="22"/>
              </w:rPr>
              <w:t xml:space="preserve">  方：温州市中医院</w:t>
            </w:r>
            <w:r>
              <w:rPr>
                <w:rFonts w:hint="eastAsia" w:ascii="宋体" w:hAnsi="宋体" w:eastAsia="宋体" w:cs="宋体"/>
                <w:b/>
                <w:bCs/>
                <w:color w:val="000000"/>
                <w:sz w:val="22"/>
                <w:szCs w:val="22"/>
                <w:lang w:val="zh-CN"/>
              </w:rPr>
              <w:t xml:space="preserve">  </w:t>
            </w:r>
          </w:p>
          <w:p>
            <w:pPr>
              <w:autoSpaceDE w:val="0"/>
              <w:autoSpaceDN w:val="0"/>
              <w:adjustRightInd w:val="0"/>
              <w:spacing w:line="360" w:lineRule="auto"/>
              <w:rPr>
                <w:rFonts w:hint="eastAsia" w:ascii="宋体" w:hAnsi="宋体" w:eastAsia="宋体" w:cs="宋体"/>
                <w:b/>
                <w:color w:val="000000"/>
                <w:sz w:val="22"/>
                <w:szCs w:val="22"/>
              </w:rPr>
            </w:pPr>
            <w:r>
              <w:rPr>
                <w:rFonts w:hint="eastAsia" w:ascii="宋体" w:hAnsi="宋体" w:eastAsia="宋体" w:cs="宋体"/>
                <w:b/>
                <w:color w:val="000000"/>
                <w:sz w:val="22"/>
                <w:szCs w:val="22"/>
              </w:rPr>
              <w:t>法定代表人或授权代理人签章:</w:t>
            </w:r>
          </w:p>
          <w:p>
            <w:pPr>
              <w:autoSpaceDE w:val="0"/>
              <w:autoSpaceDN w:val="0"/>
              <w:adjustRightInd w:val="0"/>
              <w:spacing w:line="36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地址：温州市鹿城区六虹桥蛟尾路9号</w:t>
            </w:r>
          </w:p>
          <w:p>
            <w:pPr>
              <w:autoSpaceDE w:val="0"/>
              <w:autoSpaceDN w:val="0"/>
              <w:adjustRightInd w:val="0"/>
              <w:spacing w:line="360" w:lineRule="auto"/>
              <w:rPr>
                <w:rFonts w:hint="eastAsia" w:ascii="宋体" w:hAnsi="宋体" w:eastAsia="宋体" w:cs="宋体"/>
                <w:b/>
                <w:bCs/>
                <w:color w:val="000000"/>
                <w:sz w:val="22"/>
                <w:szCs w:val="22"/>
                <w:lang w:val="zh-CN"/>
              </w:rPr>
            </w:pPr>
            <w:r>
              <w:rPr>
                <w:rFonts w:hint="eastAsia" w:ascii="宋体" w:hAnsi="宋体" w:eastAsia="宋体" w:cs="宋体"/>
                <w:b/>
                <w:bCs/>
                <w:color w:val="000000"/>
                <w:sz w:val="22"/>
                <w:szCs w:val="22"/>
                <w:lang w:val="zh-CN"/>
              </w:rPr>
              <w:t xml:space="preserve">联系人：                              </w:t>
            </w:r>
          </w:p>
          <w:p>
            <w:pPr>
              <w:autoSpaceDE w:val="0"/>
              <w:autoSpaceDN w:val="0"/>
              <w:adjustRightInd w:val="0"/>
              <w:spacing w:line="360" w:lineRule="auto"/>
              <w:rPr>
                <w:rFonts w:hint="eastAsia" w:ascii="宋体" w:hAnsi="宋体" w:eastAsia="宋体" w:cs="宋体"/>
                <w:b/>
                <w:bCs/>
                <w:color w:val="000000"/>
                <w:sz w:val="22"/>
                <w:szCs w:val="22"/>
                <w:lang w:val="zh-CN"/>
              </w:rPr>
            </w:pPr>
            <w:r>
              <w:rPr>
                <w:rFonts w:hint="eastAsia" w:ascii="宋体" w:hAnsi="宋体" w:eastAsia="宋体" w:cs="宋体"/>
                <w:b/>
                <w:bCs/>
                <w:color w:val="000000"/>
                <w:sz w:val="22"/>
                <w:szCs w:val="22"/>
                <w:lang w:val="zh-CN"/>
              </w:rPr>
              <w:t>联系方式：</w:t>
            </w:r>
          </w:p>
          <w:p>
            <w:pPr>
              <w:autoSpaceDE w:val="0"/>
              <w:autoSpaceDN w:val="0"/>
              <w:adjustRightInd w:val="0"/>
              <w:spacing w:line="360" w:lineRule="auto"/>
              <w:rPr>
                <w:rFonts w:hint="eastAsia" w:ascii="宋体" w:hAnsi="宋体" w:eastAsia="宋体" w:cs="宋体"/>
                <w:b/>
                <w:bCs/>
                <w:color w:val="000000"/>
                <w:sz w:val="22"/>
                <w:szCs w:val="22"/>
                <w:lang w:val="zh-CN"/>
              </w:rPr>
            </w:pPr>
            <w:r>
              <w:rPr>
                <w:rFonts w:hint="eastAsia" w:ascii="宋体" w:hAnsi="宋体" w:eastAsia="宋体" w:cs="宋体"/>
                <w:b/>
                <w:bCs/>
                <w:color w:val="000000"/>
                <w:sz w:val="22"/>
                <w:szCs w:val="22"/>
                <w:lang w:val="zh-CN"/>
              </w:rPr>
              <w:t>日</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 w:val="22"/>
                <w:szCs w:val="22"/>
                <w:lang w:val="zh-CN"/>
              </w:rPr>
              <w:t>期</w:t>
            </w:r>
            <w:r>
              <w:rPr>
                <w:rFonts w:hint="eastAsia" w:ascii="宋体" w:hAnsi="宋体" w:eastAsia="宋体" w:cs="宋体"/>
                <w:b/>
                <w:bCs/>
                <w:color w:val="000000"/>
                <w:sz w:val="22"/>
                <w:szCs w:val="22"/>
              </w:rPr>
              <w:t>:     　</w:t>
            </w:r>
            <w:r>
              <w:rPr>
                <w:rFonts w:hint="eastAsia" w:ascii="宋体" w:hAnsi="宋体" w:eastAsia="宋体" w:cs="宋体"/>
                <w:b/>
                <w:bCs/>
                <w:color w:val="000000"/>
                <w:sz w:val="22"/>
                <w:szCs w:val="22"/>
                <w:lang w:val="zh-CN"/>
              </w:rPr>
              <w:t>年</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 w:val="22"/>
                <w:szCs w:val="22"/>
                <w:lang w:val="zh-CN"/>
              </w:rPr>
              <w:t>月</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 w:val="22"/>
                <w:szCs w:val="22"/>
                <w:lang w:val="zh-CN"/>
              </w:rPr>
              <w:t>日</w:t>
            </w:r>
          </w:p>
          <w:p>
            <w:pPr>
              <w:autoSpaceDE w:val="0"/>
              <w:autoSpaceDN w:val="0"/>
              <w:adjustRightInd w:val="0"/>
              <w:spacing w:line="360" w:lineRule="auto"/>
              <w:rPr>
                <w:rFonts w:hint="eastAsia" w:ascii="宋体" w:hAnsi="宋体" w:eastAsia="宋体" w:cs="宋体"/>
                <w:b/>
                <w:bCs/>
                <w:color w:val="000000"/>
                <w:sz w:val="22"/>
                <w:szCs w:val="22"/>
              </w:rPr>
            </w:pPr>
          </w:p>
          <w:p>
            <w:pPr>
              <w:autoSpaceDE w:val="0"/>
              <w:autoSpaceDN w:val="0"/>
              <w:adjustRightInd w:val="0"/>
              <w:spacing w:line="360" w:lineRule="auto"/>
              <w:rPr>
                <w:rFonts w:hint="eastAsia" w:ascii="宋体" w:hAnsi="宋体" w:eastAsia="宋体" w:cs="宋体"/>
                <w:color w:val="000000"/>
                <w:sz w:val="22"/>
                <w:szCs w:val="22"/>
              </w:rPr>
            </w:pPr>
          </w:p>
        </w:tc>
        <w:tc>
          <w:tcPr>
            <w:tcW w:w="4791" w:type="dxa"/>
          </w:tcPr>
          <w:p>
            <w:pPr>
              <w:autoSpaceDE w:val="0"/>
              <w:autoSpaceDN w:val="0"/>
              <w:adjustRightInd w:val="0"/>
              <w:spacing w:line="360" w:lineRule="auto"/>
              <w:ind w:left="540" w:hanging="540"/>
              <w:rPr>
                <w:rFonts w:hint="eastAsia" w:ascii="宋体" w:hAnsi="宋体" w:eastAsia="宋体" w:cs="宋体"/>
                <w:b/>
                <w:bCs/>
                <w:color w:val="000000"/>
                <w:sz w:val="22"/>
                <w:szCs w:val="22"/>
              </w:rPr>
            </w:pPr>
            <w:r>
              <w:rPr>
                <w:rFonts w:hint="eastAsia" w:ascii="宋体" w:hAnsi="宋体" w:eastAsia="宋体" w:cs="宋体"/>
                <w:b/>
                <w:bCs/>
                <w:color w:val="000000"/>
                <w:sz w:val="22"/>
                <w:szCs w:val="22"/>
                <w:lang w:val="zh-CN"/>
              </w:rPr>
              <w:t>乙</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 w:val="22"/>
                <w:szCs w:val="22"/>
                <w:lang w:val="zh-CN"/>
              </w:rPr>
              <w:t>方</w:t>
            </w:r>
            <w:r>
              <w:rPr>
                <w:rFonts w:hint="eastAsia" w:ascii="宋体" w:hAnsi="宋体" w:eastAsia="宋体" w:cs="宋体"/>
                <w:b/>
                <w:bCs/>
                <w:color w:val="000000"/>
                <w:sz w:val="22"/>
                <w:szCs w:val="22"/>
              </w:rPr>
              <w:t>：</w:t>
            </w:r>
          </w:p>
          <w:p>
            <w:pPr>
              <w:autoSpaceDE w:val="0"/>
              <w:autoSpaceDN w:val="0"/>
              <w:adjustRightInd w:val="0"/>
              <w:spacing w:line="360" w:lineRule="auto"/>
              <w:rPr>
                <w:rFonts w:hint="eastAsia" w:ascii="宋体" w:hAnsi="宋体" w:eastAsia="宋体" w:cs="宋体"/>
                <w:b/>
                <w:bCs/>
                <w:color w:val="000000"/>
                <w:sz w:val="22"/>
                <w:szCs w:val="22"/>
                <w:lang w:val="zh-CN"/>
              </w:rPr>
            </w:pPr>
            <w:r>
              <w:rPr>
                <w:rFonts w:hint="eastAsia" w:ascii="宋体" w:hAnsi="宋体" w:eastAsia="宋体" w:cs="宋体"/>
                <w:b/>
                <w:color w:val="000000"/>
                <w:sz w:val="22"/>
                <w:szCs w:val="22"/>
              </w:rPr>
              <w:t xml:space="preserve">法定代表人或授权代理人签章: </w:t>
            </w:r>
            <w:r>
              <w:rPr>
                <w:rFonts w:hint="eastAsia" w:ascii="宋体" w:hAnsi="宋体" w:eastAsia="宋体" w:cs="宋体"/>
                <w:b/>
                <w:bCs/>
                <w:color w:val="000000"/>
                <w:sz w:val="22"/>
                <w:szCs w:val="22"/>
                <w:lang w:val="zh-CN"/>
              </w:rPr>
              <w:t xml:space="preserve"> </w:t>
            </w:r>
          </w:p>
          <w:p>
            <w:pPr>
              <w:autoSpaceDE w:val="0"/>
              <w:autoSpaceDN w:val="0"/>
              <w:adjustRightInd w:val="0"/>
              <w:spacing w:line="360" w:lineRule="auto"/>
              <w:rPr>
                <w:rFonts w:hint="eastAsia" w:ascii="宋体" w:hAnsi="宋体" w:eastAsia="宋体" w:cs="宋体"/>
                <w:b/>
                <w:bCs/>
                <w:color w:val="000000"/>
                <w:sz w:val="22"/>
                <w:szCs w:val="22"/>
                <w:lang w:val="zh-CN"/>
              </w:rPr>
            </w:pPr>
            <w:r>
              <w:rPr>
                <w:rFonts w:hint="eastAsia" w:ascii="宋体" w:hAnsi="宋体" w:eastAsia="宋体" w:cs="宋体"/>
                <w:b/>
                <w:bCs/>
                <w:color w:val="000000"/>
                <w:sz w:val="22"/>
                <w:szCs w:val="22"/>
                <w:lang w:val="zh-CN"/>
              </w:rPr>
              <w:t>地址：</w:t>
            </w:r>
          </w:p>
          <w:p>
            <w:pPr>
              <w:autoSpaceDE w:val="0"/>
              <w:autoSpaceDN w:val="0"/>
              <w:adjustRightInd w:val="0"/>
              <w:spacing w:line="360" w:lineRule="auto"/>
              <w:rPr>
                <w:rFonts w:hint="eastAsia" w:ascii="宋体" w:hAnsi="宋体" w:eastAsia="宋体" w:cs="宋体"/>
                <w:b/>
                <w:bCs/>
                <w:color w:val="000000"/>
                <w:sz w:val="22"/>
                <w:szCs w:val="22"/>
                <w:lang w:val="zh-CN"/>
              </w:rPr>
            </w:pPr>
            <w:r>
              <w:rPr>
                <w:rFonts w:hint="eastAsia" w:ascii="宋体" w:hAnsi="宋体" w:eastAsia="宋体" w:cs="宋体"/>
                <w:b/>
                <w:bCs/>
                <w:color w:val="000000"/>
                <w:sz w:val="22"/>
                <w:szCs w:val="22"/>
                <w:lang w:val="zh-CN"/>
              </w:rPr>
              <w:t>联系人：</w:t>
            </w:r>
          </w:p>
          <w:p>
            <w:pPr>
              <w:autoSpaceDE w:val="0"/>
              <w:autoSpaceDN w:val="0"/>
              <w:adjustRightInd w:val="0"/>
              <w:spacing w:line="360" w:lineRule="auto"/>
              <w:rPr>
                <w:rFonts w:hint="eastAsia" w:ascii="宋体" w:hAnsi="宋体" w:eastAsia="宋体" w:cs="宋体"/>
                <w:b/>
                <w:bCs/>
                <w:color w:val="000000"/>
                <w:sz w:val="22"/>
                <w:szCs w:val="22"/>
                <w:lang w:val="zh-CN"/>
              </w:rPr>
            </w:pPr>
            <w:r>
              <w:rPr>
                <w:rFonts w:hint="eastAsia" w:ascii="宋体" w:hAnsi="宋体" w:eastAsia="宋体" w:cs="宋体"/>
                <w:b/>
                <w:bCs/>
                <w:color w:val="000000"/>
                <w:sz w:val="22"/>
                <w:szCs w:val="22"/>
                <w:lang w:val="zh-CN"/>
              </w:rPr>
              <w:t>联系方式：</w:t>
            </w:r>
          </w:p>
          <w:p>
            <w:pPr>
              <w:autoSpaceDE w:val="0"/>
              <w:autoSpaceDN w:val="0"/>
              <w:adjustRightInd w:val="0"/>
              <w:spacing w:line="360" w:lineRule="auto"/>
              <w:rPr>
                <w:rFonts w:hint="eastAsia" w:ascii="宋体" w:hAnsi="宋体" w:eastAsia="宋体" w:cs="宋体"/>
                <w:b/>
                <w:bCs/>
                <w:color w:val="000000"/>
                <w:sz w:val="22"/>
                <w:szCs w:val="22"/>
                <w:lang w:val="zh-CN"/>
              </w:rPr>
            </w:pPr>
            <w:r>
              <w:rPr>
                <w:rFonts w:hint="eastAsia" w:ascii="宋体" w:hAnsi="宋体" w:eastAsia="宋体" w:cs="宋体"/>
                <w:b/>
                <w:bCs/>
                <w:color w:val="000000"/>
                <w:sz w:val="22"/>
                <w:szCs w:val="22"/>
                <w:lang w:val="zh-CN"/>
              </w:rPr>
              <w:t xml:space="preserve">日 期:    </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 w:val="22"/>
                <w:szCs w:val="22"/>
                <w:lang w:val="zh-CN"/>
              </w:rPr>
              <w:t>　年    　月    　日</w:t>
            </w:r>
          </w:p>
          <w:p>
            <w:pPr>
              <w:autoSpaceDE w:val="0"/>
              <w:autoSpaceDN w:val="0"/>
              <w:adjustRightInd w:val="0"/>
              <w:spacing w:line="360" w:lineRule="auto"/>
              <w:rPr>
                <w:rFonts w:hint="eastAsia" w:ascii="宋体" w:hAnsi="宋体" w:eastAsia="宋体" w:cs="宋体"/>
                <w:b/>
                <w:bCs/>
                <w:color w:val="000000"/>
                <w:sz w:val="22"/>
                <w:szCs w:val="22"/>
                <w:lang w:val="zh-CN"/>
              </w:rPr>
            </w:pPr>
          </w:p>
          <w:p>
            <w:pPr>
              <w:autoSpaceDE w:val="0"/>
              <w:autoSpaceDN w:val="0"/>
              <w:adjustRightInd w:val="0"/>
              <w:spacing w:line="360" w:lineRule="auto"/>
              <w:rPr>
                <w:rFonts w:hint="eastAsia" w:ascii="宋体" w:hAnsi="宋体" w:eastAsia="宋体" w:cs="宋体"/>
                <w:b/>
                <w:bCs/>
                <w:color w:val="000000"/>
                <w:sz w:val="22"/>
                <w:szCs w:val="22"/>
                <w:lang w:val="zh-CN"/>
              </w:rPr>
            </w:pPr>
          </w:p>
        </w:tc>
      </w:tr>
    </w:tbl>
    <w:p>
      <w:pPr>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pStyle w:val="12"/>
        <w:spacing w:line="360" w:lineRule="auto"/>
        <w:rPr>
          <w:rFonts w:hint="eastAsia" w:ascii="宋体" w:hAnsi="宋体" w:eastAsia="宋体" w:cs="宋体"/>
        </w:rPr>
      </w:pPr>
    </w:p>
    <w:p>
      <w:pPr>
        <w:spacing w:line="360" w:lineRule="auto"/>
        <w:rPr>
          <w:rFonts w:hint="eastAsia" w:ascii="宋体" w:hAnsi="宋体" w:eastAsia="宋体" w:cs="宋体"/>
          <w:b/>
          <w:bCs/>
          <w:sz w:val="24"/>
        </w:rPr>
      </w:pPr>
      <w:r>
        <w:rPr>
          <w:rFonts w:hint="eastAsia" w:ascii="宋体" w:hAnsi="宋体" w:eastAsia="宋体" w:cs="宋体"/>
          <w:b/>
          <w:bCs/>
        </w:rPr>
        <w:t>附件一：</w:t>
      </w:r>
      <w:r>
        <w:rPr>
          <w:rFonts w:hint="eastAsia" w:ascii="宋体" w:hAnsi="宋体" w:eastAsia="宋体" w:cs="宋体"/>
          <w:b/>
          <w:bCs/>
          <w:szCs w:val="21"/>
        </w:rPr>
        <w:t>技术服务范围</w:t>
      </w:r>
    </w:p>
    <w:tbl>
      <w:tblPr>
        <w:tblStyle w:val="13"/>
        <w:tblW w:w="9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540"/>
        <w:gridCol w:w="2813"/>
        <w:gridCol w:w="4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编号</w:t>
            </w:r>
          </w:p>
        </w:tc>
        <w:tc>
          <w:tcPr>
            <w:tcW w:w="1540"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功能模块</w:t>
            </w:r>
          </w:p>
        </w:tc>
        <w:tc>
          <w:tcPr>
            <w:tcW w:w="6935"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护理人员动态档案管理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护理人员基本档案---列表展示及高级查询</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可按职工性质分类查询；2.提供工号、姓名、简码的快速查询；3.提供人员高级查询；4.可按科室显示人员；5.可自定义显示列及列显示顺序；6.可自定义每页记录显示数7.整体录入功能（批量的信息改变）8.护士注册的时间提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护理人员基本档案-增加、修改、注销及验证</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1.护理人员建档、基本信息修改及人员注销；2.自定义字段是否显示；3.自定义字段是否可修改；4.身份证等数据合法性验证；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护理人员基本档案---档案导入导出</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1.可自定义excel导入模版（新增更更新）；2.excel数据导入（新增或更新）；3.excel数据导出（可自定义导出列）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护理人员调动---查询分析及导出</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1.按科室、人员信息、时间段查询；2.excel导出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护理人员调动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1.指定到人员、调出科室、调出日期，执行调动；2.撤消调动记录，清除相关数据痕迹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批量照片导入</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可选定的单个或多个科室，根据职工姓名对应的照片名称进行一对一的自动导入建档。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护士男女比例分布分析表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分析全院及各科男女护士比例情况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护士职务分布分析表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分析全院及各科护士职务分布情况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护士职称分布分析表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分析全院及各科护士职称情况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护士学历分布分析表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分析全院及各科护士学历分布情况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护士工作年限分析表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分析全院及各科护士工作年限情况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护士服、鞋码的统计表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汇总数据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护士状态分析表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分析护士人事编制情况，如在职、反聘、合同、临时等（含产假、病假、哺乳假、事假、培训、进修）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护士离职率分析表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分析全院及各科护士离职率.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护士层级分布表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分析全院护士层级分布情况（自定义）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床护比分析表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分析全院及各科床护比；一线护士数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护理排班及请假管理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highlight w:val="yellow"/>
              </w:rPr>
            </w:pPr>
            <w:r>
              <w:rPr>
                <w:rFonts w:hint="eastAsia" w:ascii="宋体" w:hAnsi="宋体" w:eastAsia="宋体" w:cs="宋体"/>
                <w:kern w:val="0"/>
                <w:sz w:val="21"/>
                <w:szCs w:val="21"/>
              </w:rPr>
              <w:t>护理单元设置</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highlight w:val="yellow"/>
              </w:rPr>
            </w:pPr>
            <w:r>
              <w:rPr>
                <w:rFonts w:hint="eastAsia" w:ascii="宋体" w:hAnsi="宋体" w:eastAsia="宋体" w:cs="宋体"/>
                <w:kern w:val="0"/>
                <w:sz w:val="21"/>
                <w:szCs w:val="21"/>
              </w:rPr>
              <w:t>指定护理单元排班班次，由护理部设置医院各病区需要的排班班次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排班班次设置</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1.由护理部设置医院各病区需要的排班班次；2.可直接对应班次到指定排班组；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床位数维护</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1.各病区的核定床位数、固定加床、挂床、实际开放床位数的维护；2.在编人数、核定床护比、固定床护比、实际床护比的统计；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排班权限设置</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由护理部指定各班组负责排班的人，支持一个护士长给多个病区排班；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护理排班</w:t>
            </w:r>
          </w:p>
        </w:tc>
        <w:tc>
          <w:tcPr>
            <w:tcW w:w="4122" w:type="dxa"/>
            <w:tcBorders>
              <w:top w:val="single" w:color="auto" w:sz="4" w:space="0"/>
              <w:left w:val="nil"/>
              <w:bottom w:val="single" w:color="auto" w:sz="4" w:space="0"/>
              <w:right w:val="single" w:color="auto" w:sz="4" w:space="0"/>
            </w:tcBorders>
            <w:noWrap w:val="0"/>
            <w:vAlign w:val="center"/>
          </w:tcPr>
          <w:p>
            <w:pPr>
              <w:spacing w:line="360" w:lineRule="auto"/>
              <w:rPr>
                <w:rFonts w:hint="eastAsia" w:ascii="宋体" w:hAnsi="宋体" w:eastAsia="宋体" w:cs="宋体"/>
                <w:sz w:val="21"/>
                <w:szCs w:val="21"/>
              </w:rPr>
            </w:pPr>
            <w:r>
              <w:rPr>
                <w:rFonts w:hint="eastAsia" w:ascii="宋体" w:hAnsi="宋体" w:eastAsia="宋体" w:cs="宋体"/>
                <w:sz w:val="21"/>
                <w:szCs w:val="21"/>
              </w:rPr>
              <w:t>1.分病区、分人员按周填报护理人员每天排班数据及备注；2.支持一次操作多人、复制粘贴、模板导入、备注等功能；3.病区可自定义人员排序、班次颜色等，允许病区人员调出；4.支持彩色excel导出、彩色打印；5.支持右侧输入文本；查看时段在岗护士数；备注栏：护士的排班要求）；可以统计某位护士的某段时间的班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护理人员一览表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1.按科室、按学历一览显示护理人员；2.结合排班等数据，可显示床护比、当天在岗/请假人员情况；3.帮助管理部门即时分析工作量饱和度，合理调配人员、照片关联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全院排班情况</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可查看所有护理单元的排班情况；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排班分类汇总</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按白班、夜班等汇总同类班次，汇总排班数据；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日常工作与学习</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年度工作计划</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科室填报年度工作计划、护理部查看全院科室的工作计划。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护理科务会</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护理科务会登记上报，记录参加科务会的人员、存在的问题、整体改措施、其它问题讨论的结果。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护理隐患讨论</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护理隐患讨论记录，记录讨论时间、护理隐患内容、原困分析、整改措施、参加人数等信息。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业务学习项目登记</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业务学习事项的记录，记录业务学习科室、学习内容、讲师老师、参加人数、及相关课件。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护理疾病查房</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护理疾病查房记录，记录护理疾病名称、病区、主查老师、参加人数、及相关附件。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年度工作总结</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科室填报年度工作总结，护理部查看全院科室年度工作总结。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制度稽查登记表</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护理管理制度稽查登记表，记录科室人员对护理制度执行的评价结果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临床护理风险防范</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记录科室，培训时间以及培训老师，相关授课内容，自动获取科室人员做授课考核评价。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集体荣誉登记</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集体荣誉登记记录获奖科室，所获得的奖项，获奖的级别，获奖时间，添加相关备注，上传有关获奖附件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质量检查与查房</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质量检查指标维护</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分病区，分类型设置质量检查指标或项目；有三级质控（有追踪检查、有反馈）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护理质量检查（抽查）</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理部组织质量抽查，在此记录检查评分情况。抽查内容包括：普通科室质量检查、急诊科室质量检查、ICU质量检查、供应室质量检查、手术室质量检查、腹透质控检查、新生儿科质量检查、血透室质量检查、分娩室质量检查等；静配中心质量检查（可以用平板检查后，直接导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行政查房</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分护理部行政查房和科护士长行政查房，根据既定的行政查房项目（制度落实、安全目标、护士素质、其他）进行打分，填写扣分原因。(支持满分护理单元快速录入)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质量检查分析</w:t>
            </w:r>
          </w:p>
        </w:tc>
        <w:tc>
          <w:tcPr>
            <w:tcW w:w="4122" w:type="dxa"/>
            <w:tcBorders>
              <w:top w:val="single" w:color="auto" w:sz="4" w:space="0"/>
              <w:left w:val="nil"/>
              <w:bottom w:val="single" w:color="auto" w:sz="4" w:space="0"/>
              <w:right w:val="single" w:color="auto" w:sz="4" w:space="0"/>
            </w:tcBorders>
            <w:noWrap w:val="0"/>
            <w:vAlign w:val="center"/>
          </w:tcPr>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分值汇总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质量问题汇总</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汇总质量自查与抽查、行政查房、护理夜查房过程中发现的问题，方便护理部对单项问题做多病区分析或者对某病区做重点问题分析。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护理教育管理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新护士考试成绩管理</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管理新护士院级和科级的理论考试和操作考试（分中医、西医、科室仪器）的成绩、补考成绩、次数及组织人等情况。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在职护士成绩管理</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管理在职护士院级和科级的理论考试和操作考试的成绩、补考成绩、次数及组织人等情况。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护理不良事件</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不良事件管理（整合模式）</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针对护理隐患（未发生），护理不良事件（已发生）：给药错误、针刺伤、烫伤、药物外渗、非计划性拔管、跌倒、压力性损伤、失禁相关性皮炎、其他等情况进行的上报、管理、整改分析；数据分析汇总、分类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病区事务管理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护士长工作首页</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将护士长所有的管理工作集成在一个管理工作平台上，包括质量检查与查房、日常工作等，对存在的问题及要做的工作进行自动标识提示，可以直接进行PDCA管理。月计划、执行情况（支持拍照上传原始数据）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患教会</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患教记录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应急预案</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演练、考核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中医管理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中医管理</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中医护理方案（科室、护理部均可统计）</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中医操作汇总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满意度调查</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满意度调查</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满意度填报、统计功能、排名、分值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敏感性指标的产生</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敏感性指标的产生</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国家级敏感性指标及专科敏感性指标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实习生管理</w:t>
            </w:r>
          </w:p>
        </w:tc>
        <w:tc>
          <w:tcPr>
            <w:tcW w:w="2813"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实习生管理</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实习生人员的录入、轮转表、小讲课、科室的考核、带教老师的评分、教学查房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restart"/>
            <w:tcBorders>
              <w:top w:val="single" w:color="auto" w:sz="4" w:space="0"/>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护理管理移动App</w:t>
            </w:r>
          </w:p>
        </w:tc>
        <w:tc>
          <w:tcPr>
            <w:tcW w:w="2813" w:type="dxa"/>
            <w:vMerge w:val="restart"/>
            <w:tcBorders>
              <w:top w:val="single" w:color="auto" w:sz="4" w:space="0"/>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b/>
                <w:bCs/>
                <w:kern w:val="0"/>
                <w:sz w:val="21"/>
                <w:szCs w:val="21"/>
              </w:rPr>
              <w:t>护理质量控制移动端</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登录、基础框架及维护功能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病人满意度调查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护理质量抽查（护理部）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护理质量核查（科片）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护理质量自查（病区）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夜查房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restart"/>
            <w:tcBorders>
              <w:top w:val="single" w:color="auto" w:sz="4" w:space="0"/>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b/>
                <w:bCs/>
                <w:kern w:val="0"/>
                <w:sz w:val="21"/>
                <w:szCs w:val="21"/>
              </w:rPr>
              <w:t>排班查看</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个人排班查看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科室排班查看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sz w:val="21"/>
                <w:szCs w:val="21"/>
              </w:rPr>
              <w:t>排班支持第三方平台互通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restart"/>
            <w:tcBorders>
              <w:top w:val="single" w:color="auto" w:sz="4" w:space="0"/>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b/>
                <w:bCs/>
                <w:kern w:val="0"/>
                <w:sz w:val="21"/>
                <w:szCs w:val="21"/>
              </w:rPr>
              <w:t>基础框架</w:t>
            </w: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登录设置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我的条码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pPr>
              <w:pStyle w:val="21"/>
              <w:widowControl/>
              <w:numPr>
                <w:ilvl w:val="0"/>
                <w:numId w:val="1"/>
              </w:numPr>
              <w:spacing w:line="360" w:lineRule="auto"/>
              <w:ind w:firstLineChars="0"/>
              <w:jc w:val="center"/>
              <w:rPr>
                <w:rFonts w:hint="eastAsia" w:ascii="宋体" w:hAnsi="宋体" w:eastAsia="宋体" w:cs="宋体"/>
                <w:kern w:val="0"/>
                <w:sz w:val="21"/>
                <w:szCs w:val="21"/>
              </w:rPr>
            </w:pPr>
          </w:p>
        </w:tc>
        <w:tc>
          <w:tcPr>
            <w:tcW w:w="1540" w:type="dxa"/>
            <w:vMerge w:val="continue"/>
            <w:tcBorders>
              <w:left w:val="nil"/>
              <w:bottom w:val="single" w:color="auto" w:sz="4" w:space="0"/>
              <w:right w:val="single" w:color="auto" w:sz="4" w:space="0"/>
            </w:tcBorders>
            <w:noWrap w:val="0"/>
            <w:vAlign w:val="center"/>
          </w:tcPr>
          <w:p>
            <w:pPr>
              <w:widowControl/>
              <w:spacing w:line="360" w:lineRule="auto"/>
              <w:jc w:val="center"/>
              <w:rPr>
                <w:rFonts w:hint="eastAsia" w:ascii="宋体" w:hAnsi="宋体" w:eastAsia="宋体" w:cs="宋体"/>
                <w:b/>
                <w:bCs/>
                <w:kern w:val="0"/>
                <w:sz w:val="21"/>
                <w:szCs w:val="21"/>
              </w:rPr>
            </w:pPr>
          </w:p>
        </w:tc>
        <w:tc>
          <w:tcPr>
            <w:tcW w:w="2813" w:type="dxa"/>
            <w:vMerge w:val="continue"/>
            <w:tcBorders>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p>
        </w:tc>
        <w:tc>
          <w:tcPr>
            <w:tcW w:w="4122" w:type="dxa"/>
            <w:tcBorders>
              <w:top w:val="single" w:color="auto" w:sz="4" w:space="0"/>
              <w:left w:val="nil"/>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院内升级</w:t>
            </w:r>
          </w:p>
        </w:tc>
      </w:tr>
    </w:tbl>
    <w:p>
      <w:pPr>
        <w:pStyle w:val="12"/>
        <w:spacing w:line="360" w:lineRule="auto"/>
        <w:rPr>
          <w:rFonts w:hint="eastAsia" w:ascii="宋体" w:hAnsi="宋体" w:eastAsia="宋体" w:cs="宋体"/>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adjustRightInd w:val="0"/>
        <w:snapToGrid w:val="0"/>
        <w:spacing w:line="360" w:lineRule="auto"/>
        <w:jc w:val="left"/>
        <w:rPr>
          <w:rFonts w:hint="eastAsia" w:ascii="宋体" w:hAnsi="宋体" w:eastAsia="宋体" w:cs="宋体"/>
          <w:color w:val="000000"/>
          <w:szCs w:val="21"/>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r>
        <w:rPr>
          <w:b/>
          <w:sz w:val="28"/>
          <w:szCs w:val="28"/>
        </w:rPr>
        <w:t>廉洁购销合同</w:t>
      </w:r>
    </w:p>
    <w:p>
      <w:pPr>
        <w:keepNext w:val="0"/>
        <w:keepLines w:val="0"/>
        <w:pageBreakBefore w:val="0"/>
        <w:widowControl w:val="0"/>
        <w:kinsoku/>
        <w:wordWrap/>
        <w:overflowPunct/>
        <w:topLinePunct w:val="0"/>
        <w:autoSpaceDE/>
        <w:autoSpaceDN/>
        <w:bidi w:val="0"/>
        <w:adjustRightInd/>
        <w:snapToGrid/>
        <w:spacing w:line="440" w:lineRule="exact"/>
        <w:textAlignment w:val="auto"/>
        <w:rPr>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Cs/>
          <w:sz w:val="20"/>
          <w:szCs w:val="20"/>
          <w:lang w:eastAsia="zh-CN"/>
        </w:rPr>
      </w:pPr>
      <w:r>
        <w:rPr>
          <w:sz w:val="20"/>
          <w:szCs w:val="20"/>
        </w:rPr>
        <w:t>甲方</w:t>
      </w:r>
      <w:r>
        <w:rPr>
          <w:bCs/>
          <w:sz w:val="20"/>
          <w:szCs w:val="20"/>
        </w:rPr>
        <w:t>：</w:t>
      </w:r>
      <w:r>
        <w:rPr>
          <w:rFonts w:hint="eastAsia"/>
          <w:bCs/>
          <w:sz w:val="20"/>
          <w:szCs w:val="20"/>
          <w:lang w:eastAsia="zh-CN"/>
        </w:rPr>
        <w:t>温州市中医院</w:t>
      </w:r>
    </w:p>
    <w:p>
      <w:pPr>
        <w:spacing w:line="360" w:lineRule="auto"/>
        <w:rPr>
          <w:rFonts w:hint="eastAsia" w:ascii="宋体" w:hAnsi="宋体" w:eastAsia="宋体" w:cs="宋体"/>
          <w:b w:val="0"/>
          <w:bCs/>
          <w:sz w:val="20"/>
          <w:szCs w:val="20"/>
          <w:u w:val="none"/>
          <w:lang w:val="en-US" w:eastAsia="zh-CN"/>
        </w:rPr>
      </w:pPr>
      <w:r>
        <w:rPr>
          <w:sz w:val="20"/>
          <w:szCs w:val="20"/>
        </w:rPr>
        <w:t>乙方</w:t>
      </w:r>
      <w:r>
        <w:rPr>
          <w:b w:val="0"/>
          <w:bCs/>
          <w:sz w:val="20"/>
          <w:szCs w:val="20"/>
        </w:rPr>
        <w:t>：</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bCs/>
          <w:sz w:val="20"/>
          <w:szCs w:val="20"/>
        </w:rPr>
        <w:t>为进一步加强医疗卫生行风建设，规范医疗卫生机构</w:t>
      </w:r>
      <w:r>
        <w:rPr>
          <w:rFonts w:hint="eastAsia"/>
          <w:bCs/>
          <w:sz w:val="20"/>
          <w:szCs w:val="20"/>
          <w:lang w:eastAsia="zh-CN"/>
        </w:rPr>
        <w:t>各类</w:t>
      </w:r>
      <w:r>
        <w:rPr>
          <w:bCs/>
          <w:sz w:val="20"/>
          <w:szCs w:val="20"/>
        </w:rPr>
        <w:t>购销行为，有效防范商业贿赂行为，营造公平交易、诚实守信的</w:t>
      </w:r>
      <w:r>
        <w:rPr>
          <w:rFonts w:hint="eastAsia"/>
          <w:bCs/>
          <w:sz w:val="20"/>
          <w:szCs w:val="20"/>
          <w:lang w:eastAsia="zh-CN"/>
        </w:rPr>
        <w:t>“清廉医院”</w:t>
      </w:r>
      <w:r>
        <w:rPr>
          <w:bCs/>
          <w:sz w:val="20"/>
          <w:szCs w:val="20"/>
        </w:rPr>
        <w:t>购销环境，经甲、乙双方协商，同意签订本合同，并共同遵守：</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bCs/>
          <w:sz w:val="20"/>
          <w:szCs w:val="20"/>
        </w:rPr>
        <w:t>一、甲乙双方按照《</w:t>
      </w:r>
      <w:r>
        <w:rPr>
          <w:rFonts w:hint="eastAsia"/>
          <w:bCs/>
          <w:sz w:val="20"/>
          <w:szCs w:val="20"/>
          <w:lang w:eastAsia="zh-CN"/>
        </w:rPr>
        <w:t>民法典</w:t>
      </w:r>
      <w:r>
        <w:rPr>
          <w:bCs/>
          <w:sz w:val="20"/>
          <w:szCs w:val="20"/>
        </w:rPr>
        <w:t>》</w:t>
      </w:r>
      <w:r>
        <w:rPr>
          <w:rFonts w:hint="eastAsia"/>
          <w:bCs/>
          <w:sz w:val="20"/>
          <w:szCs w:val="20"/>
          <w:lang w:eastAsia="zh-CN"/>
        </w:rPr>
        <w:t>等相关法规要求，约定</w:t>
      </w:r>
      <w:r>
        <w:rPr>
          <w:bCs/>
          <w:sz w:val="20"/>
          <w:szCs w:val="20"/>
        </w:rPr>
        <w:t>购销</w:t>
      </w:r>
      <w:r>
        <w:rPr>
          <w:rFonts w:hint="eastAsia"/>
          <w:bCs/>
          <w:sz w:val="20"/>
          <w:szCs w:val="20"/>
          <w:lang w:eastAsia="zh-CN"/>
        </w:rPr>
        <w:t>包括但不限于</w:t>
      </w:r>
      <w:r>
        <w:rPr>
          <w:bCs/>
          <w:sz w:val="20"/>
          <w:szCs w:val="20"/>
        </w:rPr>
        <w:t>药品、设备、耗材</w:t>
      </w:r>
      <w:r>
        <w:rPr>
          <w:rFonts w:hint="eastAsia"/>
          <w:bCs/>
          <w:sz w:val="20"/>
          <w:szCs w:val="20"/>
          <w:lang w:eastAsia="zh-CN"/>
        </w:rPr>
        <w:t>、维保</w:t>
      </w:r>
      <w:r>
        <w:rPr>
          <w:bCs/>
          <w:sz w:val="20"/>
          <w:szCs w:val="20"/>
        </w:rPr>
        <w:t>等</w:t>
      </w:r>
      <w:r>
        <w:rPr>
          <w:rFonts w:hint="eastAsia"/>
          <w:bCs/>
          <w:sz w:val="20"/>
          <w:szCs w:val="20"/>
          <w:lang w:eastAsia="zh-CN"/>
        </w:rPr>
        <w:t>货物或服务</w:t>
      </w:r>
      <w:r>
        <w:rPr>
          <w:bCs/>
          <w:sz w:val="20"/>
          <w:szCs w:val="20"/>
        </w:rPr>
        <w:t>。</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bCs/>
          <w:sz w:val="20"/>
          <w:szCs w:val="20"/>
        </w:rPr>
        <w:t>二、甲方应当严格执行合同验收、入库制度，对采购产品及发票进行查验，不得违反有关规定合同外采购、违价采购或从非规定渠道采购。</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bCs/>
          <w:sz w:val="20"/>
          <w:szCs w:val="20"/>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动接受乙方给予的钱物，应予退还，无法退还的，有责任如实向有关纪检监察部门反映情况。</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bCs/>
          <w:sz w:val="20"/>
          <w:szCs w:val="20"/>
        </w:rPr>
        <w:t>四、严禁甲方工作人员利用任何途径和方式，为乙方统计医师个人及临床科室有关医药产品用量信息，或为乙方统计提供便利。</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eastAsia="宋体"/>
          <w:bCs/>
          <w:color w:val="auto"/>
          <w:sz w:val="20"/>
          <w:szCs w:val="20"/>
          <w:lang w:eastAsia="zh-CN"/>
        </w:rPr>
      </w:pPr>
      <w:r>
        <w:rPr>
          <w:bCs/>
          <w:sz w:val="20"/>
          <w:szCs w:val="20"/>
        </w:rPr>
        <w:t>五、乙方不得以回扣、宴请等方式影响甲方工作人员采购</w:t>
      </w:r>
      <w:r>
        <w:rPr>
          <w:rFonts w:hint="eastAsia"/>
          <w:bCs/>
          <w:sz w:val="20"/>
          <w:szCs w:val="20"/>
          <w:lang w:eastAsia="zh-CN"/>
        </w:rPr>
        <w:t>或使用</w:t>
      </w:r>
      <w:r>
        <w:rPr>
          <w:bCs/>
          <w:sz w:val="20"/>
          <w:szCs w:val="20"/>
        </w:rPr>
        <w:t>产品的选择权，不得在学术活动中提供旅游、超标准支付食宿费用</w:t>
      </w:r>
      <w:r>
        <w:rPr>
          <w:rFonts w:hint="eastAsia"/>
          <w:bCs/>
          <w:sz w:val="20"/>
          <w:szCs w:val="20"/>
          <w:lang w:eastAsia="zh-CN"/>
        </w:rPr>
        <w:t>，</w:t>
      </w:r>
      <w:r>
        <w:rPr>
          <w:rFonts w:hint="eastAsia"/>
          <w:bCs/>
          <w:color w:val="auto"/>
          <w:sz w:val="20"/>
          <w:szCs w:val="20"/>
        </w:rPr>
        <w:t xml:space="preserve">不得以任何形式向甲方工作人员赠送礼品、礼金或其他利益诱惑，违者将视同乙方违约。 </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eastAsia="宋体"/>
          <w:bCs/>
          <w:sz w:val="20"/>
          <w:szCs w:val="20"/>
          <w:lang w:eastAsia="zh-CN"/>
        </w:rPr>
      </w:pPr>
      <w:r>
        <w:rPr>
          <w:bCs/>
          <w:color w:val="auto"/>
          <w:sz w:val="20"/>
          <w:szCs w:val="20"/>
        </w:rPr>
        <w:t>六、乙方指定</w:t>
      </w:r>
      <w:r>
        <w:rPr>
          <w:rFonts w:hint="eastAsia"/>
          <w:bCs/>
          <w:color w:val="auto"/>
          <w:sz w:val="20"/>
          <w:szCs w:val="20"/>
          <w:lang w:val="en-US" w:eastAsia="zh-CN"/>
        </w:rPr>
        <w:t xml:space="preserve">    </w:t>
      </w:r>
      <w:r>
        <w:rPr>
          <w:rFonts w:hint="eastAsia"/>
          <w:bCs/>
          <w:color w:val="auto"/>
          <w:sz w:val="20"/>
          <w:szCs w:val="20"/>
          <w:u w:val="single"/>
          <w:lang w:val="en-US" w:eastAsia="zh-CN"/>
        </w:rPr>
        <w:t xml:space="preserve">  </w:t>
      </w:r>
      <w:r>
        <w:rPr>
          <w:bCs/>
          <w:color w:val="auto"/>
          <w:sz w:val="20"/>
          <w:szCs w:val="20"/>
        </w:rPr>
        <w:t>作为销售代表洽谈业务。</w:t>
      </w:r>
      <w:r>
        <w:rPr>
          <w:rFonts w:hint="eastAsia"/>
          <w:bCs/>
          <w:color w:val="auto"/>
          <w:sz w:val="20"/>
          <w:szCs w:val="20"/>
          <w:lang w:val="en-US" w:eastAsia="zh-CN"/>
        </w:rPr>
        <w:t>其</w:t>
      </w:r>
      <w:r>
        <w:rPr>
          <w:rFonts w:hint="eastAsia"/>
          <w:bCs/>
          <w:color w:val="auto"/>
          <w:sz w:val="20"/>
          <w:szCs w:val="20"/>
        </w:rPr>
        <w:t>必须持有合法身份证明及授权文件，并在甲方备案。</w:t>
      </w:r>
      <w:r>
        <w:rPr>
          <w:bCs/>
          <w:color w:val="auto"/>
          <w:sz w:val="20"/>
          <w:szCs w:val="20"/>
        </w:rPr>
        <w:t>销售代表必须在工作时间到甲方指定地点联系商谈，不得到住院部、门诊部、医技科室等推</w:t>
      </w:r>
      <w:r>
        <w:rPr>
          <w:bCs/>
          <w:sz w:val="20"/>
          <w:szCs w:val="20"/>
        </w:rPr>
        <w:t>销产品，不得借故到甲方相关领导、部门负责人及相关工作人员家中访谈并提供任何好处费</w:t>
      </w:r>
      <w:r>
        <w:rPr>
          <w:rFonts w:hint="eastAsia"/>
          <w:bCs/>
          <w:sz w:val="20"/>
          <w:szCs w:val="2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color w:val="auto"/>
          <w:sz w:val="20"/>
          <w:szCs w:val="20"/>
        </w:rPr>
      </w:pPr>
      <w:r>
        <w:rPr>
          <w:rFonts w:hint="eastAsia"/>
          <w:bCs/>
          <w:sz w:val="20"/>
          <w:szCs w:val="20"/>
          <w:lang w:val="en-US" w:eastAsia="zh-CN"/>
        </w:rPr>
        <w:t>七、乙方指定的</w:t>
      </w:r>
      <w:r>
        <w:rPr>
          <w:rFonts w:hint="eastAsia"/>
          <w:bCs/>
          <w:sz w:val="20"/>
          <w:szCs w:val="20"/>
        </w:rPr>
        <w:t>销售代表</w:t>
      </w:r>
      <w:r>
        <w:rPr>
          <w:bCs/>
          <w:color w:val="auto"/>
          <w:sz w:val="20"/>
          <w:szCs w:val="20"/>
        </w:rPr>
        <w:t>如违反本合同，一经发现，甲方有权终止购销合同，并向有关卫生计生行政部门报告。如乙方被列入商业贿赂不良记录，则严格按照《国家卫生计生委关于建立医药购销领域商业贿赂不良记录的规定》</w:t>
      </w:r>
      <w:r>
        <w:rPr>
          <w:bCs/>
          <w:color w:val="auto"/>
          <w:sz w:val="20"/>
          <w:szCs w:val="20"/>
          <w:shd w:val="clear" w:color="auto" w:fill="FFFFFF"/>
        </w:rPr>
        <w:t>（国卫法制发〔2013〕50号）</w:t>
      </w:r>
      <w:r>
        <w:rPr>
          <w:rFonts w:hint="eastAsia"/>
          <w:bCs/>
          <w:color w:val="auto"/>
          <w:sz w:val="20"/>
          <w:szCs w:val="20"/>
          <w:shd w:val="clear" w:color="auto" w:fill="FFFFFF"/>
          <w:lang w:eastAsia="zh-CN"/>
        </w:rPr>
        <w:t>及《关于印发医疗机构工作人员廉洁从业九项准则的通知》（国卫医发〔2021〕37号）</w:t>
      </w:r>
      <w:r>
        <w:rPr>
          <w:bCs/>
          <w:color w:val="auto"/>
          <w:sz w:val="20"/>
          <w:szCs w:val="20"/>
        </w:rPr>
        <w:t>相关规定处理。</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rFonts w:hint="eastAsia"/>
          <w:bCs/>
          <w:sz w:val="20"/>
          <w:szCs w:val="20"/>
          <w:lang w:val="en-US" w:eastAsia="zh-CN"/>
        </w:rPr>
        <w:t>八</w:t>
      </w:r>
      <w:r>
        <w:rPr>
          <w:bCs/>
          <w:sz w:val="20"/>
          <w:szCs w:val="20"/>
        </w:rPr>
        <w:t>、本合同作为购销合同的重要组成部分，与购销合同一并执行，具有同等的法律效力。</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rFonts w:hint="eastAsia"/>
          <w:bCs/>
          <w:sz w:val="20"/>
          <w:szCs w:val="20"/>
          <w:lang w:val="en-US" w:eastAsia="zh-CN"/>
        </w:rPr>
        <w:t>九</w:t>
      </w:r>
      <w:r>
        <w:rPr>
          <w:bCs/>
          <w:sz w:val="20"/>
          <w:szCs w:val="20"/>
        </w:rPr>
        <w:t>、本合同一式</w:t>
      </w:r>
      <w:r>
        <w:rPr>
          <w:rFonts w:hint="eastAsia"/>
          <w:bCs/>
          <w:sz w:val="20"/>
          <w:szCs w:val="20"/>
          <w:lang w:val="en-US" w:eastAsia="zh-CN"/>
        </w:rPr>
        <w:t>二</w:t>
      </w:r>
      <w:r>
        <w:rPr>
          <w:bCs/>
          <w:sz w:val="20"/>
          <w:szCs w:val="20"/>
        </w:rPr>
        <w:t>份，甲、乙双方各执一份，并从签订之日起生效。</w:t>
      </w:r>
    </w:p>
    <w:p>
      <w:pPr>
        <w:keepNext w:val="0"/>
        <w:keepLines w:val="0"/>
        <w:pageBreakBefore w:val="0"/>
        <w:widowControl w:val="0"/>
        <w:kinsoku/>
        <w:wordWrap/>
        <w:overflowPunct/>
        <w:topLinePunct w:val="0"/>
        <w:autoSpaceDE/>
        <w:autoSpaceDN/>
        <w:bidi w:val="0"/>
        <w:adjustRightInd/>
        <w:snapToGrid/>
        <w:spacing w:line="360" w:lineRule="auto"/>
        <w:textAlignment w:val="auto"/>
        <w:rPr>
          <w:bCs/>
          <w:sz w:val="20"/>
          <w:szCs w:val="20"/>
        </w:rPr>
      </w:pPr>
      <w:r>
        <w:rPr>
          <w:bCs/>
          <w:sz w:val="20"/>
          <w:szCs w:val="20"/>
        </w:rPr>
        <w:t xml:space="preserve">甲方（盖章）：                     </w:t>
      </w:r>
      <w:r>
        <w:rPr>
          <w:rFonts w:hint="eastAsia"/>
          <w:bCs/>
          <w:sz w:val="20"/>
          <w:szCs w:val="20"/>
          <w:lang w:val="en-US" w:eastAsia="zh-CN"/>
        </w:rPr>
        <w:t xml:space="preserve">       </w:t>
      </w:r>
      <w:r>
        <w:rPr>
          <w:bCs/>
          <w:sz w:val="20"/>
          <w:szCs w:val="20"/>
        </w:rPr>
        <w:t>乙方（盖章）：</w:t>
      </w:r>
    </w:p>
    <w:p>
      <w:pPr>
        <w:keepNext w:val="0"/>
        <w:keepLines w:val="0"/>
        <w:pageBreakBefore w:val="0"/>
        <w:widowControl w:val="0"/>
        <w:kinsoku/>
        <w:wordWrap/>
        <w:overflowPunct/>
        <w:topLinePunct w:val="0"/>
        <w:autoSpaceDE/>
        <w:autoSpaceDN/>
        <w:bidi w:val="0"/>
        <w:adjustRightInd/>
        <w:snapToGrid/>
        <w:spacing w:line="360" w:lineRule="auto"/>
        <w:textAlignment w:val="auto"/>
        <w:rPr>
          <w:bCs/>
          <w:sz w:val="20"/>
          <w:szCs w:val="20"/>
        </w:rPr>
      </w:pPr>
      <w:r>
        <w:rPr>
          <w:bCs/>
          <w:sz w:val="20"/>
          <w:szCs w:val="20"/>
        </w:rPr>
        <w:t>法定代表人（</w:t>
      </w:r>
      <w:r>
        <w:rPr>
          <w:rFonts w:hint="eastAsia"/>
          <w:bCs/>
          <w:sz w:val="20"/>
          <w:szCs w:val="20"/>
          <w:lang w:val="en-US" w:eastAsia="zh-CN"/>
        </w:rPr>
        <w:t>或授权代表</w:t>
      </w:r>
      <w:r>
        <w:rPr>
          <w:bCs/>
          <w:sz w:val="20"/>
          <w:szCs w:val="20"/>
        </w:rPr>
        <w:t xml:space="preserve">）：             </w:t>
      </w:r>
      <w:r>
        <w:rPr>
          <w:rFonts w:hint="eastAsia"/>
          <w:bCs/>
          <w:sz w:val="20"/>
          <w:szCs w:val="20"/>
          <w:lang w:val="en-US" w:eastAsia="zh-CN"/>
        </w:rPr>
        <w:t xml:space="preserve">   </w:t>
      </w:r>
      <w:r>
        <w:rPr>
          <w:bCs/>
          <w:sz w:val="20"/>
          <w:szCs w:val="20"/>
        </w:rPr>
        <w:t>法定代表人（</w:t>
      </w:r>
      <w:r>
        <w:rPr>
          <w:rFonts w:hint="eastAsia"/>
          <w:bCs/>
          <w:sz w:val="20"/>
          <w:szCs w:val="20"/>
          <w:lang w:val="en-US" w:eastAsia="zh-CN"/>
        </w:rPr>
        <w:t>或授权代表</w:t>
      </w:r>
      <w:r>
        <w:rPr>
          <w:bCs/>
          <w:sz w:val="20"/>
          <w:szCs w:val="20"/>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bCs/>
          <w:sz w:val="20"/>
          <w:szCs w:val="20"/>
        </w:rPr>
      </w:pPr>
      <w:r>
        <w:rPr>
          <w:bCs/>
          <w:sz w:val="20"/>
          <w:szCs w:val="20"/>
        </w:rPr>
        <w:t xml:space="preserve">经办人签名：                     </w:t>
      </w:r>
      <w:r>
        <w:rPr>
          <w:rFonts w:hint="eastAsia"/>
          <w:bCs/>
          <w:sz w:val="20"/>
          <w:szCs w:val="20"/>
          <w:lang w:val="en-US" w:eastAsia="zh-CN"/>
        </w:rPr>
        <w:t xml:space="preserve">       </w:t>
      </w:r>
      <w:r>
        <w:rPr>
          <w:bCs/>
          <w:sz w:val="20"/>
          <w:szCs w:val="20"/>
        </w:rPr>
        <w:t xml:space="preserve"> 经办人签名：</w:t>
      </w:r>
    </w:p>
    <w:p>
      <w:pPr>
        <w:keepNext w:val="0"/>
        <w:keepLines w:val="0"/>
        <w:pageBreakBefore w:val="0"/>
        <w:widowControl w:val="0"/>
        <w:kinsoku/>
        <w:wordWrap/>
        <w:overflowPunct/>
        <w:topLinePunct w:val="0"/>
        <w:autoSpaceDE/>
        <w:autoSpaceDN/>
        <w:bidi w:val="0"/>
        <w:adjustRightInd/>
        <w:snapToGrid/>
        <w:spacing w:line="360" w:lineRule="auto"/>
        <w:ind w:firstLine="800" w:firstLineChars="400"/>
        <w:textAlignment w:val="auto"/>
        <w:rPr>
          <w:sz w:val="20"/>
          <w:szCs w:val="20"/>
        </w:rPr>
      </w:pPr>
      <w:r>
        <w:rPr>
          <w:bCs/>
          <w:sz w:val="20"/>
          <w:szCs w:val="20"/>
        </w:rPr>
        <w:t>年</w:t>
      </w:r>
      <w:r>
        <w:rPr>
          <w:rFonts w:hint="eastAsia"/>
          <w:bCs/>
          <w:sz w:val="20"/>
          <w:szCs w:val="20"/>
          <w:lang w:val="en-US" w:eastAsia="zh-CN"/>
        </w:rPr>
        <w:t xml:space="preserve">    </w:t>
      </w:r>
      <w:r>
        <w:rPr>
          <w:bCs/>
          <w:sz w:val="20"/>
          <w:szCs w:val="20"/>
        </w:rPr>
        <w:t>月</w:t>
      </w:r>
      <w:r>
        <w:rPr>
          <w:rFonts w:hint="eastAsia"/>
          <w:bCs/>
          <w:sz w:val="20"/>
          <w:szCs w:val="20"/>
          <w:lang w:val="en-US" w:eastAsia="zh-CN"/>
        </w:rPr>
        <w:t xml:space="preserve">    </w:t>
      </w:r>
      <w:r>
        <w:rPr>
          <w:bCs/>
          <w:sz w:val="20"/>
          <w:szCs w:val="20"/>
        </w:rPr>
        <w:t xml:space="preserve">日                      </w:t>
      </w:r>
      <w:r>
        <w:rPr>
          <w:rFonts w:hint="eastAsia"/>
          <w:bCs/>
          <w:sz w:val="20"/>
          <w:szCs w:val="20"/>
          <w:lang w:val="en-US" w:eastAsia="zh-CN"/>
        </w:rPr>
        <w:t xml:space="preserve">     </w:t>
      </w:r>
      <w:r>
        <w:rPr>
          <w:bCs/>
          <w:sz w:val="20"/>
          <w:szCs w:val="20"/>
        </w:rPr>
        <w:t>年</w:t>
      </w:r>
      <w:r>
        <w:rPr>
          <w:rFonts w:hint="eastAsia"/>
          <w:bCs/>
          <w:sz w:val="20"/>
          <w:szCs w:val="20"/>
          <w:lang w:val="en-US" w:eastAsia="zh-CN"/>
        </w:rPr>
        <w:t xml:space="preserve">    </w:t>
      </w:r>
      <w:r>
        <w:rPr>
          <w:bCs/>
          <w:sz w:val="20"/>
          <w:szCs w:val="20"/>
        </w:rPr>
        <w:t>月</w:t>
      </w:r>
      <w:r>
        <w:rPr>
          <w:rFonts w:hint="eastAsia"/>
          <w:bCs/>
          <w:sz w:val="20"/>
          <w:szCs w:val="20"/>
          <w:lang w:val="en-US" w:eastAsia="zh-CN"/>
        </w:rPr>
        <w:t xml:space="preserve">    </w:t>
      </w:r>
      <w:r>
        <w:rPr>
          <w:bCs/>
          <w:sz w:val="20"/>
          <w:szCs w:val="20"/>
        </w:rPr>
        <w:t>日</w:t>
      </w:r>
    </w:p>
    <w:p>
      <w:pPr>
        <w:spacing w:line="240" w:lineRule="auto"/>
        <w:rPr>
          <w:sz w:val="20"/>
          <w:szCs w:val="20"/>
        </w:rPr>
      </w:pPr>
    </w:p>
    <w:p>
      <w:pPr>
        <w:adjustRightInd w:val="0"/>
        <w:snapToGrid w:val="0"/>
        <w:spacing w:line="360" w:lineRule="auto"/>
        <w:jc w:val="left"/>
        <w:rPr>
          <w:rFonts w:hint="eastAsia" w:ascii="宋体" w:hAnsi="宋体" w:eastAsia="宋体" w:cs="宋体"/>
          <w:color w:val="000000"/>
          <w:szCs w:val="21"/>
        </w:rPr>
      </w:pPr>
    </w:p>
    <w:sectPr>
      <w:pgSz w:w="11906" w:h="16838"/>
      <w:pgMar w:top="850" w:right="1236" w:bottom="85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69252"/>
    <w:multiLevelType w:val="singleLevel"/>
    <w:tmpl w:val="E7F69252"/>
    <w:lvl w:ilvl="0" w:tentative="0">
      <w:start w:val="2"/>
      <w:numFmt w:val="decimal"/>
      <w:suff w:val="nothing"/>
      <w:lvlText w:val="%1、"/>
      <w:lvlJc w:val="left"/>
    </w:lvl>
  </w:abstractNum>
  <w:abstractNum w:abstractNumId="1">
    <w:nsid w:val="09B46C92"/>
    <w:multiLevelType w:val="multilevel"/>
    <w:tmpl w:val="09B46C9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8202A69"/>
    <w:multiLevelType w:val="multilevel"/>
    <w:tmpl w:val="18202A69"/>
    <w:lvl w:ilvl="0" w:tentative="0">
      <w:start w:val="1"/>
      <w:numFmt w:val="decimal"/>
      <w:lvlText w:val="%1."/>
      <w:lvlJc w:val="left"/>
      <w:pPr>
        <w:ind w:left="779" w:hanging="420"/>
      </w:pPr>
    </w:lvl>
    <w:lvl w:ilvl="1" w:tentative="0">
      <w:start w:val="1"/>
      <w:numFmt w:val="lowerLetter"/>
      <w:lvlText w:val="%2)"/>
      <w:lvlJc w:val="left"/>
      <w:pPr>
        <w:ind w:left="1199" w:hanging="420"/>
      </w:pPr>
    </w:lvl>
    <w:lvl w:ilvl="2" w:tentative="0">
      <w:start w:val="1"/>
      <w:numFmt w:val="lowerRoman"/>
      <w:lvlText w:val="%3."/>
      <w:lvlJc w:val="right"/>
      <w:pPr>
        <w:ind w:left="1619" w:hanging="420"/>
      </w:pPr>
    </w:lvl>
    <w:lvl w:ilvl="3" w:tentative="0">
      <w:start w:val="1"/>
      <w:numFmt w:val="decimal"/>
      <w:lvlText w:val="%4."/>
      <w:lvlJc w:val="left"/>
      <w:pPr>
        <w:ind w:left="2039" w:hanging="420"/>
      </w:pPr>
    </w:lvl>
    <w:lvl w:ilvl="4" w:tentative="0">
      <w:start w:val="1"/>
      <w:numFmt w:val="lowerLetter"/>
      <w:lvlText w:val="%5)"/>
      <w:lvlJc w:val="left"/>
      <w:pPr>
        <w:ind w:left="2459" w:hanging="420"/>
      </w:pPr>
    </w:lvl>
    <w:lvl w:ilvl="5" w:tentative="0">
      <w:start w:val="1"/>
      <w:numFmt w:val="lowerRoman"/>
      <w:lvlText w:val="%6."/>
      <w:lvlJc w:val="right"/>
      <w:pPr>
        <w:ind w:left="2879" w:hanging="420"/>
      </w:pPr>
    </w:lvl>
    <w:lvl w:ilvl="6" w:tentative="0">
      <w:start w:val="1"/>
      <w:numFmt w:val="decimal"/>
      <w:lvlText w:val="%7."/>
      <w:lvlJc w:val="left"/>
      <w:pPr>
        <w:ind w:left="3299" w:hanging="420"/>
      </w:pPr>
    </w:lvl>
    <w:lvl w:ilvl="7" w:tentative="0">
      <w:start w:val="1"/>
      <w:numFmt w:val="lowerLetter"/>
      <w:lvlText w:val="%8)"/>
      <w:lvlJc w:val="left"/>
      <w:pPr>
        <w:ind w:left="3719" w:hanging="420"/>
      </w:pPr>
    </w:lvl>
    <w:lvl w:ilvl="8" w:tentative="0">
      <w:start w:val="1"/>
      <w:numFmt w:val="lowerRoman"/>
      <w:lvlText w:val="%9."/>
      <w:lvlJc w:val="right"/>
      <w:pPr>
        <w:ind w:left="4139" w:hanging="420"/>
      </w:pPr>
    </w:lvl>
  </w:abstractNum>
  <w:abstractNum w:abstractNumId="3">
    <w:nsid w:val="3EE64B28"/>
    <w:multiLevelType w:val="multilevel"/>
    <w:tmpl w:val="3EE64B28"/>
    <w:lvl w:ilvl="0" w:tentative="0">
      <w:start w:val="1"/>
      <w:numFmt w:val="decimal"/>
      <w:lvlText w:val="%1."/>
      <w:lvlJc w:val="left"/>
      <w:pPr>
        <w:ind w:left="779" w:hanging="420"/>
      </w:pPr>
    </w:lvl>
    <w:lvl w:ilvl="1" w:tentative="0">
      <w:start w:val="1"/>
      <w:numFmt w:val="lowerLetter"/>
      <w:lvlText w:val="%2)"/>
      <w:lvlJc w:val="left"/>
      <w:pPr>
        <w:ind w:left="1199" w:hanging="420"/>
      </w:pPr>
    </w:lvl>
    <w:lvl w:ilvl="2" w:tentative="0">
      <w:start w:val="1"/>
      <w:numFmt w:val="lowerRoman"/>
      <w:lvlText w:val="%3."/>
      <w:lvlJc w:val="right"/>
      <w:pPr>
        <w:ind w:left="1619" w:hanging="420"/>
      </w:pPr>
    </w:lvl>
    <w:lvl w:ilvl="3" w:tentative="0">
      <w:start w:val="1"/>
      <w:numFmt w:val="decimal"/>
      <w:lvlText w:val="%4."/>
      <w:lvlJc w:val="left"/>
      <w:pPr>
        <w:ind w:left="2039" w:hanging="420"/>
      </w:pPr>
    </w:lvl>
    <w:lvl w:ilvl="4" w:tentative="0">
      <w:start w:val="1"/>
      <w:numFmt w:val="lowerLetter"/>
      <w:lvlText w:val="%5)"/>
      <w:lvlJc w:val="left"/>
      <w:pPr>
        <w:ind w:left="2459" w:hanging="420"/>
      </w:pPr>
    </w:lvl>
    <w:lvl w:ilvl="5" w:tentative="0">
      <w:start w:val="1"/>
      <w:numFmt w:val="lowerRoman"/>
      <w:lvlText w:val="%6."/>
      <w:lvlJc w:val="right"/>
      <w:pPr>
        <w:ind w:left="2879" w:hanging="420"/>
      </w:pPr>
    </w:lvl>
    <w:lvl w:ilvl="6" w:tentative="0">
      <w:start w:val="1"/>
      <w:numFmt w:val="decimal"/>
      <w:lvlText w:val="%7."/>
      <w:lvlJc w:val="left"/>
      <w:pPr>
        <w:ind w:left="3299" w:hanging="420"/>
      </w:pPr>
    </w:lvl>
    <w:lvl w:ilvl="7" w:tentative="0">
      <w:start w:val="1"/>
      <w:numFmt w:val="lowerLetter"/>
      <w:lvlText w:val="%8)"/>
      <w:lvlJc w:val="left"/>
      <w:pPr>
        <w:ind w:left="3719" w:hanging="420"/>
      </w:pPr>
    </w:lvl>
    <w:lvl w:ilvl="8" w:tentative="0">
      <w:start w:val="1"/>
      <w:numFmt w:val="lowerRoman"/>
      <w:lvlText w:val="%9."/>
      <w:lvlJc w:val="right"/>
      <w:pPr>
        <w:ind w:left="4139" w:hanging="420"/>
      </w:pPr>
    </w:lvl>
  </w:abstractNum>
  <w:abstractNum w:abstractNumId="4">
    <w:nsid w:val="409267FD"/>
    <w:multiLevelType w:val="multilevel"/>
    <w:tmpl w:val="409267F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97F44B2"/>
    <w:multiLevelType w:val="multilevel"/>
    <w:tmpl w:val="497F44B2"/>
    <w:lvl w:ilvl="0" w:tentative="0">
      <w:start w:val="1"/>
      <w:numFmt w:val="decimal"/>
      <w:lvlText w:val="%1."/>
      <w:lvlJc w:val="left"/>
      <w:pPr>
        <w:ind w:left="779" w:hanging="420"/>
      </w:pPr>
    </w:lvl>
    <w:lvl w:ilvl="1" w:tentative="0">
      <w:start w:val="1"/>
      <w:numFmt w:val="lowerLetter"/>
      <w:lvlText w:val="%2)"/>
      <w:lvlJc w:val="left"/>
      <w:pPr>
        <w:ind w:left="1199" w:hanging="420"/>
      </w:pPr>
    </w:lvl>
    <w:lvl w:ilvl="2" w:tentative="0">
      <w:start w:val="1"/>
      <w:numFmt w:val="lowerRoman"/>
      <w:lvlText w:val="%3."/>
      <w:lvlJc w:val="right"/>
      <w:pPr>
        <w:ind w:left="1619" w:hanging="420"/>
      </w:pPr>
    </w:lvl>
    <w:lvl w:ilvl="3" w:tentative="0">
      <w:start w:val="1"/>
      <w:numFmt w:val="decimal"/>
      <w:lvlText w:val="%4."/>
      <w:lvlJc w:val="left"/>
      <w:pPr>
        <w:ind w:left="2039" w:hanging="420"/>
      </w:pPr>
    </w:lvl>
    <w:lvl w:ilvl="4" w:tentative="0">
      <w:start w:val="1"/>
      <w:numFmt w:val="lowerLetter"/>
      <w:lvlText w:val="%5)"/>
      <w:lvlJc w:val="left"/>
      <w:pPr>
        <w:ind w:left="2459" w:hanging="420"/>
      </w:pPr>
    </w:lvl>
    <w:lvl w:ilvl="5" w:tentative="0">
      <w:start w:val="1"/>
      <w:numFmt w:val="lowerRoman"/>
      <w:lvlText w:val="%6."/>
      <w:lvlJc w:val="right"/>
      <w:pPr>
        <w:ind w:left="2879" w:hanging="420"/>
      </w:pPr>
    </w:lvl>
    <w:lvl w:ilvl="6" w:tentative="0">
      <w:start w:val="1"/>
      <w:numFmt w:val="decimal"/>
      <w:lvlText w:val="%7."/>
      <w:lvlJc w:val="left"/>
      <w:pPr>
        <w:ind w:left="3299" w:hanging="420"/>
      </w:pPr>
    </w:lvl>
    <w:lvl w:ilvl="7" w:tentative="0">
      <w:start w:val="1"/>
      <w:numFmt w:val="lowerLetter"/>
      <w:lvlText w:val="%8)"/>
      <w:lvlJc w:val="left"/>
      <w:pPr>
        <w:ind w:left="3719" w:hanging="420"/>
      </w:pPr>
    </w:lvl>
    <w:lvl w:ilvl="8" w:tentative="0">
      <w:start w:val="1"/>
      <w:numFmt w:val="lowerRoman"/>
      <w:lvlText w:val="%9."/>
      <w:lvlJc w:val="right"/>
      <w:pPr>
        <w:ind w:left="4139" w:hanging="420"/>
      </w:pPr>
    </w:lvl>
  </w:abstractNum>
  <w:abstractNum w:abstractNumId="6">
    <w:nsid w:val="5CC06AE7"/>
    <w:multiLevelType w:val="multilevel"/>
    <w:tmpl w:val="5CC06AE7"/>
    <w:lvl w:ilvl="0" w:tentative="0">
      <w:start w:val="1"/>
      <w:numFmt w:val="decimal"/>
      <w:lvlText w:val="%1."/>
      <w:lvlJc w:val="left"/>
      <w:pPr>
        <w:ind w:left="779" w:hanging="420"/>
      </w:pPr>
    </w:lvl>
    <w:lvl w:ilvl="1" w:tentative="0">
      <w:start w:val="1"/>
      <w:numFmt w:val="lowerLetter"/>
      <w:lvlText w:val="%2)"/>
      <w:lvlJc w:val="left"/>
      <w:pPr>
        <w:ind w:left="1199" w:hanging="420"/>
      </w:pPr>
    </w:lvl>
    <w:lvl w:ilvl="2" w:tentative="0">
      <w:start w:val="1"/>
      <w:numFmt w:val="lowerRoman"/>
      <w:lvlText w:val="%3."/>
      <w:lvlJc w:val="right"/>
      <w:pPr>
        <w:ind w:left="1619" w:hanging="420"/>
      </w:pPr>
    </w:lvl>
    <w:lvl w:ilvl="3" w:tentative="0">
      <w:start w:val="1"/>
      <w:numFmt w:val="decimal"/>
      <w:lvlText w:val="%4."/>
      <w:lvlJc w:val="left"/>
      <w:pPr>
        <w:ind w:left="2039" w:hanging="420"/>
      </w:pPr>
    </w:lvl>
    <w:lvl w:ilvl="4" w:tentative="0">
      <w:start w:val="1"/>
      <w:numFmt w:val="lowerLetter"/>
      <w:lvlText w:val="%5)"/>
      <w:lvlJc w:val="left"/>
      <w:pPr>
        <w:ind w:left="2459" w:hanging="420"/>
      </w:pPr>
    </w:lvl>
    <w:lvl w:ilvl="5" w:tentative="0">
      <w:start w:val="1"/>
      <w:numFmt w:val="lowerRoman"/>
      <w:lvlText w:val="%6."/>
      <w:lvlJc w:val="right"/>
      <w:pPr>
        <w:ind w:left="2879" w:hanging="420"/>
      </w:pPr>
    </w:lvl>
    <w:lvl w:ilvl="6" w:tentative="0">
      <w:start w:val="1"/>
      <w:numFmt w:val="decimal"/>
      <w:lvlText w:val="%7."/>
      <w:lvlJc w:val="left"/>
      <w:pPr>
        <w:ind w:left="3299" w:hanging="420"/>
      </w:pPr>
    </w:lvl>
    <w:lvl w:ilvl="7" w:tentative="0">
      <w:start w:val="1"/>
      <w:numFmt w:val="lowerLetter"/>
      <w:lvlText w:val="%8)"/>
      <w:lvlJc w:val="left"/>
      <w:pPr>
        <w:ind w:left="3719" w:hanging="420"/>
      </w:pPr>
    </w:lvl>
    <w:lvl w:ilvl="8" w:tentative="0">
      <w:start w:val="1"/>
      <w:numFmt w:val="lowerRoman"/>
      <w:lvlText w:val="%9."/>
      <w:lvlJc w:val="right"/>
      <w:pPr>
        <w:ind w:left="4139" w:hanging="420"/>
      </w:pPr>
    </w:lvl>
  </w:abstractNum>
  <w:abstractNum w:abstractNumId="7">
    <w:nsid w:val="6FBF8DA3"/>
    <w:multiLevelType w:val="singleLevel"/>
    <w:tmpl w:val="6FBF8DA3"/>
    <w:lvl w:ilvl="0" w:tentative="0">
      <w:start w:val="1"/>
      <w:numFmt w:val="decimal"/>
      <w:suff w:val="nothing"/>
      <w:lvlText w:val="%1、"/>
      <w:lvlJc w:val="left"/>
    </w:lvl>
  </w:abstractNum>
  <w:abstractNum w:abstractNumId="8">
    <w:nsid w:val="75D66798"/>
    <w:multiLevelType w:val="multilevel"/>
    <w:tmpl w:val="75D66798"/>
    <w:lvl w:ilvl="0" w:tentative="0">
      <w:start w:val="1"/>
      <w:numFmt w:val="decimal"/>
      <w:lvlText w:val="%1."/>
      <w:lvlJc w:val="left"/>
      <w:pPr>
        <w:ind w:left="846" w:hanging="420"/>
      </w:pPr>
    </w:lvl>
    <w:lvl w:ilvl="1" w:tentative="0">
      <w:start w:val="1"/>
      <w:numFmt w:val="lowerLetter"/>
      <w:lvlText w:val="%2)"/>
      <w:lvlJc w:val="left"/>
      <w:pPr>
        <w:ind w:left="1199" w:hanging="420"/>
      </w:pPr>
    </w:lvl>
    <w:lvl w:ilvl="2" w:tentative="0">
      <w:start w:val="1"/>
      <w:numFmt w:val="lowerRoman"/>
      <w:lvlText w:val="%3."/>
      <w:lvlJc w:val="right"/>
      <w:pPr>
        <w:ind w:left="1619" w:hanging="420"/>
      </w:pPr>
    </w:lvl>
    <w:lvl w:ilvl="3" w:tentative="0">
      <w:start w:val="1"/>
      <w:numFmt w:val="decimal"/>
      <w:lvlText w:val="%4."/>
      <w:lvlJc w:val="left"/>
      <w:pPr>
        <w:ind w:left="2039" w:hanging="420"/>
      </w:pPr>
    </w:lvl>
    <w:lvl w:ilvl="4" w:tentative="0">
      <w:start w:val="1"/>
      <w:numFmt w:val="lowerLetter"/>
      <w:lvlText w:val="%5)"/>
      <w:lvlJc w:val="left"/>
      <w:pPr>
        <w:ind w:left="2459" w:hanging="420"/>
      </w:pPr>
    </w:lvl>
    <w:lvl w:ilvl="5" w:tentative="0">
      <w:start w:val="1"/>
      <w:numFmt w:val="lowerRoman"/>
      <w:lvlText w:val="%6."/>
      <w:lvlJc w:val="right"/>
      <w:pPr>
        <w:ind w:left="2879" w:hanging="420"/>
      </w:pPr>
    </w:lvl>
    <w:lvl w:ilvl="6" w:tentative="0">
      <w:start w:val="1"/>
      <w:numFmt w:val="decimal"/>
      <w:lvlText w:val="%7."/>
      <w:lvlJc w:val="left"/>
      <w:pPr>
        <w:ind w:left="3299" w:hanging="420"/>
      </w:pPr>
    </w:lvl>
    <w:lvl w:ilvl="7" w:tentative="0">
      <w:start w:val="1"/>
      <w:numFmt w:val="lowerLetter"/>
      <w:lvlText w:val="%8)"/>
      <w:lvlJc w:val="left"/>
      <w:pPr>
        <w:ind w:left="3719" w:hanging="420"/>
      </w:pPr>
    </w:lvl>
    <w:lvl w:ilvl="8" w:tentative="0">
      <w:start w:val="1"/>
      <w:numFmt w:val="lowerRoman"/>
      <w:lvlText w:val="%9."/>
      <w:lvlJc w:val="right"/>
      <w:pPr>
        <w:ind w:left="4139" w:hanging="420"/>
      </w:pPr>
    </w:lvl>
  </w:abstractNum>
  <w:num w:numId="1">
    <w:abstractNumId w:val="4"/>
  </w:num>
  <w:num w:numId="2">
    <w:abstractNumId w:val="0"/>
  </w:num>
  <w:num w:numId="3">
    <w:abstractNumId w:val="1"/>
  </w:num>
  <w:num w:numId="4">
    <w:abstractNumId w:val="6"/>
  </w:num>
  <w:num w:numId="5">
    <w:abstractNumId w:val="7"/>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IzN2FlZGQyNmExMDc1YTc1OWIxYmFlNmE1NTFhMTUifQ=="/>
  </w:docVars>
  <w:rsids>
    <w:rsidRoot w:val="442D7AA8"/>
    <w:rsid w:val="000838A3"/>
    <w:rsid w:val="0029760C"/>
    <w:rsid w:val="003D41C7"/>
    <w:rsid w:val="003E091A"/>
    <w:rsid w:val="00537F7B"/>
    <w:rsid w:val="005D6C7D"/>
    <w:rsid w:val="0077449E"/>
    <w:rsid w:val="009C732C"/>
    <w:rsid w:val="00A81427"/>
    <w:rsid w:val="00BD504C"/>
    <w:rsid w:val="00DB7EDC"/>
    <w:rsid w:val="00FA6B75"/>
    <w:rsid w:val="03F44E33"/>
    <w:rsid w:val="076E6C91"/>
    <w:rsid w:val="0EF80781"/>
    <w:rsid w:val="0F427144"/>
    <w:rsid w:val="0F9C6A6C"/>
    <w:rsid w:val="1124087B"/>
    <w:rsid w:val="1367269B"/>
    <w:rsid w:val="154327F2"/>
    <w:rsid w:val="15DC68E4"/>
    <w:rsid w:val="15F0193F"/>
    <w:rsid w:val="16586A57"/>
    <w:rsid w:val="186F7D76"/>
    <w:rsid w:val="1AAC3B0A"/>
    <w:rsid w:val="1DD0413A"/>
    <w:rsid w:val="1E704E7C"/>
    <w:rsid w:val="1FEC61FA"/>
    <w:rsid w:val="203F5CE6"/>
    <w:rsid w:val="215E5325"/>
    <w:rsid w:val="245B0ADE"/>
    <w:rsid w:val="253F05F7"/>
    <w:rsid w:val="26614AE7"/>
    <w:rsid w:val="29B1546C"/>
    <w:rsid w:val="2B9D1E83"/>
    <w:rsid w:val="2C0B329E"/>
    <w:rsid w:val="2DA52879"/>
    <w:rsid w:val="2EE23DA1"/>
    <w:rsid w:val="304676BA"/>
    <w:rsid w:val="31B303AC"/>
    <w:rsid w:val="32EC217B"/>
    <w:rsid w:val="33F15215"/>
    <w:rsid w:val="38620F4A"/>
    <w:rsid w:val="39072D82"/>
    <w:rsid w:val="396C0474"/>
    <w:rsid w:val="3AA307AA"/>
    <w:rsid w:val="3D4A148F"/>
    <w:rsid w:val="3E3C64D5"/>
    <w:rsid w:val="3EBF27E8"/>
    <w:rsid w:val="442D7AA8"/>
    <w:rsid w:val="4BB26B7D"/>
    <w:rsid w:val="50250266"/>
    <w:rsid w:val="53303AC0"/>
    <w:rsid w:val="57A36574"/>
    <w:rsid w:val="58D72375"/>
    <w:rsid w:val="59F74833"/>
    <w:rsid w:val="5DAF6DF6"/>
    <w:rsid w:val="63750765"/>
    <w:rsid w:val="64363486"/>
    <w:rsid w:val="6B1E16E2"/>
    <w:rsid w:val="724D0AFE"/>
    <w:rsid w:val="726A250D"/>
    <w:rsid w:val="72E83474"/>
    <w:rsid w:val="72F62F44"/>
    <w:rsid w:val="782A75CF"/>
    <w:rsid w:val="78362761"/>
    <w:rsid w:val="79F966D5"/>
    <w:rsid w:val="7BE10C35"/>
    <w:rsid w:val="7DBF4FA6"/>
    <w:rsid w:val="7E036272"/>
    <w:rsid w:val="7E7A2C7B"/>
    <w:rsid w:val="7F0817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keepNext/>
      <w:keepLines/>
      <w:tabs>
        <w:tab w:val="left" w:pos="840"/>
      </w:tabs>
      <w:adjustRightInd w:val="0"/>
      <w:snapToGrid w:val="0"/>
      <w:spacing w:line="360" w:lineRule="auto"/>
      <w:outlineLvl w:val="0"/>
    </w:pPr>
    <w:rPr>
      <w:rFonts w:ascii="宋体"/>
      <w:b/>
      <w:kern w:val="44"/>
      <w:sz w:val="24"/>
    </w:rPr>
  </w:style>
  <w:style w:type="paragraph" w:styleId="3">
    <w:name w:val="heading 2"/>
    <w:basedOn w:val="1"/>
    <w:next w:val="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1"/>
    <w:autoRedefine/>
    <w:qFormat/>
    <w:uiPriority w:val="0"/>
    <w:pPr>
      <w:ind w:firstLine="420"/>
    </w:pPr>
    <w:rPr>
      <w:szCs w:val="20"/>
    </w:rPr>
  </w:style>
  <w:style w:type="paragraph" w:styleId="5">
    <w:name w:val="Body Text"/>
    <w:basedOn w:val="1"/>
    <w:next w:val="6"/>
    <w:autoRedefine/>
    <w:qFormat/>
    <w:uiPriority w:val="0"/>
    <w:pPr>
      <w:spacing w:after="120" w:afterLines="0"/>
    </w:pPr>
  </w:style>
  <w:style w:type="paragraph" w:styleId="6">
    <w:name w:val="Body Text First Indent"/>
    <w:basedOn w:val="5"/>
    <w:autoRedefine/>
    <w:semiHidden/>
    <w:unhideWhenUsed/>
    <w:qFormat/>
    <w:uiPriority w:val="99"/>
    <w:pPr>
      <w:ind w:firstLine="420" w:firstLineChars="100"/>
    </w:pPr>
    <w:rPr>
      <w:rFonts w:asciiTheme="minorHAnsi" w:hAnsiTheme="minorHAnsi" w:eastAsiaTheme="minorEastAsia" w:cstheme="minorBidi"/>
      <w:szCs w:val="22"/>
    </w:rPr>
  </w:style>
  <w:style w:type="paragraph" w:styleId="7">
    <w:name w:val="Body Text Indent"/>
    <w:basedOn w:val="1"/>
    <w:autoRedefine/>
    <w:qFormat/>
    <w:uiPriority w:val="0"/>
    <w:pPr>
      <w:ind w:left="480" w:hanging="480" w:hangingChars="200"/>
    </w:pPr>
    <w:rPr>
      <w:rFonts w:ascii="Times New Roman" w:hAnsi="Times New Roman" w:eastAsia="宋体" w:cs="Times New Roman"/>
      <w:sz w:val="24"/>
      <w:szCs w:val="24"/>
    </w:rPr>
  </w:style>
  <w:style w:type="paragraph" w:styleId="8">
    <w:name w:val="Plain Text"/>
    <w:basedOn w:val="1"/>
    <w:autoRedefine/>
    <w:qFormat/>
    <w:uiPriority w:val="0"/>
    <w:pPr>
      <w:spacing w:beforeLines="50" w:afterLines="50" w:line="400" w:lineRule="exact"/>
    </w:pPr>
    <w:rPr>
      <w:rFonts w:ascii="宋体" w:hAnsi="Courier New"/>
      <w:sz w:val="24"/>
    </w:rPr>
  </w:style>
  <w:style w:type="paragraph" w:styleId="9">
    <w:name w:val="endnote text"/>
    <w:basedOn w:val="1"/>
    <w:autoRedefine/>
    <w:unhideWhenUsed/>
    <w:qFormat/>
    <w:uiPriority w:val="99"/>
    <w:pPr>
      <w:snapToGrid w:val="0"/>
      <w:jc w:val="left"/>
    </w:pPr>
    <w:rPr>
      <w:lang w:val="zh-CN"/>
    </w:rPr>
  </w:style>
  <w:style w:type="paragraph" w:styleId="10">
    <w:name w:val="footer"/>
    <w:basedOn w:val="1"/>
    <w:link w:val="20"/>
    <w:autoRedefine/>
    <w:qFormat/>
    <w:uiPriority w:val="0"/>
    <w:pPr>
      <w:tabs>
        <w:tab w:val="center" w:pos="4153"/>
        <w:tab w:val="right" w:pos="8306"/>
      </w:tabs>
      <w:snapToGrid w:val="0"/>
      <w:jc w:val="left"/>
    </w:pPr>
    <w:rPr>
      <w:sz w:val="18"/>
      <w:szCs w:val="18"/>
    </w:rPr>
  </w:style>
  <w:style w:type="paragraph" w:styleId="11">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autoRedefine/>
    <w:semiHidden/>
    <w:unhideWhenUsed/>
    <w:qFormat/>
    <w:uiPriority w:val="99"/>
    <w:pPr>
      <w:ind w:firstLine="420" w:firstLineChars="200"/>
    </w:pPr>
  </w:style>
  <w:style w:type="table" w:styleId="14">
    <w:name w:val="Table Grid"/>
    <w:basedOn w:val="13"/>
    <w:autoRedefine/>
    <w:qFormat/>
    <w:uiPriority w:val="0"/>
    <w:pPr>
      <w:widowControl w:val="0"/>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BodyText1I"/>
    <w:basedOn w:val="17"/>
    <w:autoRedefine/>
    <w:qFormat/>
    <w:uiPriority w:val="0"/>
    <w:pPr>
      <w:ind w:firstLine="420" w:firstLineChars="100"/>
    </w:pPr>
  </w:style>
  <w:style w:type="paragraph" w:customStyle="1" w:styleId="17">
    <w:name w:val="BodyText"/>
    <w:basedOn w:val="1"/>
    <w:autoRedefine/>
    <w:qFormat/>
    <w:uiPriority w:val="0"/>
    <w:pPr>
      <w:spacing w:after="120"/>
    </w:pPr>
  </w:style>
  <w:style w:type="paragraph" w:customStyle="1" w:styleId="18">
    <w:name w:val="表格文字"/>
    <w:basedOn w:val="1"/>
    <w:next w:val="5"/>
    <w:autoRedefine/>
    <w:qFormat/>
    <w:uiPriority w:val="0"/>
    <w:pPr>
      <w:autoSpaceDE w:val="0"/>
      <w:autoSpaceDN w:val="0"/>
      <w:adjustRightInd w:val="0"/>
      <w:spacing w:line="420" w:lineRule="atLeast"/>
      <w:jc w:val="left"/>
      <w:textAlignment w:val="baseline"/>
    </w:pPr>
    <w:rPr>
      <w:rFonts w:hAnsi="宋体" w:cs="宋体"/>
      <w:kern w:val="0"/>
      <w:sz w:val="22"/>
      <w:lang w:val="zh-CN" w:bidi="zh-CN"/>
    </w:rPr>
  </w:style>
  <w:style w:type="character" w:customStyle="1" w:styleId="19">
    <w:name w:val="页眉 Char"/>
    <w:basedOn w:val="15"/>
    <w:link w:val="11"/>
    <w:autoRedefine/>
    <w:qFormat/>
    <w:uiPriority w:val="0"/>
    <w:rPr>
      <w:kern w:val="2"/>
      <w:sz w:val="18"/>
      <w:szCs w:val="18"/>
    </w:rPr>
  </w:style>
  <w:style w:type="character" w:customStyle="1" w:styleId="20">
    <w:name w:val="页脚 Char"/>
    <w:basedOn w:val="15"/>
    <w:link w:val="10"/>
    <w:autoRedefine/>
    <w:qFormat/>
    <w:uiPriority w:val="0"/>
    <w:rPr>
      <w:kern w:val="2"/>
      <w:sz w:val="18"/>
      <w:szCs w:val="18"/>
    </w:rPr>
  </w:style>
  <w:style w:type="paragraph" w:styleId="21">
    <w:name w:val="List Paragraph"/>
    <w:basedOn w:val="1"/>
    <w:autoRedefine/>
    <w:qFormat/>
    <w:uiPriority w:val="0"/>
    <w:pPr>
      <w:ind w:firstLine="420" w:firstLineChars="200"/>
    </w:pPr>
    <w:rPr>
      <w:rFonts w:ascii="Calibri" w:hAnsi="Calibri"/>
      <w:szCs w:val="22"/>
    </w:rPr>
  </w:style>
  <w:style w:type="paragraph" w:customStyle="1" w:styleId="22">
    <w:name w:val="列出段落1"/>
    <w:basedOn w:val="1"/>
    <w:autoRedefine/>
    <w:qFormat/>
    <w:uiPriority w:val="0"/>
    <w:pPr>
      <w:widowControl/>
      <w:spacing w:after="160" w:line="360" w:lineRule="auto"/>
      <w:ind w:left="720"/>
      <w:contextualSpacing/>
      <w:jc w:val="left"/>
    </w:pPr>
    <w:rPr>
      <w:szCs w:val="22"/>
    </w:rPr>
  </w:style>
  <w:style w:type="table" w:customStyle="1" w:styleId="23">
    <w:name w:val="网格型1"/>
    <w:basedOn w:val="1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5730</Words>
  <Characters>5891</Characters>
  <Lines>17</Lines>
  <Paragraphs>4</Paragraphs>
  <TotalTime>14</TotalTime>
  <ScaleCrop>false</ScaleCrop>
  <LinksUpToDate>false</LinksUpToDate>
  <CharactersWithSpaces>5954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2019-08-15T01:42:00Z</dcterms:created>
  <dc:creator>小米</dc:creator>
  <cp:lastModifiedBy>市渔业应急处置指挥中心</cp:lastModifiedBy>
  <dcterms:modified xsi:type="dcterms:W3CDTF">2026-09-07T01:48:00Z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BDC350B777C44DFDACB8FBB696258D1E</vt:lpwstr>
  </property>
</Properties>
</file>