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clear" w:pos="840"/>
        </w:tabs>
        <w:adjustRightInd/>
        <w:snapToGrid/>
        <w:spacing w:before="120" w:after="120" w:line="360" w:lineRule="auto"/>
        <w:jc w:val="center"/>
        <w:rPr>
          <w:rFonts w:hint="default" w:ascii="宋体" w:hAnsi="宋体" w:eastAsia="宋体" w:cs="宋体"/>
          <w:b/>
          <w:bCs w:val="0"/>
          <w:color w:val="auto"/>
          <w:sz w:val="40"/>
          <w:szCs w:val="40"/>
          <w:lang w:val="en-US"/>
        </w:rPr>
      </w:pPr>
      <w:bookmarkStart w:id="0" w:name="_Toc451522337"/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</w:rPr>
        <w:t>温州市中医院</w:t>
      </w:r>
      <w:bookmarkStart w:id="1" w:name="OLE_LINK1"/>
      <w:r>
        <w:rPr>
          <w:rFonts w:hint="eastAsia" w:hAnsi="宋体" w:cs="宋体"/>
          <w:b/>
          <w:bCs w:val="0"/>
          <w:color w:val="auto"/>
          <w:sz w:val="32"/>
          <w:szCs w:val="32"/>
          <w:lang w:val="en-US" w:eastAsia="zh-CN"/>
        </w:rPr>
        <w:t>2026年中秋“购物节”供应商遴选</w:t>
      </w:r>
      <w:bookmarkEnd w:id="0"/>
      <w:bookmarkEnd w:id="1"/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  <w:lang w:val="en-US" w:eastAsia="zh-CN"/>
        </w:rPr>
        <w:t>文件</w:t>
      </w:r>
    </w:p>
    <w:p>
      <w:pPr>
        <w:spacing w:line="360" w:lineRule="auto"/>
        <w:rPr>
          <w:rFonts w:hint="eastAsia"/>
          <w:b/>
          <w:bCs/>
          <w:color w:val="auto"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</w:rPr>
        <w:t>一、项目概况</w:t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项目名称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：</w:t>
      </w:r>
      <w:bookmarkStart w:id="2" w:name="OLE_LINK8"/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2026年中秋“购物节”供应商遴选</w:t>
      </w:r>
    </w:p>
    <w:bookmarkEnd w:id="2"/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采购方式：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院内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公开遴选（非政府采购）</w:t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采购单位:温州市中医院</w:t>
      </w:r>
    </w:p>
    <w:p>
      <w:pPr>
        <w:spacing w:line="360" w:lineRule="auto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二</w:t>
      </w:r>
      <w:r>
        <w:rPr>
          <w:rFonts w:hint="eastAsia" w:ascii="宋体" w:hAnsi="宋体" w:cs="宋体"/>
          <w:b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采购</w:t>
      </w:r>
      <w:r>
        <w:rPr>
          <w:rFonts w:hint="eastAsia" w:ascii="宋体" w:hAnsi="宋体" w:cs="宋体"/>
          <w:b/>
          <w:color w:val="auto"/>
          <w:sz w:val="28"/>
          <w:szCs w:val="28"/>
        </w:rPr>
        <w:t>内容</w:t>
      </w: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及要求</w:t>
      </w:r>
      <w:bookmarkStart w:id="3" w:name="_GoBack"/>
      <w:bookmarkEnd w:id="3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360" w:lineRule="auto"/>
        <w:ind w:right="0" w:rightChars="0" w:firstLine="241" w:firstLineChars="1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20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1、服务地点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：温州市中医院（地址：温州市六虹桥蛟尾路9号）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360" w:lineRule="auto"/>
        <w:ind w:right="0" w:rightChars="0" w:firstLine="241" w:firstLineChars="10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AFAFA"/>
        </w:rPr>
      </w:pPr>
      <w:r>
        <w:rPr>
          <w:rStyle w:val="20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2、服务</w:t>
      </w:r>
      <w:r>
        <w:rPr>
          <w:rStyle w:val="20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需求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AFAFA"/>
        </w:rPr>
        <w:t>遴选供应商总数不超过1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AFAFA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AFAFA"/>
        </w:rPr>
        <w:t>家，涵盖以下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AFAFA"/>
          <w:lang w:val="en-US" w:eastAsia="zh-CN"/>
        </w:rPr>
        <w:t>五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AFAFA"/>
        </w:rPr>
        <w:t>类商品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AFAFA"/>
          <w:lang w:eastAsia="zh-CN"/>
        </w:rPr>
        <w:t>，</w:t>
      </w:r>
      <w:r>
        <w:rPr>
          <w:rFonts w:hint="eastAsia" w:ascii="宋体" w:hAnsi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t>每类商品具体</w:t>
      </w:r>
      <w:r>
        <w:rPr>
          <w:rFonts w:hint="eastAsia" w:ascii="宋体" w:hAnsi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入围供应商</w:t>
      </w:r>
      <w:r>
        <w:rPr>
          <w:rFonts w:hint="eastAsia" w:ascii="宋体" w:hAnsi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t>数量根据报名及评审情况确定，但总数不超过限定，</w:t>
      </w:r>
      <w:r>
        <w:rPr>
          <w:rFonts w:hint="eastAsia" w:ascii="宋体" w:hAnsi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具体如下：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4"/>
        <w:gridCol w:w="2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50" w:beforeAutospacing="0" w:after="0" w:afterAutospacing="0" w:line="360" w:lineRule="auto"/>
              <w:ind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AFAFA"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商品类别</w:t>
            </w:r>
          </w:p>
        </w:tc>
        <w:tc>
          <w:tcPr>
            <w:tcW w:w="2146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50" w:beforeAutospacing="0" w:after="0" w:afterAutospacing="0" w:line="360" w:lineRule="auto"/>
              <w:ind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AFAFA"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遴选数量上限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50" w:beforeAutospacing="0" w:after="0" w:afterAutospacing="0" w:line="360" w:lineRule="auto"/>
              <w:ind w:right="0" w:rightChars="0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AFAFA"/>
                <w:vertAlign w:val="baseline"/>
              </w:rPr>
            </w:pP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eastAsia="zh-CN"/>
              </w:rPr>
              <w:t>（</w:t>
            </w: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1）</w:t>
            </w: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日用品类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（含日化、家居用品、母婴用品等）</w:t>
            </w:r>
          </w:p>
        </w:tc>
        <w:tc>
          <w:tcPr>
            <w:tcW w:w="2146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50" w:beforeAutospacing="0" w:after="0" w:afterAutospacing="0"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AFAFA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不超过2家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50" w:beforeAutospacing="0" w:after="0" w:afterAutospacing="0" w:line="360" w:lineRule="auto"/>
              <w:ind w:right="0" w:rightChars="0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AFAFA"/>
                <w:vertAlign w:val="baseline"/>
              </w:rPr>
            </w:pP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eastAsia="zh-CN"/>
              </w:rPr>
              <w:t>（</w:t>
            </w: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2）</w:t>
            </w: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床上用品类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（含床单、被套、枕套、棉被等）</w:t>
            </w:r>
          </w:p>
        </w:tc>
        <w:tc>
          <w:tcPr>
            <w:tcW w:w="2146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50" w:beforeAutospacing="0" w:after="0" w:afterAutospacing="0"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AFAFA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不超过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50" w:beforeAutospacing="0" w:after="0" w:afterAutospacing="0" w:line="360" w:lineRule="auto"/>
              <w:ind w:right="0" w:rightChars="0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AFAFA"/>
                <w:vertAlign w:val="baseline"/>
              </w:rPr>
            </w:pP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eastAsia="zh-CN"/>
              </w:rPr>
              <w:t>（</w:t>
            </w: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3）</w:t>
            </w: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食品类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（含地方特产、零食、生鲜、参茸滋补品等）</w:t>
            </w:r>
          </w:p>
        </w:tc>
        <w:tc>
          <w:tcPr>
            <w:tcW w:w="2146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50" w:beforeAutospacing="0" w:after="0" w:afterAutospacing="0"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AFAFA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不超过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sz w:val="24"/>
                <w:szCs w:val="24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50" w:beforeAutospacing="0" w:after="0" w:afterAutospacing="0" w:line="360" w:lineRule="auto"/>
              <w:ind w:right="0" w:rightChars="0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AFAFA"/>
                <w:vertAlign w:val="baseline"/>
              </w:rPr>
            </w:pP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eastAsia="zh-CN"/>
              </w:rPr>
              <w:t>（</w:t>
            </w: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4</w:t>
            </w: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eastAsia="zh-CN"/>
              </w:rPr>
              <w:t>）</w:t>
            </w: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数码产品</w:t>
            </w:r>
            <w:r>
              <w:rPr>
                <w:rStyle w:val="20"/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影音数码、网络设备、智能便携终端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小家电等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）</w:t>
            </w:r>
          </w:p>
        </w:tc>
        <w:tc>
          <w:tcPr>
            <w:tcW w:w="2146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50" w:beforeAutospacing="0" w:after="0" w:afterAutospacing="0"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AFAF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AFAFA"/>
              </w:rPr>
              <w:t>不超过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AFAFA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AFAFA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4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50" w:beforeAutospacing="0" w:after="0" w:afterAutospacing="0" w:line="360" w:lineRule="auto"/>
              <w:ind w:right="0" w:rightChars="0"/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  <w:lang w:val="en-US" w:eastAsia="zh-CN"/>
              </w:rPr>
              <w:t>5）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  <w:lang w:eastAsia="zh-CN"/>
              </w:rPr>
              <w:t>青、藏等对接帮扶类农产品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  <w:lang w:eastAsia="zh-CN"/>
              </w:rPr>
              <w:t>（特色农产品，助力对口帮扶地区）</w:t>
            </w:r>
          </w:p>
        </w:tc>
        <w:tc>
          <w:tcPr>
            <w:tcW w:w="2146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50" w:beforeAutospacing="0" w:after="0" w:afterAutospacing="0" w:line="360" w:lineRule="auto"/>
              <w:ind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AFAF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不超过2家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60" w:lineRule="auto"/>
        <w:ind w:right="0" w:rightChars="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AFAFA"/>
        </w:rPr>
      </w:pPr>
    </w:p>
    <w:p>
      <w:pPr>
        <w:pStyle w:val="4"/>
        <w:numPr>
          <w:ilvl w:val="0"/>
          <w:numId w:val="2"/>
        </w:numPr>
        <w:spacing w:line="360" w:lineRule="auto"/>
        <w:ind w:firstLine="482" w:firstLineChars="20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Style w:val="20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服务期限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：202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年9月2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日—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日（共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天），供应商需全程驻场提供销售及售后服务。</w:t>
      </w:r>
    </w:p>
    <w:p>
      <w:pPr>
        <w:numPr>
          <w:ilvl w:val="0"/>
          <w:numId w:val="0"/>
        </w:numPr>
        <w:rPr>
          <w:rFonts w:hint="eastAsia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Autospacing="0" w:line="360" w:lineRule="auto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供应商资格要求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1、能够独立承担法律责任；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0" w:firstLineChars="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   2、具有履行合同所必需的设备和专业技术能力；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0" w:firstLineChars="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   3、具有良好的商业信誉和健全的财务会计制度；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0" w:firstLineChars="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   4、有依法缴纳税收和社会保障资金的良好记录；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0" w:firstLineChars="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   5、法律，行政法规规定的其他条件；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360" w:lineRule="auto"/>
        <w:ind w:right="0" w:rightChars="0" w:firstLine="480" w:firstLineChars="200"/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fill="FFFFFF"/>
          <w:lang w:val="en-US" w:eastAsia="zh-CN"/>
        </w:rPr>
        <w:t>6、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fill="FFFFFF"/>
        </w:rPr>
        <w:t>近三年内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（从202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年1月1日开始计）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fill="FFFFFF"/>
        </w:rPr>
        <w:t>在经营活动中无违法、违规记录的证明文件（信用中国网站（www.creditchina.gov.cn）、中国政府采购网（www.ccgp.gov.cn））等政府相关平台公布为准，提供相关截图并加盖公章）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fill="FFFFFF"/>
          <w:lang w:eastAsia="zh-CN"/>
        </w:rPr>
        <w:t>。</w:t>
      </w:r>
    </w:p>
    <w:p>
      <w:pPr>
        <w:spacing w:line="360" w:lineRule="auto"/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</w:pPr>
    </w:p>
    <w:p>
      <w:pPr>
        <w:spacing w:line="360" w:lineRule="auto"/>
        <w:rPr>
          <w:rFonts w:hint="default" w:ascii="宋体" w:hAnsi="宋体" w:eastAsia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  <w:t>四</w:t>
      </w:r>
      <w:r>
        <w:rPr>
          <w:rFonts w:hint="default" w:ascii="宋体" w:hAnsi="宋体" w:eastAsia="宋体"/>
          <w:b/>
          <w:bCs/>
          <w:color w:val="000000"/>
          <w:sz w:val="28"/>
          <w:szCs w:val="28"/>
          <w:lang w:val="en-US" w:eastAsia="zh-CN"/>
        </w:rPr>
        <w:t>、主要商务要求</w:t>
      </w:r>
    </w:p>
    <w:p>
      <w:pPr>
        <w:spacing w:line="360" w:lineRule="auto"/>
        <w:ind w:firstLine="482" w:firstLineChars="200"/>
        <w:rPr>
          <w:rFonts w:hint="eastAsia" w:ascii="宋体" w:hAnsi="宋体"/>
          <w:b/>
          <w:bCs/>
          <w:color w:val="00000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u w:val="single"/>
          <w:lang w:val="en-US" w:eastAsia="zh-CN"/>
        </w:rPr>
        <w:t>▲</w:t>
      </w:r>
      <w:r>
        <w:rPr>
          <w:rFonts w:hint="default" w:ascii="宋体" w:hAnsi="宋体" w:eastAsia="宋体"/>
          <w:b/>
          <w:bCs/>
          <w:color w:val="000000"/>
          <w:sz w:val="24"/>
          <w:szCs w:val="24"/>
          <w:highlight w:val="none"/>
          <w:u w:val="single"/>
          <w:lang w:val="en-US" w:eastAsia="zh-CN"/>
        </w:rPr>
        <w:t>1、</w:t>
      </w:r>
      <w:r>
        <w:rPr>
          <w:rFonts w:hint="eastAsia" w:ascii="宋体" w:hAnsi="宋体"/>
          <w:b/>
          <w:bCs/>
          <w:color w:val="000000"/>
          <w:sz w:val="24"/>
          <w:szCs w:val="24"/>
          <w:highlight w:val="none"/>
          <w:u w:val="single"/>
          <w:lang w:val="en-US" w:eastAsia="zh-CN"/>
        </w:rPr>
        <w:t>提供报价清单</w:t>
      </w:r>
    </w:p>
    <w:p>
      <w:pPr>
        <w:spacing w:line="360" w:lineRule="auto"/>
        <w:ind w:firstLine="960" w:firstLineChars="400"/>
        <w:rPr>
          <w:rFonts w:hint="eastAsia" w:ascii="宋体" w:hAnsi="宋体"/>
          <w:b w:val="0"/>
          <w:bCs w:val="0"/>
          <w:color w:val="00000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sz w:val="24"/>
          <w:szCs w:val="24"/>
          <w:highlight w:val="none"/>
          <w:u w:val="none"/>
          <w:lang w:val="en-US" w:eastAsia="zh-CN"/>
        </w:rPr>
        <w:t>（1）含产品名称、品牌、规格型号、单价等详细信息。</w:t>
      </w:r>
    </w:p>
    <w:p>
      <w:pPr>
        <w:spacing w:line="360" w:lineRule="auto"/>
        <w:ind w:firstLine="960" w:firstLineChars="400"/>
        <w:rPr>
          <w:rFonts w:hint="eastAsia" w:ascii="宋体" w:hAnsi="宋体"/>
          <w:b w:val="0"/>
          <w:bCs w:val="0"/>
          <w:color w:val="00000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sz w:val="24"/>
          <w:szCs w:val="24"/>
          <w:highlight w:val="none"/>
          <w:u w:val="none"/>
          <w:lang w:val="en-US" w:eastAsia="zh-CN"/>
        </w:rPr>
        <w:t>（2）报价一览表。</w:t>
      </w:r>
    </w:p>
    <w:p>
      <w:pPr>
        <w:spacing w:line="360" w:lineRule="auto"/>
        <w:ind w:firstLine="960" w:firstLineChars="400"/>
        <w:rPr>
          <w:rFonts w:hint="eastAsia" w:ascii="宋体" w:hAnsi="宋体"/>
          <w:b w:val="0"/>
          <w:bCs w:val="0"/>
          <w:color w:val="00000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sz w:val="24"/>
          <w:szCs w:val="24"/>
          <w:highlight w:val="none"/>
          <w:u w:val="none"/>
          <w:lang w:val="en-US" w:eastAsia="zh-CN"/>
        </w:rPr>
        <w:t>（3）全部报价均为税后价，投标总价应包括本项目整个服务期所需的一切费用。</w:t>
      </w: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default" w:ascii="宋体" w:hAnsi="宋体" w:eastAsia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  <w:t>2、</w:t>
      </w:r>
      <w:r>
        <w:rPr>
          <w:rFonts w:hint="default" w:ascii="宋体" w:hAnsi="宋体" w:eastAsia="宋体"/>
          <w:b/>
          <w:bCs/>
          <w:color w:val="000000"/>
          <w:sz w:val="24"/>
          <w:szCs w:val="24"/>
          <w:lang w:val="en-US" w:eastAsia="zh-CN"/>
        </w:rPr>
        <w:t>付款方式：</w:t>
      </w:r>
    </w:p>
    <w:p>
      <w:pPr>
        <w:numPr>
          <w:ilvl w:val="0"/>
          <w:numId w:val="0"/>
        </w:numPr>
        <w:spacing w:line="360" w:lineRule="auto"/>
        <w:ind w:firstLine="960" w:firstLineChars="400"/>
        <w:rPr>
          <w:rFonts w:hint="default" w:ascii="宋体" w:hAnsi="宋体" w:eastAsia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宋体" w:hAnsi="宋体" w:eastAsia="宋体"/>
          <w:b w:val="0"/>
          <w:bCs w:val="0"/>
          <w:color w:val="000000"/>
          <w:sz w:val="24"/>
          <w:szCs w:val="24"/>
          <w:lang w:val="en-US" w:eastAsia="zh-CN"/>
        </w:rPr>
        <w:t>根据实际用量按实结算（供货数量×中标单价）。</w:t>
      </w:r>
    </w:p>
    <w:p>
      <w:pPr>
        <w:numPr>
          <w:ilvl w:val="0"/>
          <w:numId w:val="0"/>
        </w:numPr>
        <w:spacing w:line="360" w:lineRule="auto"/>
        <w:ind w:firstLine="960" w:firstLineChars="400"/>
        <w:rPr>
          <w:rFonts w:hint="default" w:ascii="宋体" w:hAnsi="宋体" w:eastAsia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sz w:val="24"/>
          <w:szCs w:val="24"/>
          <w:lang w:val="en-US" w:eastAsia="zh-CN"/>
        </w:rPr>
        <w:t>注：</w:t>
      </w:r>
      <w:r>
        <w:rPr>
          <w:rFonts w:hint="default" w:ascii="宋体" w:hAnsi="宋体" w:eastAsia="宋体"/>
          <w:b w:val="0"/>
          <w:bCs w:val="0"/>
          <w:color w:val="000000"/>
          <w:sz w:val="24"/>
          <w:szCs w:val="24"/>
          <w:lang w:val="en-US" w:eastAsia="zh-CN"/>
        </w:rPr>
        <w:t>结算方式包括：工会提货券结算、食堂饭卡结算、现金结算。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60" w:lineRule="auto"/>
        <w:ind w:right="0" w:rightChars="0" w:firstLine="482" w:firstLineChars="200"/>
        <w:rPr>
          <w:rFonts w:hint="eastAsia" w:ascii="宋体" w:hAnsi="宋体" w:eastAsia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</w:pPr>
      <w:r>
        <w:rPr>
          <w:rStyle w:val="20"/>
          <w:rFonts w:hint="eastAsia" w:ascii="宋体" w:hAnsi="宋体" w:cs="宋体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3、</w:t>
      </w:r>
      <w:r>
        <w:rPr>
          <w:rStyle w:val="20"/>
          <w:rFonts w:hint="eastAsia" w:ascii="宋体" w:hAnsi="宋体" w:eastAsia="宋体" w:cs="宋体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服务能力</w:t>
      </w:r>
      <w:r>
        <w:rPr>
          <w:rFonts w:hint="eastAsia" w:ascii="宋体" w:hAnsi="宋体" w:eastAsia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510" w:leftChars="0" w:right="0" w:rightChars="0" w:firstLine="1440" w:firstLineChars="600"/>
        <w:rPr>
          <w:rFonts w:hint="eastAsia" w:ascii="宋体" w:hAnsi="宋体" w:eastAsia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1）</w:t>
      </w:r>
      <w:r>
        <w:rPr>
          <w:rFonts w:hint="eastAsia" w:ascii="宋体" w:hAnsi="宋体" w:eastAsia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温州市有固定仓储，承诺</w:t>
      </w:r>
      <w:r>
        <w:rPr>
          <w:rFonts w:hint="eastAsia" w:ascii="宋体" w:hAnsi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服务</w:t>
      </w:r>
      <w:r>
        <w:rPr>
          <w:rFonts w:hint="eastAsia" w:ascii="宋体" w:hAnsi="宋体" w:eastAsia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期间每日到货率≥95%，缺货需2小时内补货。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510" w:leftChars="0" w:right="0" w:rightChars="0" w:firstLine="1440" w:firstLineChars="600"/>
        <w:rPr>
          <w:rFonts w:hint="eastAsia" w:ascii="宋体" w:hAnsi="宋体" w:eastAsia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2）</w:t>
      </w:r>
      <w:r>
        <w:rPr>
          <w:rFonts w:hint="eastAsia" w:ascii="宋体" w:hAnsi="宋体" w:eastAsia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相关搭棚、背景牌、氛围布置等费用均由各供应商分摊支付。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0" w:firstLineChars="200"/>
        <w:rPr>
          <w:rFonts w:hint="eastAsia" w:ascii="宋体" w:hAnsi="宋体" w:eastAsia="宋体" w:cs="宋体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D0D0D"/>
          <w:spacing w:val="0"/>
          <w:sz w:val="24"/>
          <w:szCs w:val="24"/>
          <w:u w:val="single"/>
          <w:shd w:val="clear" w:fill="FFFFFF"/>
          <w:lang w:val="en-US" w:eastAsia="zh-CN"/>
        </w:rPr>
        <w:t>▲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质量与价格保证：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510" w:leftChars="0" w:right="0" w:rightChars="0" w:firstLine="1440" w:firstLineChars="600"/>
        <w:rPr>
          <w:rFonts w:hint="eastAsia" w:ascii="宋体" w:hAnsi="宋体" w:eastAsia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1）</w:t>
      </w:r>
      <w:r>
        <w:rPr>
          <w:rFonts w:hint="eastAsia" w:ascii="宋体" w:hAnsi="宋体" w:eastAsia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各供应商需保证物品质量，不得超过市场价格，明示折扣价格。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510" w:leftChars="0" w:right="0" w:rightChars="0" w:firstLine="1440" w:firstLineChars="600"/>
        <w:rPr>
          <w:rFonts w:hint="eastAsia" w:ascii="宋体" w:hAnsi="宋体" w:eastAsia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2）</w:t>
      </w:r>
      <w:r>
        <w:rPr>
          <w:rFonts w:hint="eastAsia" w:ascii="宋体" w:hAnsi="宋体" w:eastAsia="宋体" w:cs="宋体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每家供应商需提供营业执照、签署价格质量保证书。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482" w:firstLineChars="200"/>
        <w:rPr>
          <w:rFonts w:hint="default" w:ascii="宋体" w:hAnsi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5</w:t>
      </w: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、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供应商承诺的其他优惠条款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rPr>
          <w:rFonts w:hint="default" w:ascii="宋体" w:hAnsi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>
      <w:pPr>
        <w:spacing w:line="240" w:lineRule="auto"/>
        <w:rPr>
          <w:rFonts w:hint="eastAsia" w:ascii="新宋体" w:hAnsi="新宋体" w:eastAsia="新宋体" w:cs="新宋体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五、遴选流程说明</w:t>
      </w:r>
    </w:p>
    <w:p>
      <w:pPr>
        <w:spacing w:line="360" w:lineRule="auto"/>
        <w:rPr>
          <w:rFonts w:hint="eastAsia" w:ascii="新宋体" w:hAnsi="新宋体" w:eastAsia="新宋体" w:cs="新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新宋体" w:hAnsi="新宋体" w:eastAsia="新宋体" w:cs="新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1、供应商按本文件要求提交响应文件及报价清单；</w:t>
      </w:r>
    </w:p>
    <w:p>
      <w:pPr>
        <w:spacing w:line="360" w:lineRule="auto"/>
        <w:rPr>
          <w:rFonts w:hint="eastAsia" w:ascii="新宋体" w:hAnsi="新宋体" w:eastAsia="新宋体" w:cs="新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新宋体" w:hAnsi="新宋体" w:eastAsia="新宋体" w:cs="新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2、院内组织专家评审组，依据评分细则进行打分；</w:t>
      </w:r>
    </w:p>
    <w:p>
      <w:pPr>
        <w:spacing w:line="360" w:lineRule="auto"/>
        <w:rPr>
          <w:rFonts w:hint="eastAsia" w:ascii="新宋体" w:hAnsi="新宋体" w:eastAsia="新宋体" w:cs="新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新宋体" w:hAnsi="新宋体" w:eastAsia="新宋体" w:cs="新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3、按得分高低排序，择优确定入选供应商；</w:t>
      </w:r>
    </w:p>
    <w:p>
      <w:pPr>
        <w:spacing w:line="360" w:lineRule="auto"/>
        <w:rPr>
          <w:rFonts w:hint="eastAsia" w:ascii="新宋体" w:hAnsi="新宋体" w:eastAsia="新宋体" w:cs="新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新宋体" w:hAnsi="新宋体" w:eastAsia="新宋体" w:cs="新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4、结果公示后，签订供货协议。</w:t>
      </w:r>
    </w:p>
    <w:p>
      <w:pPr>
        <w:spacing w:line="360" w:lineRule="auto"/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</w:pPr>
    </w:p>
    <w:p>
      <w:pPr>
        <w:spacing w:line="360" w:lineRule="auto"/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</w:pPr>
    </w:p>
    <w:p>
      <w:pPr>
        <w:spacing w:line="360" w:lineRule="auto"/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</w:pPr>
    </w:p>
    <w:p>
      <w:pPr>
        <w:spacing w:line="360" w:lineRule="auto"/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</w:pPr>
    </w:p>
    <w:p>
      <w:pPr>
        <w:spacing w:line="360" w:lineRule="auto"/>
        <w:rPr>
          <w:rFonts w:hint="default" w:eastAsia="宋体"/>
          <w:color w:val="auto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  <w:t>六</w:t>
      </w:r>
      <w:r>
        <w:rPr>
          <w:rFonts w:hint="eastAsia" w:ascii="宋体" w:hAnsi="宋体"/>
          <w:b/>
          <w:bCs/>
          <w:color w:val="auto"/>
          <w:sz w:val="28"/>
          <w:szCs w:val="28"/>
        </w:rPr>
        <w:t>、</w:t>
      </w:r>
      <w:r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  <w:t>报价目录清单</w:t>
      </w:r>
    </w:p>
    <w:p>
      <w:pPr>
        <w:pStyle w:val="4"/>
        <w:spacing w:line="360" w:lineRule="auto"/>
        <w:jc w:val="center"/>
        <w:rPr>
          <w:rFonts w:hint="eastAsia" w:ascii="新宋体" w:hAnsi="新宋体" w:eastAsia="新宋体" w:cs="新宋体"/>
          <w:b w:val="0"/>
          <w:bCs/>
          <w:color w:val="auto"/>
          <w:sz w:val="22"/>
          <w:highlight w:val="none"/>
        </w:rPr>
      </w:pPr>
    </w:p>
    <w:p>
      <w:pPr>
        <w:pStyle w:val="4"/>
        <w:spacing w:line="360" w:lineRule="auto"/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zh-CN"/>
        </w:rPr>
      </w:pPr>
      <w:r>
        <w:rPr>
          <w:rFonts w:hint="eastAsia" w:ascii="新宋体" w:hAnsi="新宋体" w:eastAsia="新宋体" w:cs="新宋体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（一）报价一览表</w:t>
      </w:r>
    </w:p>
    <w:tbl>
      <w:tblPr>
        <w:tblStyle w:val="17"/>
        <w:tblW w:w="11235" w:type="dxa"/>
        <w:tblInd w:w="-8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560"/>
        <w:gridCol w:w="1380"/>
        <w:gridCol w:w="1380"/>
        <w:gridCol w:w="1125"/>
        <w:gridCol w:w="990"/>
        <w:gridCol w:w="1425"/>
        <w:gridCol w:w="825"/>
        <w:gridCol w:w="1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12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20" w:firstLineChars="10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投标的商品类别是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（1）日用品类   （2）床上用品类   （3）食品类   （4）数码产品类   （5）青、藏等对接帮扶类农产品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原单价（元）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扣率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供货单价（元）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72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总计价（元）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eastAsia" w:ascii="新宋体" w:hAnsi="新宋体" w:eastAsia="新宋体" w:cs="新宋体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spacing w:line="360" w:lineRule="auto"/>
        <w:rPr>
          <w:rFonts w:hint="eastAsia" w:ascii="宋体" w:hAnsi="宋体" w:eastAsia="宋体" w:cs="宋体"/>
          <w:b/>
          <w:color w:val="auto"/>
          <w:sz w:val="22"/>
          <w:highlight w:val="none"/>
        </w:rPr>
      </w:pPr>
    </w:p>
    <w:p>
      <w:pPr>
        <w:spacing w:line="360" w:lineRule="auto"/>
        <w:rPr>
          <w:rFonts w:hint="eastAsia" w:ascii="宋体" w:hAnsi="宋体" w:eastAsia="宋体" w:cs="宋体"/>
          <w:b/>
          <w:color w:val="auto"/>
          <w:sz w:val="22"/>
          <w:highlight w:val="none"/>
        </w:rPr>
      </w:pPr>
    </w:p>
    <w:p>
      <w:pPr>
        <w:spacing w:line="360" w:lineRule="auto"/>
        <w:rPr>
          <w:rFonts w:hint="eastAsia" w:ascii="宋体" w:hAnsi="宋体" w:eastAsia="宋体" w:cs="宋体"/>
          <w:b/>
          <w:color w:val="auto"/>
          <w:sz w:val="2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2"/>
          <w:highlight w:val="none"/>
        </w:rPr>
        <w:t>说明：</w:t>
      </w:r>
    </w:p>
    <w:p>
      <w:pPr>
        <w:spacing w:line="360" w:lineRule="auto"/>
        <w:ind w:firstLine="442" w:firstLineChars="200"/>
        <w:rPr>
          <w:rFonts w:hint="eastAsia" w:ascii="宋体" w:hAnsi="宋体" w:eastAsia="宋体" w:cs="宋体"/>
          <w:b/>
          <w:color w:val="auto"/>
          <w:sz w:val="2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2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color w:val="auto"/>
          <w:sz w:val="22"/>
          <w:highlight w:val="none"/>
        </w:rPr>
        <w:t>、全部报价均为税后价。</w:t>
      </w:r>
    </w:p>
    <w:p>
      <w:pPr>
        <w:pStyle w:val="2"/>
        <w:spacing w:line="360" w:lineRule="auto"/>
        <w:ind w:firstLine="442" w:firstLineChars="200"/>
        <w:rPr>
          <w:rFonts w:hint="eastAsia"/>
          <w:color w:val="auto"/>
          <w:sz w:val="22"/>
          <w:szCs w:val="22"/>
        </w:rPr>
      </w:pPr>
      <w:r>
        <w:rPr>
          <w:rFonts w:hint="eastAsia"/>
          <w:color w:val="auto"/>
          <w:sz w:val="22"/>
          <w:szCs w:val="22"/>
          <w:lang w:val="en-US" w:eastAsia="zh-CN"/>
        </w:rPr>
        <w:t>2、</w:t>
      </w:r>
      <w:r>
        <w:rPr>
          <w:rFonts w:hint="eastAsia"/>
          <w:color w:val="auto"/>
          <w:sz w:val="22"/>
          <w:szCs w:val="22"/>
        </w:rPr>
        <w:t>投标总价应包括本项目整个服务期所需的一切设备、材料、软硬件、人工、工具、设备、保险、交通、利润、税金（包含须由投标人承担的各种税费）、其它需投标人承担的费用及潜在可能涉及的一切费用。投标人应认真计算可能发生的各相关费用并计入投标报价内，在项目实施过程中不得藉此要求增加任何费用。如上述没有提及但该项目仍需要的内容，请投标人自行考虑一并计入投标报价中（未计入的，视为投标人的优惠）</w:t>
      </w:r>
    </w:p>
    <w:p>
      <w:pPr>
        <w:pStyle w:val="2"/>
        <w:spacing w:line="360" w:lineRule="auto"/>
        <w:ind w:firstLine="442" w:firstLineChars="200"/>
        <w:rPr>
          <w:rFonts w:hint="eastAsia" w:ascii="宋体" w:hAnsi="宋体" w:eastAsia="宋体" w:cs="宋体"/>
          <w:b/>
          <w:color w:val="auto"/>
          <w:sz w:val="2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2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color w:val="auto"/>
          <w:sz w:val="22"/>
          <w:highlight w:val="none"/>
        </w:rPr>
        <w:t>、不提供此表格将被视为没有实质性响应文件</w:t>
      </w:r>
      <w:r>
        <w:rPr>
          <w:rFonts w:hint="eastAsia" w:ascii="宋体" w:hAnsi="宋体" w:eastAsia="宋体" w:cs="宋体"/>
          <w:b/>
          <w:color w:val="auto"/>
          <w:sz w:val="22"/>
          <w:highlight w:val="none"/>
          <w:lang w:eastAsia="zh-CN"/>
        </w:rPr>
        <w:t>。</w:t>
      </w:r>
    </w:p>
    <w:p>
      <w:pPr>
        <w:spacing w:line="360" w:lineRule="auto"/>
        <w:ind w:firstLine="4400" w:firstLineChars="2000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   供应商全称（盖章）：</w:t>
      </w:r>
    </w:p>
    <w:p>
      <w:pPr>
        <w:spacing w:line="360" w:lineRule="auto"/>
        <w:ind w:firstLine="4400" w:firstLineChars="2000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   供应商代表（签字）：</w:t>
      </w:r>
    </w:p>
    <w:p>
      <w:pPr>
        <w:spacing w:line="360" w:lineRule="auto"/>
        <w:ind w:firstLine="4400" w:firstLineChars="2000"/>
        <w:rPr>
          <w:rFonts w:hint="default" w:ascii="宋体" w:hAnsi="宋体" w:eastAsia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   日  期：   </w:t>
      </w:r>
    </w:p>
    <w:p>
      <w:pPr>
        <w:spacing w:line="360" w:lineRule="auto"/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</w:pPr>
    </w:p>
    <w:p>
      <w:pPr>
        <w:spacing w:line="360" w:lineRule="auto"/>
        <w:rPr>
          <w:rFonts w:hint="default"/>
          <w:color w:val="auto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  <w:t>七</w:t>
      </w:r>
      <w:r>
        <w:rPr>
          <w:rFonts w:hint="eastAsia" w:ascii="宋体" w:hAnsi="宋体"/>
          <w:b/>
          <w:bCs/>
          <w:color w:val="auto"/>
          <w:sz w:val="28"/>
          <w:szCs w:val="28"/>
        </w:rPr>
        <w:t>、</w:t>
      </w:r>
      <w:r>
        <w:rPr>
          <w:rFonts w:hint="eastAsia" w:ascii="宋体" w:hAnsi="宋体"/>
          <w:b/>
          <w:bCs/>
          <w:color w:val="auto"/>
          <w:sz w:val="28"/>
          <w:szCs w:val="28"/>
          <w:lang w:val="en-US" w:eastAsia="zh-CN"/>
        </w:rPr>
        <w:t>评分细则</w:t>
      </w:r>
    </w:p>
    <w:p>
      <w:pPr>
        <w:spacing w:line="360" w:lineRule="auto"/>
        <w:ind w:firstLine="457" w:firstLineChars="196"/>
        <w:rPr>
          <w:rStyle w:val="20"/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4"/>
          <w:sz w:val="24"/>
          <w:szCs w:val="24"/>
        </w:rPr>
        <w:t>（0-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4"/>
          <w:sz w:val="24"/>
          <w:szCs w:val="24"/>
          <w:lang w:val="en-US" w:eastAsia="zh-CN"/>
        </w:rPr>
        <w:t>100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4"/>
          <w:sz w:val="24"/>
          <w:szCs w:val="24"/>
        </w:rPr>
        <w:t>分）</w:t>
      </w:r>
    </w:p>
    <w:tbl>
      <w:tblPr>
        <w:tblStyle w:val="18"/>
        <w:tblW w:w="10075" w:type="dxa"/>
        <w:tblInd w:w="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838"/>
        <w:gridCol w:w="6327"/>
        <w:gridCol w:w="1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</w:rPr>
              <w:t>序号</w:t>
            </w:r>
          </w:p>
        </w:tc>
        <w:tc>
          <w:tcPr>
            <w:tcW w:w="1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  <w:lang w:val="en-US" w:eastAsia="zh-CN"/>
              </w:rPr>
              <w:t>评分内容</w:t>
            </w:r>
          </w:p>
        </w:tc>
        <w:tc>
          <w:tcPr>
            <w:tcW w:w="63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</w:rPr>
              <w:t>评审</w:t>
            </w:r>
            <w:r>
              <w:rPr>
                <w:rFonts w:hint="eastAsia"/>
                <w:b/>
                <w:bCs/>
                <w:color w:val="auto"/>
                <w:sz w:val="22"/>
                <w:szCs w:val="22"/>
                <w:lang w:val="en-US" w:eastAsia="zh-CN"/>
              </w:rPr>
              <w:t>细则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供应商资质</w:t>
            </w:r>
          </w:p>
        </w:tc>
        <w:tc>
          <w:tcPr>
            <w:tcW w:w="6327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根据供应商提供的资质材料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及企业综合实力，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由专家进行打分。（评分范围：30分，25分，20分，15分，10分，5分，0分）未提供不得分。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品类丰富度</w:t>
            </w:r>
          </w:p>
        </w:tc>
        <w:tc>
          <w:tcPr>
            <w:tcW w:w="6327" w:type="dxa"/>
            <w:noWrap w:val="0"/>
            <w:vAlign w:val="center"/>
          </w:tcPr>
          <w:p>
            <w:pPr>
              <w:spacing w:line="360" w:lineRule="auto"/>
              <w:ind w:left="105" w:leftChars="50" w:right="10" w:rightChars="5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根据供应商提供的品类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由专家进行打分。</w:t>
            </w:r>
          </w:p>
          <w:p>
            <w:pPr>
              <w:spacing w:line="360" w:lineRule="auto"/>
              <w:ind w:left="105" w:leftChars="50" w:right="10" w:rightChars="5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（评分范围：30分，25分，20分，15分，10分，5分，0分）未提供不得分。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价格优势</w:t>
            </w:r>
          </w:p>
        </w:tc>
        <w:tc>
          <w:tcPr>
            <w:tcW w:w="63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根据供应商提供的价格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由专家进行打分。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（评分范围：20分，15分，10分，5分，0分）未提供不得分。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质量保障</w:t>
            </w:r>
          </w:p>
        </w:tc>
        <w:tc>
          <w:tcPr>
            <w:tcW w:w="6327" w:type="dxa"/>
            <w:noWrap w:val="0"/>
            <w:vAlign w:val="center"/>
          </w:tcPr>
          <w:p>
            <w:pPr>
              <w:spacing w:line="360" w:lineRule="auto"/>
              <w:ind w:left="105" w:leftChars="50" w:right="10" w:rightChars="5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根据供应商提供的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材料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由专家进行打分。资料齐全得10分，未提供不得分。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right="0" w:rightChars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食品类供应商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：持有《食品经营许可证》或《食品生产许可证》，进口食品需提供报关单及检验检疫证明；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eastAsia="zh-CN"/>
              </w:rPr>
              <w:t>（</w:t>
            </w: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2）</w:t>
            </w: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床上用品类供应商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：需提供产品质检报告（符合GB 18401-2010《国家纺织产品基本安全技术规范》）；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eastAsia="zh-CN"/>
              </w:rPr>
              <w:t>（</w:t>
            </w: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3）</w:t>
            </w: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日用品类供应商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：若涉及进口商品，需提供品牌授权书及海关进口货物报关单。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Style w:val="2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（4）数码产品类供应商：需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提供对应产品第三方质量检测报告及品牌正规授权文件；进口数码产品需额外提供海关进口货物报关单、入境货物检验检疫证明。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shd w:val="clear" w:color="auto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shd w:val="clear" w:color="auto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其他优惠承诺</w:t>
            </w:r>
          </w:p>
        </w:tc>
        <w:tc>
          <w:tcPr>
            <w:tcW w:w="63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根据供应商提供的优惠承诺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由专家进行打分。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（评分范围：10分，8分，6分，4分，2分，0分）未提供不得分。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分</w:t>
            </w:r>
          </w:p>
        </w:tc>
      </w:tr>
    </w:tbl>
    <w:p>
      <w:pPr>
        <w:spacing w:line="240" w:lineRule="auto"/>
        <w:rPr>
          <w:rFonts w:hint="eastAsia" w:ascii="新宋体" w:hAnsi="新宋体" w:eastAsia="新宋体" w:cs="新宋体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4"/>
        <w:spacing w:line="360" w:lineRule="auto"/>
        <w:rPr>
          <w:rFonts w:hint="eastAsia"/>
          <w:color w:val="auto"/>
          <w:lang w:val="en-US" w:eastAsia="zh-CN"/>
        </w:rPr>
      </w:pPr>
    </w:p>
    <w:p>
      <w:pPr>
        <w:spacing w:line="360" w:lineRule="auto"/>
        <w:rPr>
          <w:rFonts w:hint="eastAsia"/>
          <w:color w:val="auto"/>
          <w:lang w:val="en-US" w:eastAsia="zh-CN"/>
        </w:rPr>
      </w:pPr>
    </w:p>
    <w:p>
      <w:pPr>
        <w:spacing w:line="360" w:lineRule="auto"/>
        <w:rPr>
          <w:rFonts w:hint="eastAsia"/>
          <w:color w:val="auto"/>
          <w:lang w:val="en-US" w:eastAsia="zh-CN"/>
        </w:rPr>
      </w:pPr>
    </w:p>
    <w:p>
      <w:pPr>
        <w:spacing w:line="360" w:lineRule="auto"/>
        <w:rPr>
          <w:rFonts w:hint="eastAsia"/>
          <w:color w:val="auto"/>
          <w:lang w:val="en-US" w:eastAsia="zh-CN"/>
        </w:rPr>
      </w:pPr>
    </w:p>
    <w:p>
      <w:pPr>
        <w:pStyle w:val="10"/>
        <w:spacing w:line="360" w:lineRule="auto"/>
        <w:ind w:left="0" w:leftChars="0" w:firstLine="0" w:firstLineChars="0"/>
        <w:rPr>
          <w:rFonts w:hint="eastAsia"/>
          <w:color w:val="auto"/>
        </w:rPr>
      </w:pPr>
    </w:p>
    <w:p>
      <w:pPr>
        <w:pStyle w:val="10"/>
        <w:spacing w:line="360" w:lineRule="auto"/>
        <w:rPr>
          <w:rFonts w:hint="eastAsia"/>
          <w:color w:val="auto"/>
        </w:rPr>
      </w:pPr>
    </w:p>
    <w:p>
      <w:pPr>
        <w:pStyle w:val="10"/>
        <w:spacing w:line="360" w:lineRule="auto"/>
        <w:rPr>
          <w:rFonts w:hint="eastAsia"/>
          <w:color w:val="auto"/>
        </w:rPr>
      </w:pPr>
    </w:p>
    <w:p>
      <w:pPr>
        <w:pStyle w:val="10"/>
        <w:spacing w:line="360" w:lineRule="auto"/>
        <w:rPr>
          <w:rFonts w:hint="eastAsia"/>
          <w:color w:val="auto"/>
        </w:rPr>
      </w:pPr>
    </w:p>
    <w:p>
      <w:pPr>
        <w:pStyle w:val="10"/>
        <w:spacing w:line="360" w:lineRule="auto"/>
        <w:rPr>
          <w:rFonts w:hint="eastAsia"/>
          <w:color w:val="auto"/>
        </w:rPr>
      </w:pPr>
    </w:p>
    <w:p>
      <w:pPr>
        <w:pStyle w:val="10"/>
        <w:spacing w:line="360" w:lineRule="auto"/>
        <w:ind w:left="0" w:leftChars="0" w:firstLine="0" w:firstLineChars="0"/>
        <w:rPr>
          <w:rFonts w:hint="eastAsia"/>
          <w:color w:val="auto"/>
        </w:rPr>
      </w:pPr>
    </w:p>
    <w:p>
      <w:pPr>
        <w:pStyle w:val="10"/>
        <w:spacing w:line="360" w:lineRule="auto"/>
        <w:ind w:left="0" w:leftChars="0" w:firstLine="0" w:firstLineChars="0"/>
        <w:rPr>
          <w:rFonts w:hint="eastAsia"/>
          <w:color w:val="auto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color w:val="auto"/>
          <w:sz w:val="24"/>
        </w:rPr>
      </w:pPr>
    </w:p>
    <w:p>
      <w:pPr>
        <w:spacing w:line="360" w:lineRule="auto"/>
        <w:rPr>
          <w:rFonts w:hint="eastAsia"/>
          <w:color w:val="auto"/>
        </w:rPr>
      </w:pPr>
    </w:p>
    <w:sectPr>
      <w:footerReference r:id="rId3" w:type="default"/>
      <w:pgSz w:w="11906" w:h="16838"/>
      <w:pgMar w:top="850" w:right="1236" w:bottom="85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pStyle w:val="12"/>
                  <w:jc w:val="center"/>
                </w:pPr>
                <w:r>
                  <w:fldChar w:fldCharType="begin"/>
                </w:r>
                <w:r>
                  <w:instrText xml:space="preserve">PAGE   \* MERGEFORMAT</w:instrText>
                </w:r>
                <w:r>
                  <w:fldChar w:fldCharType="separate"/>
                </w:r>
                <w:r>
                  <w:rPr>
                    <w:lang w:val="zh-CN"/>
                  </w:rPr>
                  <w:t>40</w:t>
                </w:r>
                <w:r>
                  <w:rPr>
                    <w:lang w:val="zh-CN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9DE0ED"/>
    <w:multiLevelType w:val="singleLevel"/>
    <w:tmpl w:val="A49DE0ED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1B7D36BF"/>
    <w:multiLevelType w:val="singleLevel"/>
    <w:tmpl w:val="1B7D36B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D497C9E"/>
    <w:multiLevelType w:val="multilevel"/>
    <w:tmpl w:val="5D497C9E"/>
    <w:lvl w:ilvl="0" w:tentative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default" w:ascii="Times New Roman" w:hAnsi="Times New Roman" w:eastAsia="黑体"/>
        <w:b/>
        <w:i w:val="0"/>
        <w:sz w:val="32"/>
        <w:szCs w:val="32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IzN2FlZGQyNmExMDc1YTc1OWIxYmFlNmE1NTFhMTUifQ=="/>
  </w:docVars>
  <w:rsids>
    <w:rsidRoot w:val="442D7AA8"/>
    <w:rsid w:val="000838A3"/>
    <w:rsid w:val="0029760C"/>
    <w:rsid w:val="003D41C7"/>
    <w:rsid w:val="003E091A"/>
    <w:rsid w:val="00537F7B"/>
    <w:rsid w:val="005D6C7D"/>
    <w:rsid w:val="0077449E"/>
    <w:rsid w:val="009C732C"/>
    <w:rsid w:val="00A81427"/>
    <w:rsid w:val="00BD504C"/>
    <w:rsid w:val="00DB7EDC"/>
    <w:rsid w:val="00FA6B75"/>
    <w:rsid w:val="03BC4EA5"/>
    <w:rsid w:val="03C84B20"/>
    <w:rsid w:val="04B15D87"/>
    <w:rsid w:val="05F84806"/>
    <w:rsid w:val="061E2864"/>
    <w:rsid w:val="076646E5"/>
    <w:rsid w:val="084B5379"/>
    <w:rsid w:val="09CB578A"/>
    <w:rsid w:val="0F427144"/>
    <w:rsid w:val="0F9C6A6C"/>
    <w:rsid w:val="0FBF2E5A"/>
    <w:rsid w:val="1124087B"/>
    <w:rsid w:val="148D1503"/>
    <w:rsid w:val="156A53A0"/>
    <w:rsid w:val="15F0193F"/>
    <w:rsid w:val="16586A57"/>
    <w:rsid w:val="16EF2001"/>
    <w:rsid w:val="17B96491"/>
    <w:rsid w:val="18274052"/>
    <w:rsid w:val="1B951E05"/>
    <w:rsid w:val="1CA644AD"/>
    <w:rsid w:val="1ED3428B"/>
    <w:rsid w:val="203F5CE6"/>
    <w:rsid w:val="204B32BB"/>
    <w:rsid w:val="2195168A"/>
    <w:rsid w:val="21FD27B9"/>
    <w:rsid w:val="252A6495"/>
    <w:rsid w:val="25900E53"/>
    <w:rsid w:val="26614AE7"/>
    <w:rsid w:val="26A36964"/>
    <w:rsid w:val="26D9654C"/>
    <w:rsid w:val="2A061B01"/>
    <w:rsid w:val="2A6B7798"/>
    <w:rsid w:val="2A6D24D2"/>
    <w:rsid w:val="2C0B329E"/>
    <w:rsid w:val="2DCF6290"/>
    <w:rsid w:val="2EE23DA1"/>
    <w:rsid w:val="31C16B04"/>
    <w:rsid w:val="32E87DD1"/>
    <w:rsid w:val="33F15215"/>
    <w:rsid w:val="35584BB1"/>
    <w:rsid w:val="358E6172"/>
    <w:rsid w:val="368048EA"/>
    <w:rsid w:val="36F20F59"/>
    <w:rsid w:val="36FF0897"/>
    <w:rsid w:val="38473A9D"/>
    <w:rsid w:val="38620F4A"/>
    <w:rsid w:val="3A5C534F"/>
    <w:rsid w:val="3AA307AA"/>
    <w:rsid w:val="3D4A148F"/>
    <w:rsid w:val="3D766728"/>
    <w:rsid w:val="3F351791"/>
    <w:rsid w:val="40372723"/>
    <w:rsid w:val="42417305"/>
    <w:rsid w:val="43F47C2B"/>
    <w:rsid w:val="442D7AA8"/>
    <w:rsid w:val="45043178"/>
    <w:rsid w:val="45B222C8"/>
    <w:rsid w:val="46AB0BAA"/>
    <w:rsid w:val="4AB364B3"/>
    <w:rsid w:val="4B2C08F7"/>
    <w:rsid w:val="4B86017E"/>
    <w:rsid w:val="4BB26B7D"/>
    <w:rsid w:val="4F835253"/>
    <w:rsid w:val="50014B90"/>
    <w:rsid w:val="50430A48"/>
    <w:rsid w:val="51776B88"/>
    <w:rsid w:val="52957526"/>
    <w:rsid w:val="539C47DE"/>
    <w:rsid w:val="55EC6C0D"/>
    <w:rsid w:val="57A36574"/>
    <w:rsid w:val="58D72375"/>
    <w:rsid w:val="5A1D1FAE"/>
    <w:rsid w:val="5D2B41A3"/>
    <w:rsid w:val="5DAF6DF6"/>
    <w:rsid w:val="5EEC01A1"/>
    <w:rsid w:val="61165EE3"/>
    <w:rsid w:val="61E865CA"/>
    <w:rsid w:val="63750765"/>
    <w:rsid w:val="64607667"/>
    <w:rsid w:val="64F466B7"/>
    <w:rsid w:val="654C0859"/>
    <w:rsid w:val="658A4855"/>
    <w:rsid w:val="65B0017A"/>
    <w:rsid w:val="66656400"/>
    <w:rsid w:val="677734BF"/>
    <w:rsid w:val="685D2E0A"/>
    <w:rsid w:val="68EA35C9"/>
    <w:rsid w:val="6AD77E43"/>
    <w:rsid w:val="6FA3415F"/>
    <w:rsid w:val="712E3A4E"/>
    <w:rsid w:val="71BA3A22"/>
    <w:rsid w:val="71CD3E62"/>
    <w:rsid w:val="724D0AFE"/>
    <w:rsid w:val="72E83474"/>
    <w:rsid w:val="72F62F44"/>
    <w:rsid w:val="75A35A24"/>
    <w:rsid w:val="78362761"/>
    <w:rsid w:val="78BC52C2"/>
    <w:rsid w:val="79F966D5"/>
    <w:rsid w:val="7D531607"/>
    <w:rsid w:val="7DBF4FA6"/>
    <w:rsid w:val="7E036272"/>
    <w:rsid w:val="7E325778"/>
    <w:rsid w:val="7E7A2C7B"/>
    <w:rsid w:val="7EEE556E"/>
    <w:rsid w:val="7EFA0DDF"/>
    <w:rsid w:val="7F0817C6"/>
    <w:rsid w:val="7FAE61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autoRedefine/>
    <w:qFormat/>
    <w:uiPriority w:val="9"/>
    <w:pPr>
      <w:keepNext/>
      <w:keepLines/>
      <w:tabs>
        <w:tab w:val="left" w:pos="840"/>
      </w:tabs>
      <w:adjustRightInd w:val="0"/>
      <w:snapToGrid w:val="0"/>
      <w:spacing w:line="360" w:lineRule="auto"/>
      <w:outlineLvl w:val="0"/>
    </w:pPr>
    <w:rPr>
      <w:rFonts w:ascii="宋体"/>
      <w:b/>
      <w:kern w:val="44"/>
      <w:sz w:val="2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next w:val="1"/>
    <w:autoRedefine/>
    <w:qFormat/>
    <w:uiPriority w:val="0"/>
    <w:pPr>
      <w:keepNext/>
      <w:keepLines/>
      <w:numPr>
        <w:ilvl w:val="3"/>
        <w:numId w:val="1"/>
      </w:numPr>
      <w:spacing w:line="540" w:lineRule="atLeast"/>
      <w:outlineLvl w:val="3"/>
    </w:pPr>
    <w:rPr>
      <w:sz w:val="28"/>
      <w:szCs w:val="28"/>
    </w:rPr>
  </w:style>
  <w:style w:type="character" w:default="1" w:styleId="19">
    <w:name w:val="Default Paragraph Font"/>
    <w:autoRedefine/>
    <w:semiHidden/>
    <w:unhideWhenUsed/>
    <w:qFormat/>
    <w:uiPriority w:val="1"/>
  </w:style>
  <w:style w:type="table" w:default="1" w:styleId="1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autoRedefine/>
    <w:qFormat/>
    <w:uiPriority w:val="0"/>
    <w:pPr>
      <w:ind w:firstLine="420"/>
    </w:pPr>
    <w:rPr>
      <w:szCs w:val="20"/>
    </w:rPr>
  </w:style>
  <w:style w:type="paragraph" w:styleId="6">
    <w:name w:val="Body Text"/>
    <w:basedOn w:val="1"/>
    <w:next w:val="7"/>
    <w:autoRedefine/>
    <w:qFormat/>
    <w:uiPriority w:val="0"/>
    <w:pPr>
      <w:spacing w:after="120" w:afterLines="0"/>
    </w:pPr>
  </w:style>
  <w:style w:type="paragraph" w:styleId="7">
    <w:name w:val="Body Text First Indent"/>
    <w:basedOn w:val="6"/>
    <w:next w:val="8"/>
    <w:autoRedefine/>
    <w:qFormat/>
    <w:uiPriority w:val="0"/>
    <w:pPr>
      <w:ind w:firstLine="420" w:firstLineChars="100"/>
    </w:pPr>
    <w:rPr>
      <w:b/>
      <w:bCs/>
      <w:szCs w:val="24"/>
    </w:rPr>
  </w:style>
  <w:style w:type="paragraph" w:styleId="8">
    <w:name w:val="toc 6"/>
    <w:basedOn w:val="1"/>
    <w:next w:val="1"/>
    <w:autoRedefine/>
    <w:qFormat/>
    <w:uiPriority w:val="0"/>
    <w:pPr>
      <w:ind w:left="2100" w:leftChars="1000"/>
    </w:pPr>
  </w:style>
  <w:style w:type="paragraph" w:styleId="9">
    <w:name w:val="Body Text Indent"/>
    <w:basedOn w:val="1"/>
    <w:next w:val="10"/>
    <w:autoRedefine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  <w14:ligatures w14:val="none"/>
    </w:rPr>
  </w:style>
  <w:style w:type="paragraph" w:styleId="10">
    <w:name w:val="Body Text First Indent 2"/>
    <w:basedOn w:val="9"/>
    <w:autoRedefine/>
    <w:qFormat/>
    <w:uiPriority w:val="0"/>
    <w:pPr>
      <w:spacing w:after="120"/>
      <w:ind w:left="420" w:leftChars="200" w:firstLine="420"/>
    </w:pPr>
    <w:rPr>
      <w:rFonts w:cs="宋体"/>
      <w:sz w:val="21"/>
      <w:szCs w:val="21"/>
    </w:rPr>
  </w:style>
  <w:style w:type="paragraph" w:styleId="11">
    <w:name w:val="Plain Text"/>
    <w:basedOn w:val="1"/>
    <w:autoRedefine/>
    <w:qFormat/>
    <w:uiPriority w:val="0"/>
    <w:pPr>
      <w:spacing w:beforeLines="50" w:afterLines="50" w:line="400" w:lineRule="exact"/>
    </w:pPr>
    <w:rPr>
      <w:rFonts w:ascii="宋体" w:hAnsi="Courier New"/>
      <w:sz w:val="24"/>
    </w:rPr>
  </w:style>
  <w:style w:type="paragraph" w:styleId="12">
    <w:name w:val="footer"/>
    <w:basedOn w:val="1"/>
    <w:link w:val="2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autoRedefine/>
    <w:qFormat/>
    <w:uiPriority w:val="39"/>
    <w:pPr>
      <w:spacing w:before="120" w:after="120" w:line="360" w:lineRule="auto"/>
      <w:jc w:val="left"/>
    </w:pPr>
    <w:rPr>
      <w:b/>
      <w:bCs/>
      <w:caps/>
      <w:sz w:val="24"/>
      <w:szCs w:val="20"/>
    </w:rPr>
  </w:style>
  <w:style w:type="paragraph" w:styleId="15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autoRedefine/>
    <w:qFormat/>
    <w:uiPriority w:val="0"/>
    <w:pPr>
      <w:jc w:val="center"/>
    </w:pPr>
    <w:rPr>
      <w:rFonts w:ascii="Arial" w:hAnsi="Arial" w:eastAsia="宋体"/>
      <w:b/>
      <w:kern w:val="0"/>
      <w:sz w:val="36"/>
      <w:szCs w:val="20"/>
      <w:lang w:eastAsia="en-US"/>
      <w14:ligatures w14:val="none"/>
    </w:rPr>
  </w:style>
  <w:style w:type="table" w:styleId="18">
    <w:name w:val="Table Grid"/>
    <w:autoRedefine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autoRedefine/>
    <w:qFormat/>
    <w:uiPriority w:val="22"/>
    <w:rPr>
      <w:b/>
    </w:rPr>
  </w:style>
  <w:style w:type="character" w:styleId="21">
    <w:name w:val="page number"/>
    <w:autoRedefine/>
    <w:qFormat/>
    <w:uiPriority w:val="0"/>
  </w:style>
  <w:style w:type="paragraph" w:customStyle="1" w:styleId="22">
    <w:name w:val="BodyText1I"/>
    <w:basedOn w:val="23"/>
    <w:autoRedefine/>
    <w:qFormat/>
    <w:uiPriority w:val="0"/>
    <w:pPr>
      <w:ind w:firstLine="420" w:firstLineChars="100"/>
    </w:pPr>
  </w:style>
  <w:style w:type="paragraph" w:customStyle="1" w:styleId="23">
    <w:name w:val="BodyText"/>
    <w:basedOn w:val="1"/>
    <w:autoRedefine/>
    <w:qFormat/>
    <w:uiPriority w:val="0"/>
    <w:pPr>
      <w:spacing w:after="120"/>
    </w:pPr>
  </w:style>
  <w:style w:type="paragraph" w:customStyle="1" w:styleId="24">
    <w:name w:val="表格文字"/>
    <w:basedOn w:val="1"/>
    <w:next w:val="6"/>
    <w:autoRedefine/>
    <w:qFormat/>
    <w:uiPriority w:val="0"/>
    <w:pPr>
      <w:autoSpaceDE w:val="0"/>
      <w:autoSpaceDN w:val="0"/>
      <w:adjustRightInd w:val="0"/>
      <w:spacing w:line="420" w:lineRule="atLeast"/>
      <w:jc w:val="left"/>
      <w:textAlignment w:val="baseline"/>
    </w:pPr>
    <w:rPr>
      <w:rFonts w:hAnsi="宋体" w:cs="宋体"/>
      <w:kern w:val="0"/>
      <w:sz w:val="22"/>
      <w:lang w:val="zh-CN" w:bidi="zh-CN"/>
    </w:rPr>
  </w:style>
  <w:style w:type="character" w:customStyle="1" w:styleId="25">
    <w:name w:val="页眉 Char"/>
    <w:basedOn w:val="19"/>
    <w:link w:val="13"/>
    <w:autoRedefine/>
    <w:qFormat/>
    <w:uiPriority w:val="0"/>
    <w:rPr>
      <w:kern w:val="2"/>
      <w:sz w:val="18"/>
      <w:szCs w:val="18"/>
    </w:rPr>
  </w:style>
  <w:style w:type="character" w:customStyle="1" w:styleId="26">
    <w:name w:val="页脚 Char"/>
    <w:basedOn w:val="19"/>
    <w:link w:val="12"/>
    <w:autoRedefine/>
    <w:qFormat/>
    <w:uiPriority w:val="0"/>
    <w:rPr>
      <w:kern w:val="2"/>
      <w:sz w:val="18"/>
      <w:szCs w:val="18"/>
    </w:rPr>
  </w:style>
  <w:style w:type="paragraph" w:styleId="27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列出段落1"/>
    <w:basedOn w:val="1"/>
    <w:autoRedefine/>
    <w:qFormat/>
    <w:uiPriority w:val="0"/>
    <w:pPr>
      <w:widowControl/>
      <w:spacing w:after="160" w:line="360" w:lineRule="auto"/>
      <w:ind w:left="720"/>
      <w:contextualSpacing/>
      <w:jc w:val="left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1256</Words>
  <Characters>1380</Characters>
  <Lines>17</Lines>
  <Paragraphs>4</Paragraphs>
  <TotalTime>4</TotalTime>
  <ScaleCrop>false</ScaleCrop>
  <LinksUpToDate>false</LinksUpToDate>
  <CharactersWithSpaces>1434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2019-08-15T01:42:00Z</dcterms:created>
  <dc:creator>小米</dc:creator>
  <cp:lastModifiedBy>市渔业应急处置指挥中心</cp:lastModifiedBy>
  <dcterms:modified xsi:type="dcterms:W3CDTF">2026-07-28T08:20:21Z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BDC350B777C44DFDACB8FBB696258D1E</vt:lpwstr>
  </property>
  <property fmtid="{D5CDD505-2E9C-101B-9397-08002B2CF9AE}" pid="4" name="KSOTemplateDocerSaveRecord">
    <vt:lpwstr>eyJoZGlkIjoiZTcwYjdjZTY2MjJkNTk4NzcyYWMyMGMwYzg0NmRhOWIiLCJ1c2VySWQiOiIxNTcyMDg2MjQxIn0=</vt:lpwstr>
  </property>
</Properties>
</file>