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w:t>
      </w:r>
      <w:r>
        <w:rPr>
          <w:rStyle w:val="16"/>
          <w:rFonts w:hint="eastAsia" w:asciiTheme="minorEastAsia" w:hAnsiTheme="minorEastAsia" w:cstheme="minorEastAsia"/>
          <w:b/>
          <w:bCs/>
          <w:sz w:val="36"/>
          <w:szCs w:val="36"/>
          <w:lang w:val="en-US" w:eastAsia="zh-CN"/>
        </w:rPr>
        <w:t>于内镜清洗机</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项目名称:内镜清洗机</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2026-sb-cg-010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内镜清洗机</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7</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下</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14</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bookmarkStart w:id="0" w:name="_GoBack"/>
      <w:bookmarkEnd w:id="0"/>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r>
        <w:rPr>
          <w:rFonts w:hint="eastAsia" w:asciiTheme="minorEastAsia" w:hAnsiTheme="minorEastAsia" w:cstheme="minorEastAsia"/>
          <w:sz w:val="21"/>
          <w:szCs w:val="21"/>
          <w:lang w:eastAsia="zh-CN"/>
        </w:rPr>
        <w:t>（如科研实验器械提供相关证明）</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序号</w:t>
            </w:r>
          </w:p>
        </w:tc>
        <w:tc>
          <w:tcPr>
            <w:tcW w:w="3620"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招标要求</w:t>
            </w:r>
          </w:p>
        </w:tc>
        <w:tc>
          <w:tcPr>
            <w:tcW w:w="676" w:type="pct"/>
            <w:shd w:val="clear" w:color="auto" w:fill="CCCCCC"/>
            <w:noWrap w:val="0"/>
            <w:vAlign w:val="center"/>
          </w:tcPr>
          <w:p>
            <w:pPr>
              <w:pStyle w:val="30"/>
              <w:jc w:val="center"/>
              <w:rPr>
                <w:rStyle w:val="29"/>
                <w:rFonts w:ascii="Times New Roman" w:hAnsi="Times New Roman"/>
                <w:bCs w:val="0"/>
                <w:sz w:val="24"/>
                <w:szCs w:val="24"/>
              </w:rPr>
            </w:pPr>
            <w:r>
              <w:rPr>
                <w:rStyle w:val="29"/>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Times New Roman"/>
                <w:kern w:val="2"/>
                <w:sz w:val="21"/>
                <w:szCs w:val="21"/>
                <w:highlight w:val="none"/>
                <w:lang w:val="en-US" w:eastAsia="zh-CN" w:bidi="ar-SA"/>
              </w:rPr>
            </w:pPr>
            <w:r>
              <w:rPr>
                <w:rFonts w:hint="eastAsia" w:ascii="宋体" w:hAnsi="宋体" w:cs="宋体"/>
                <w:b/>
                <w:szCs w:val="21"/>
              </w:rPr>
              <w:t>一</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szCs w:val="21"/>
              </w:rPr>
              <w:t>总体要求：</w:t>
            </w:r>
            <w:r>
              <w:rPr>
                <w:rFonts w:hint="eastAsia" w:ascii="宋体" w:hAnsi="宋体" w:eastAsia="宋体" w:cs="宋体"/>
                <w:b w:val="0"/>
                <w:bCs w:val="0"/>
                <w:color w:val="auto"/>
                <w:sz w:val="21"/>
                <w:szCs w:val="21"/>
                <w:lang w:val="en-US" w:eastAsia="zh-CN"/>
              </w:rPr>
              <w:t>内镜清洗机一套</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新宋体" w:cs="宋体"/>
                <w:kern w:val="2"/>
                <w:sz w:val="21"/>
                <w:szCs w:val="21"/>
                <w:highlight w:val="none"/>
                <w:lang w:val="en-US" w:eastAsia="zh-CN" w:bidi="ar-SA"/>
              </w:rPr>
            </w:pPr>
            <w:r>
              <w:rPr>
                <w:rFonts w:hint="eastAsia" w:ascii="宋体" w:hAnsi="宋体" w:eastAsia="新宋体" w:cs="宋体"/>
                <w:color w:val="000000"/>
                <w:szCs w:val="21"/>
                <w:lang w:val="en-US" w:eastAsia="zh-CN"/>
              </w:rPr>
              <w:t>1</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rPr>
              <w:t>设备具有二类医疗器械注册证</w:t>
            </w:r>
            <w:r>
              <w:rPr>
                <w:rFonts w:hint="eastAsia"/>
                <w:lang w:eastAsia="zh-CN"/>
              </w:rPr>
              <w:t>，</w:t>
            </w:r>
            <w:r>
              <w:rPr>
                <w:rFonts w:hint="eastAsia"/>
              </w:rPr>
              <w:t>提供二类医疗器械注册证证明材料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Cs w:val="21"/>
                <w:lang w:val="en-US" w:eastAsia="zh-CN"/>
              </w:rPr>
              <w:t>2</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rPr>
              <w:t>生产厂家为国家食品药品监督管理总局发布的中国医药行业标准YY0992-2023《内镜清洗工作站》主要起草单位之一；提供行业标准YY0992-2023复印件证明材料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jc w:val="center"/>
              <w:rPr>
                <w:rFonts w:hint="eastAsia" w:ascii="宋体" w:hAnsi="宋体" w:eastAsia="宋体" w:cs="宋体"/>
                <w:kern w:val="2"/>
                <w:sz w:val="21"/>
                <w:szCs w:val="21"/>
                <w:highlight w:val="none"/>
                <w:lang w:val="en-US" w:eastAsia="zh-CN" w:bidi="ar-SA"/>
              </w:rPr>
            </w:pPr>
            <w:r>
              <w:rPr>
                <w:rFonts w:hint="eastAsia" w:ascii="宋体" w:hAnsi="宋体" w:cs="宋体"/>
                <w:b/>
                <w:bCs/>
                <w:color w:val="000000"/>
                <w:szCs w:val="21"/>
              </w:rPr>
              <w:t>二</w:t>
            </w:r>
          </w:p>
        </w:tc>
        <w:tc>
          <w:tcPr>
            <w:tcW w:w="3620" w:type="pct"/>
            <w:noWrap w:val="0"/>
            <w:vAlign w:val="center"/>
          </w:tcPr>
          <w:p>
            <w:pPr>
              <w:rPr>
                <w:rFonts w:hint="eastAsia" w:ascii="宋体" w:hAnsi="宋体" w:eastAsia="宋体" w:cs="宋体"/>
                <w:b w:val="0"/>
                <w:bCs w:val="0"/>
                <w:kern w:val="2"/>
                <w:sz w:val="21"/>
                <w:szCs w:val="21"/>
                <w:highlight w:val="none"/>
                <w:lang w:val="en-US" w:eastAsia="zh-CN" w:bidi="ar-SA"/>
              </w:rPr>
            </w:pPr>
            <w:r>
              <w:rPr>
                <w:rFonts w:hint="eastAsia" w:ascii="宋体" w:hAnsi="宋体" w:cs="宋体"/>
                <w:b/>
                <w:color w:val="000000"/>
                <w:szCs w:val="21"/>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台面、清洗槽、功能背板、干燥台：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1"/>
                <w:szCs w:val="21"/>
              </w:rPr>
              <w:t>1.1</w:t>
            </w:r>
          </w:p>
          <w:p>
            <w:pPr>
              <w:pStyle w:val="20"/>
              <w:jc w:val="center"/>
              <w:rPr>
                <w:rFonts w:hint="eastAsia" w:ascii="微软雅黑" w:hAnsi="微软雅黑" w:eastAsia="微软雅黑" w:cs="微软雅黑"/>
                <w:sz w:val="21"/>
                <w:szCs w:val="21"/>
                <w:lang w:val="en-US" w:eastAsia="zh-CN"/>
              </w:rPr>
            </w:pP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材质要求：采用进口高分子复合材料（ABS+亚克力PMMA）整体热合吸塑成型，原板材厚度≥5MM，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清洗槽形状要求：清洗槽采用“前后高中间低”的大圆弧防泛水设计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1.3</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干燥台形状要求：干燥台采用内凹式平台圆弧设计，干燥平台台面设计有圆形凸起，干燥平台台面低于前端，并且在干燥台前端设计有半径≥100MM的大圆弧</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1.4</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功能背板形状材质要求：背板采用与清洗槽相同的材质，非碳钢或不锈钢烤漆材质</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 xml:space="preserve">清洗槽规格尺寸要求：双方槽：外形尺寸≤长1000mm×宽750mm，内径≥长420mm×宽450mm×深200mm；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1.7</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干燥台规格尺寸要求：外形尺寸≤长1500mm×宽750mm；</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柜体：</w:t>
            </w:r>
            <w:r>
              <w:rPr>
                <w:rFonts w:hint="eastAsia"/>
              </w:rPr>
              <w:tab/>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支架材质要求：采选用全优质不锈钢材质焊接框架，框架厚度≥1.2mm，厚点修磨，高≥800mm，符合人性化设计，禁止使用铝合金型材连接框架，杜绝连接件松动带来的安全隐患。</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0"/>
              <w:jc w:val="center"/>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柜门材质要求：采用彩色钢化玻璃，具有环保、防火、防潮、防划伤、耐腐蚀、易清洁不变形等特点，柜门采用上挡板和下柜门分体设计，更美观，非整体柜门设计；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供气系统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shd w:val="clear" w:color="auto" w:fill="auto"/>
            <w:noWrap w:val="0"/>
            <w:vAlign w:val="center"/>
          </w:tcPr>
          <w:p>
            <w:pPr>
              <w:keepNext w:val="0"/>
              <w:keepLines w:val="0"/>
              <w:widowControl/>
              <w:suppressLineNumbers w:val="0"/>
              <w:jc w:val="center"/>
              <w:textAlignment w:val="center"/>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3.1</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医用无油空气压缩机</w:t>
            </w:r>
            <w:r>
              <w:rPr>
                <w:rFonts w:hint="eastAsia"/>
                <w:lang w:eastAsia="zh-CN"/>
              </w:rPr>
              <w:t>：</w:t>
            </w:r>
            <w:r>
              <w:rPr>
                <w:rFonts w:hint="eastAsia"/>
              </w:rPr>
              <w:t>采用医用低噪音无油空压机，有主动散热、自动排水功能，储气罐带内喷，防止罐体积水生锈，供气压力≥0.7MPa ，供气量≥120L/min ，储气量≥30L，  噪音≦60dB， 电压：220V ，输出功率≤750W；</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3.2</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kern w:val="2"/>
                <w:sz w:val="21"/>
                <w:szCs w:val="21"/>
                <w:highlight w:val="none"/>
                <w:lang w:val="en-US" w:eastAsia="zh-CN" w:bidi="ar-SA"/>
              </w:rPr>
            </w:pPr>
            <w:r>
              <w:rPr>
                <w:rFonts w:hint="eastAsia"/>
              </w:rPr>
              <w:t>医用无油空气压缩机与工作站主体为同一生产厂家，以便及时提供其相关售后保养服务。</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7081" w:type="dxa"/>
            <w:noWrap w:val="0"/>
            <w:vAlign w:val="center"/>
          </w:tcPr>
          <w:p>
            <w:pPr>
              <w:snapToGrid w:val="0"/>
              <w:spacing w:line="300" w:lineRule="auto"/>
              <w:jc w:val="left"/>
              <w:rPr>
                <w:rFonts w:hint="default" w:ascii="宋体" w:hAnsi="宋体" w:eastAsia="宋体" w:cs="宋体"/>
                <w:sz w:val="21"/>
                <w:szCs w:val="21"/>
                <w:lang w:val="en-US"/>
              </w:rPr>
            </w:pPr>
            <w:r>
              <w:rPr>
                <w:rFonts w:hint="eastAsia" w:ascii="宋体" w:hAnsi="宋体" w:cs="宋体"/>
                <w:b w:val="0"/>
                <w:kern w:val="2"/>
                <w:sz w:val="21"/>
                <w:szCs w:val="21"/>
                <w:u w:val="none"/>
                <w:lang w:val="en-US" w:eastAsia="zh-CN" w:bidi="ar-SA"/>
              </w:rPr>
              <w:t>清洗槽2套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7081" w:type="dxa"/>
            <w:noWrap w:val="0"/>
            <w:vAlign w:val="center"/>
          </w:tcPr>
          <w:p>
            <w:pPr>
              <w:snapToGrid w:val="0"/>
              <w:spacing w:line="300" w:lineRule="auto"/>
              <w:jc w:val="left"/>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干燥台1套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清洗水枪1套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干燥气枪1套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81" w:type="dxa"/>
            <w:noWrap w:val="0"/>
            <w:vAlign w:val="center"/>
          </w:tcPr>
          <w:p>
            <w:pPr>
              <w:snapToGrid w:val="0"/>
              <w:spacing w:line="30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val="0"/>
                <w:kern w:val="2"/>
                <w:sz w:val="21"/>
                <w:szCs w:val="21"/>
                <w:u w:val="none"/>
                <w:lang w:val="en-US" w:eastAsia="zh-CN" w:bidi="ar-SA"/>
              </w:rPr>
              <w:t>空气压缩机1套</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4"/>
              <w:ind w:left="0" w:leftChars="0"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1</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4"/>
              <w:ind w:firstLine="0" w:firstLineChars="0"/>
              <w:jc w:val="left"/>
              <w:rPr>
                <w:rStyle w:val="29"/>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4"/>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4"/>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4"/>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4"/>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4"/>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4"/>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4"/>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4"/>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4"/>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4"/>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center"/>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4"/>
              <w:ind w:firstLine="0" w:firstLineChars="0"/>
              <w:jc w:val="left"/>
              <w:rPr>
                <w:sz w:val="24"/>
              </w:rPr>
            </w:pPr>
          </w:p>
        </w:tc>
        <w:tc>
          <w:tcPr>
            <w:tcW w:w="3620" w:type="pct"/>
            <w:noWrap w:val="0"/>
            <w:vAlign w:val="center"/>
          </w:tcPr>
          <w:p>
            <w:pPr>
              <w:pStyle w:val="24"/>
              <w:ind w:firstLine="0" w:firstLineChars="0"/>
              <w:jc w:val="left"/>
              <w:rPr>
                <w:sz w:val="24"/>
              </w:rPr>
            </w:pPr>
          </w:p>
        </w:tc>
        <w:tc>
          <w:tcPr>
            <w:tcW w:w="676" w:type="pct"/>
            <w:noWrap w:val="0"/>
            <w:vAlign w:val="center"/>
          </w:tcPr>
          <w:p>
            <w:pPr>
              <w:pStyle w:val="24"/>
              <w:ind w:firstLine="0" w:firstLineChars="0"/>
              <w:jc w:val="left"/>
              <w:rPr>
                <w:rStyle w:val="29"/>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2.5</w:t>
            </w:r>
            <w:r>
              <w:rPr>
                <w:rFonts w:hint="eastAsia" w:ascii="新宋体" w:hAnsi="新宋体" w:eastAsia="新宋体" w:cs="新宋体"/>
                <w:color w:val="auto"/>
                <w:sz w:val="21"/>
                <w:szCs w:val="21"/>
                <w:highlight w:val="none"/>
              </w:rPr>
              <w:t>分，扣完为止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3"/>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3"/>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3"/>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3"/>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3"/>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3"/>
              <w:jc w:val="center"/>
              <w:rPr>
                <w:b/>
                <w:color w:val="000000" w:themeColor="text1"/>
                <w:sz w:val="22"/>
                <w:szCs w:val="22"/>
                <w:lang w:val="en-US"/>
                <w14:textFill>
                  <w14:solidFill>
                    <w14:schemeClr w14:val="tx1"/>
                  </w14:solidFill>
                </w14:textFill>
              </w:rPr>
            </w:pPr>
          </w:p>
        </w:tc>
        <w:tc>
          <w:tcPr>
            <w:tcW w:w="1418" w:type="dxa"/>
            <w:vAlign w:val="center"/>
          </w:tcPr>
          <w:p>
            <w:pPr>
              <w:pStyle w:val="23"/>
              <w:jc w:val="center"/>
              <w:rPr>
                <w:b/>
                <w:color w:val="000000" w:themeColor="text1"/>
                <w:sz w:val="22"/>
                <w:szCs w:val="22"/>
                <w:lang w:val="en-US"/>
                <w14:textFill>
                  <w14:solidFill>
                    <w14:schemeClr w14:val="tx1"/>
                  </w14:solidFill>
                </w14:textFill>
              </w:rPr>
            </w:pPr>
          </w:p>
        </w:tc>
        <w:tc>
          <w:tcPr>
            <w:tcW w:w="1559" w:type="dxa"/>
            <w:vAlign w:val="center"/>
          </w:tcPr>
          <w:p>
            <w:pPr>
              <w:pStyle w:val="23"/>
              <w:jc w:val="center"/>
              <w:rPr>
                <w:b/>
                <w:color w:val="000000" w:themeColor="text1"/>
                <w:sz w:val="22"/>
                <w:szCs w:val="22"/>
                <w:lang w:val="en-US"/>
                <w14:textFill>
                  <w14:solidFill>
                    <w14:schemeClr w14:val="tx1"/>
                  </w14:solidFill>
                </w14:textFill>
              </w:rPr>
            </w:pPr>
          </w:p>
        </w:tc>
        <w:tc>
          <w:tcPr>
            <w:tcW w:w="2126" w:type="dxa"/>
            <w:vAlign w:val="center"/>
          </w:tcPr>
          <w:p>
            <w:pPr>
              <w:pStyle w:val="23"/>
              <w:jc w:val="center"/>
              <w:rPr>
                <w:rFonts w:ascii="Verdana"/>
                <w:color w:val="000000" w:themeColor="text1"/>
                <w:sz w:val="22"/>
                <w:szCs w:val="22"/>
                <w14:textFill>
                  <w14:solidFill>
                    <w14:schemeClr w14:val="tx1"/>
                  </w14:solidFill>
                </w14:textFill>
              </w:rPr>
            </w:pPr>
          </w:p>
        </w:tc>
        <w:tc>
          <w:tcPr>
            <w:tcW w:w="993" w:type="dxa"/>
            <w:vAlign w:val="center"/>
          </w:tcPr>
          <w:p>
            <w:pPr>
              <w:pStyle w:val="23"/>
              <w:jc w:val="center"/>
              <w:rPr>
                <w:rFonts w:ascii="Verdana"/>
                <w:color w:val="000000" w:themeColor="text1"/>
                <w:sz w:val="22"/>
                <w:szCs w:val="22"/>
                <w14:textFill>
                  <w14:solidFill>
                    <w14:schemeClr w14:val="tx1"/>
                  </w14:solidFill>
                </w14:textFill>
              </w:rPr>
            </w:pPr>
          </w:p>
        </w:tc>
        <w:tc>
          <w:tcPr>
            <w:tcW w:w="1353" w:type="dxa"/>
            <w:vAlign w:val="center"/>
          </w:tcPr>
          <w:p>
            <w:pPr>
              <w:pStyle w:val="23"/>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3"/>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4"/>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4"/>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4"/>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4"/>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4"/>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4"/>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4"/>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4"/>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4"/>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4"/>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4"/>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4"/>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4"/>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4"/>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4"/>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4"/>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4"/>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4"/>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4"/>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4"/>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4"/>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4"/>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4"/>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4"/>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4"/>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4"/>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4"/>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570527"/>
    <w:rsid w:val="036D2D7B"/>
    <w:rsid w:val="037761DC"/>
    <w:rsid w:val="037819C8"/>
    <w:rsid w:val="04165086"/>
    <w:rsid w:val="057C5AAF"/>
    <w:rsid w:val="05DC159B"/>
    <w:rsid w:val="07827398"/>
    <w:rsid w:val="079468F0"/>
    <w:rsid w:val="088815A9"/>
    <w:rsid w:val="08DF35D8"/>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5851790"/>
    <w:rsid w:val="16315F4D"/>
    <w:rsid w:val="165B3C1A"/>
    <w:rsid w:val="17453125"/>
    <w:rsid w:val="182217CF"/>
    <w:rsid w:val="184F31D7"/>
    <w:rsid w:val="19915A12"/>
    <w:rsid w:val="1A2E6DE6"/>
    <w:rsid w:val="1ABB0DE6"/>
    <w:rsid w:val="1D4821A9"/>
    <w:rsid w:val="1E471305"/>
    <w:rsid w:val="202B56B1"/>
    <w:rsid w:val="209E6C14"/>
    <w:rsid w:val="20E25803"/>
    <w:rsid w:val="21940B63"/>
    <w:rsid w:val="22407BB4"/>
    <w:rsid w:val="22723315"/>
    <w:rsid w:val="22CF7097"/>
    <w:rsid w:val="22E944F8"/>
    <w:rsid w:val="232E51F6"/>
    <w:rsid w:val="23705E06"/>
    <w:rsid w:val="23884864"/>
    <w:rsid w:val="24170AD0"/>
    <w:rsid w:val="24291ED3"/>
    <w:rsid w:val="24C52651"/>
    <w:rsid w:val="24D831D5"/>
    <w:rsid w:val="259103BA"/>
    <w:rsid w:val="26EE48FB"/>
    <w:rsid w:val="27E45486"/>
    <w:rsid w:val="28DD687E"/>
    <w:rsid w:val="29BB4387"/>
    <w:rsid w:val="2B057E38"/>
    <w:rsid w:val="2BA52826"/>
    <w:rsid w:val="2CA101EC"/>
    <w:rsid w:val="2CA43435"/>
    <w:rsid w:val="2D7F5632"/>
    <w:rsid w:val="2E46068D"/>
    <w:rsid w:val="2EB05F76"/>
    <w:rsid w:val="2F3C6CF1"/>
    <w:rsid w:val="2FBD42B3"/>
    <w:rsid w:val="30D412A1"/>
    <w:rsid w:val="30E84F1F"/>
    <w:rsid w:val="316641F0"/>
    <w:rsid w:val="31BF6098"/>
    <w:rsid w:val="31F8416E"/>
    <w:rsid w:val="320E68FB"/>
    <w:rsid w:val="32CE7A3F"/>
    <w:rsid w:val="33951D5C"/>
    <w:rsid w:val="34117E05"/>
    <w:rsid w:val="3432207E"/>
    <w:rsid w:val="34F812F7"/>
    <w:rsid w:val="351B0D6F"/>
    <w:rsid w:val="351B624E"/>
    <w:rsid w:val="35633FD8"/>
    <w:rsid w:val="36AA02C8"/>
    <w:rsid w:val="36E440AD"/>
    <w:rsid w:val="37C66C9B"/>
    <w:rsid w:val="37D14649"/>
    <w:rsid w:val="3877509F"/>
    <w:rsid w:val="397306B8"/>
    <w:rsid w:val="39BD6D12"/>
    <w:rsid w:val="3BB420F5"/>
    <w:rsid w:val="3DB75172"/>
    <w:rsid w:val="3E9950E6"/>
    <w:rsid w:val="3F1B3C4A"/>
    <w:rsid w:val="3F7610CB"/>
    <w:rsid w:val="3F9E1280"/>
    <w:rsid w:val="402E62DF"/>
    <w:rsid w:val="402F4957"/>
    <w:rsid w:val="405108FA"/>
    <w:rsid w:val="40751336"/>
    <w:rsid w:val="4136403A"/>
    <w:rsid w:val="41EF774F"/>
    <w:rsid w:val="42660058"/>
    <w:rsid w:val="42CF094E"/>
    <w:rsid w:val="43824C1A"/>
    <w:rsid w:val="43A157C9"/>
    <w:rsid w:val="447334B4"/>
    <w:rsid w:val="449C5243"/>
    <w:rsid w:val="449E2D2B"/>
    <w:rsid w:val="44F12C88"/>
    <w:rsid w:val="458A740C"/>
    <w:rsid w:val="46094A05"/>
    <w:rsid w:val="460A3EB2"/>
    <w:rsid w:val="46D22C21"/>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4913304"/>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53506E"/>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094FE9"/>
    <w:rsid w:val="748F3673"/>
    <w:rsid w:val="755C54CB"/>
    <w:rsid w:val="762B73A9"/>
    <w:rsid w:val="76562678"/>
    <w:rsid w:val="7660503F"/>
    <w:rsid w:val="772F4719"/>
    <w:rsid w:val="773504DF"/>
    <w:rsid w:val="77FD6A1D"/>
    <w:rsid w:val="78667688"/>
    <w:rsid w:val="79492020"/>
    <w:rsid w:val="79B62264"/>
    <w:rsid w:val="79E4560A"/>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2"/>
    <w:autoRedefine/>
    <w:unhideWhenUsed/>
    <w:qFormat/>
    <w:uiPriority w:val="99"/>
    <w:pPr>
      <w:tabs>
        <w:tab w:val="center" w:pos="4153"/>
        <w:tab w:val="right" w:pos="8306"/>
      </w:tabs>
      <w:snapToGrid w:val="0"/>
      <w:jc w:val="left"/>
    </w:pPr>
    <w:rPr>
      <w:sz w:val="18"/>
      <w:szCs w:val="18"/>
    </w:rPr>
  </w:style>
  <w:style w:type="paragraph" w:styleId="8">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paragraph" w:customStyle="1" w:styleId="20">
    <w:name w:val="_Style 1"/>
    <w:autoRedefine/>
    <w:qFormat/>
    <w:uiPriority w:val="1"/>
    <w:pPr>
      <w:adjustRightInd w:val="0"/>
      <w:snapToGrid w:val="0"/>
    </w:pPr>
    <w:rPr>
      <w:rFonts w:ascii="Tahoma" w:hAnsi="Tahoma" w:eastAsia="宋体" w:cs="宋体"/>
      <w:sz w:val="22"/>
      <w:szCs w:val="22"/>
      <w:lang w:val="en-US" w:eastAsia="zh-CN" w:bidi="ar-SA"/>
    </w:rPr>
  </w:style>
  <w:style w:type="character" w:customStyle="1" w:styleId="21">
    <w:name w:val="页眉 Char"/>
    <w:basedOn w:val="15"/>
    <w:link w:val="8"/>
    <w:autoRedefine/>
    <w:qFormat/>
    <w:uiPriority w:val="99"/>
    <w:rPr>
      <w:sz w:val="18"/>
      <w:szCs w:val="18"/>
    </w:rPr>
  </w:style>
  <w:style w:type="character" w:customStyle="1" w:styleId="22">
    <w:name w:val="页脚 Char"/>
    <w:basedOn w:val="15"/>
    <w:link w:val="7"/>
    <w:autoRedefine/>
    <w:qFormat/>
    <w:uiPriority w:val="99"/>
    <w:rPr>
      <w:sz w:val="18"/>
      <w:szCs w:val="18"/>
    </w:rPr>
  </w:style>
  <w:style w:type="paragraph" w:customStyle="1" w:styleId="23">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4">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5">
    <w:name w:val="NormalCharacter"/>
    <w:autoRedefine/>
    <w:semiHidden/>
    <w:qFormat/>
    <w:uiPriority w:val="0"/>
  </w:style>
  <w:style w:type="character" w:customStyle="1" w:styleId="26">
    <w:name w:val="font31"/>
    <w:basedOn w:val="15"/>
    <w:autoRedefine/>
    <w:qFormat/>
    <w:uiPriority w:val="0"/>
    <w:rPr>
      <w:rFonts w:hint="eastAsia" w:ascii="宋体" w:hAnsi="宋体" w:eastAsia="宋体" w:cs="宋体"/>
      <w:color w:val="000000"/>
      <w:sz w:val="24"/>
      <w:szCs w:val="24"/>
      <w:u w:val="none"/>
    </w:rPr>
  </w:style>
  <w:style w:type="character" w:customStyle="1" w:styleId="27">
    <w:name w:val="font11"/>
    <w:basedOn w:val="15"/>
    <w:autoRedefine/>
    <w:qFormat/>
    <w:uiPriority w:val="0"/>
    <w:rPr>
      <w:rFonts w:hint="eastAsia" w:ascii="宋体" w:hAnsi="宋体" w:eastAsia="宋体" w:cs="宋体"/>
      <w:color w:val="000000"/>
      <w:sz w:val="24"/>
      <w:szCs w:val="24"/>
      <w:u w:val="none"/>
    </w:rPr>
  </w:style>
  <w:style w:type="character" w:customStyle="1" w:styleId="28">
    <w:name w:val="font41"/>
    <w:basedOn w:val="15"/>
    <w:autoRedefine/>
    <w:qFormat/>
    <w:uiPriority w:val="0"/>
    <w:rPr>
      <w:rFonts w:hint="eastAsia" w:ascii="宋体" w:hAnsi="宋体" w:eastAsia="宋体" w:cs="宋体"/>
      <w:b/>
      <w:bCs/>
      <w:color w:val="000000"/>
      <w:sz w:val="24"/>
      <w:szCs w:val="24"/>
      <w:u w:val="none"/>
    </w:rPr>
  </w:style>
  <w:style w:type="character" w:customStyle="1" w:styleId="29">
    <w:name w:val="Anrede1IhrZeichen"/>
    <w:autoRedefine/>
    <w:qFormat/>
    <w:uiPriority w:val="0"/>
    <w:rPr>
      <w:rFonts w:hint="default" w:ascii="Arial" w:hAnsi="Arial"/>
      <w:sz w:val="20"/>
    </w:rPr>
  </w:style>
  <w:style w:type="paragraph" w:customStyle="1" w:styleId="30">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1">
    <w:name w:val="Plain Text1"/>
    <w:basedOn w:val="32"/>
    <w:autoRedefine/>
    <w:qFormat/>
    <w:uiPriority w:val="0"/>
    <w:pPr>
      <w:widowControl/>
      <w:jc w:val="left"/>
    </w:pPr>
    <w:rPr>
      <w:rFonts w:ascii="宋体" w:hAnsi="Courier New"/>
    </w:rPr>
  </w:style>
  <w:style w:type="paragraph" w:customStyle="1" w:styleId="32">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3">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4">
    <w:name w:val="font21"/>
    <w:basedOn w:val="15"/>
    <w:autoRedefine/>
    <w:qFormat/>
    <w:uiPriority w:val="0"/>
    <w:rPr>
      <w:rFonts w:ascii="Calibri" w:hAnsi="Calibri" w:cs="Calibri"/>
      <w:color w:val="000000"/>
      <w:sz w:val="21"/>
      <w:szCs w:val="21"/>
      <w:u w:val="none"/>
    </w:rPr>
  </w:style>
  <w:style w:type="paragraph" w:customStyle="1" w:styleId="3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_Style 2"/>
    <w:qFormat/>
    <w:uiPriority w:val="1"/>
    <w:pPr>
      <w:adjustRightInd w:val="0"/>
      <w:snapToGrid w:val="0"/>
    </w:pPr>
    <w:rPr>
      <w:rFonts w:ascii="Tahoma" w:hAnsi="Tahoma" w:eastAsia="宋体"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1403</Words>
  <Characters>1467</Characters>
  <Lines>6</Lines>
  <Paragraphs>1</Paragraphs>
  <TotalTime>3</TotalTime>
  <ScaleCrop>false</ScaleCrop>
  <LinksUpToDate>false</LinksUpToDate>
  <CharactersWithSpaces>1473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2026-06-24T06:16:56Z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A4E587E31EDA4356A9F5D675AC3E7169_13</vt:lpwstr>
  </property>
  <property fmtid="{D5CDD505-2E9C-101B-9397-08002B2CF9AE}" pid="5" name="KSOTemplateDocerSaveRecord">
    <vt:lpwstr>eyJoZGlkIjoiNmMyMTAzZGJhYmZjM2QxZDk4OTE3MDVkMTNlYTIzODgiLCJ1c2VySWQiOiIyNjc5NjA4NjEifQ==</vt:lpwstr>
  </property>
</Properties>
</file>