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Theme="minorEastAsia" w:hAnsiTheme="minorEastAsia" w:eastAsiaTheme="minorEastAsia" w:cstheme="minorEastAsia"/>
          <w:b/>
          <w:bCs/>
          <w:sz w:val="32"/>
          <w:szCs w:val="32"/>
          <w:lang w:val="en-US" w:eastAsia="zh-CN"/>
        </w:rPr>
      </w:pPr>
      <w:r>
        <w:rPr>
          <w:rStyle w:val="17"/>
          <w:rFonts w:hint="eastAsia" w:asciiTheme="minorEastAsia" w:hAnsiTheme="minorEastAsia" w:eastAsiaTheme="minorEastAsia" w:cstheme="minorEastAsia"/>
          <w:b/>
          <w:bCs/>
          <w:sz w:val="36"/>
          <w:szCs w:val="36"/>
          <w:lang w:val="en-US" w:eastAsia="zh-CN"/>
        </w:rPr>
        <w:t>温州市中医院关</w:t>
      </w:r>
      <w:r>
        <w:rPr>
          <w:rStyle w:val="17"/>
          <w:rFonts w:hint="eastAsia" w:asciiTheme="minorEastAsia" w:hAnsiTheme="minorEastAsia" w:cstheme="minorEastAsia"/>
          <w:b/>
          <w:bCs/>
          <w:sz w:val="36"/>
          <w:szCs w:val="36"/>
          <w:lang w:val="en-US" w:eastAsia="zh-CN"/>
        </w:rPr>
        <w:t>于血压计</w:t>
      </w:r>
      <w:r>
        <w:rPr>
          <w:rStyle w:val="17"/>
          <w:rFonts w:hint="eastAsia" w:asciiTheme="minorEastAsia" w:hAnsiTheme="minorEastAsia" w:eastAsiaTheme="minorEastAsia" w:cstheme="minorEastAsia"/>
          <w:b/>
          <w:bCs/>
          <w:sz w:val="36"/>
          <w:szCs w:val="36"/>
          <w:lang w:val="en-US" w:eastAsia="zh-CN"/>
        </w:rPr>
        <w:t>的</w:t>
      </w:r>
      <w:r>
        <w:rPr>
          <w:rStyle w:val="17"/>
          <w:rFonts w:hint="eastAsia" w:asciiTheme="minorEastAsia" w:hAnsiTheme="minorEastAsia" w:cstheme="minorEastAsia"/>
          <w:b/>
          <w:bCs/>
          <w:sz w:val="36"/>
          <w:szCs w:val="36"/>
          <w:lang w:val="en-US" w:eastAsia="zh-CN"/>
        </w:rPr>
        <w:t>遴选</w:t>
      </w:r>
    </w:p>
    <w:p>
      <w:pPr>
        <w:numPr>
          <w:ilvl w:val="0"/>
          <w:numId w:val="1"/>
        </w:numPr>
        <w:jc w:val="both"/>
        <w:rPr>
          <w:rStyle w:val="17"/>
          <w:rFonts w:hint="eastAsia" w:asciiTheme="minorEastAsia" w:hAnsiTheme="minorEastAsia" w:eastAsiaTheme="minorEastAsia" w:cstheme="minorEastAsia"/>
          <w:b/>
          <w:bCs/>
          <w:sz w:val="32"/>
          <w:szCs w:val="32"/>
        </w:rPr>
      </w:pPr>
      <w:r>
        <w:rPr>
          <w:rStyle w:val="17"/>
          <w:rFonts w:hint="eastAsia" w:asciiTheme="minorEastAsia" w:hAnsiTheme="minorEastAsia" w:eastAsiaTheme="minorEastAsia" w:cstheme="minorEastAsia"/>
          <w:b/>
          <w:bCs/>
          <w:sz w:val="32"/>
          <w:szCs w:val="32"/>
        </w:rPr>
        <w:t>项目基本情况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项目名称:血压计</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2026-sb-cg-009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血压计</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7"/>
          <w:rFonts w:hint="eastAsia" w:asciiTheme="minorEastAsia" w:hAnsiTheme="minorEastAsia" w:eastAsiaTheme="minorEastAsia" w:cstheme="minorEastAsia"/>
          <w:b/>
          <w:bCs/>
          <w:sz w:val="32"/>
          <w:szCs w:val="32"/>
          <w:lang w:val="en-US" w:eastAsia="zh-CN"/>
        </w:rPr>
      </w:pPr>
      <w:r>
        <w:rPr>
          <w:rStyle w:val="17"/>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获取</w:t>
      </w:r>
      <w:r>
        <w:rPr>
          <w:rStyle w:val="17"/>
          <w:rFonts w:hint="eastAsia" w:asciiTheme="minorEastAsia" w:hAnsiTheme="minorEastAsia" w:cstheme="minorEastAsia"/>
          <w:b/>
          <w:bCs/>
          <w:kern w:val="2"/>
          <w:sz w:val="32"/>
          <w:szCs w:val="32"/>
          <w:lang w:val="en-US" w:eastAsia="zh-CN" w:bidi="ar-SA"/>
        </w:rPr>
        <w:t>遴选</w:t>
      </w:r>
      <w:r>
        <w:rPr>
          <w:rStyle w:val="17"/>
          <w:rFonts w:hint="eastAsia" w:asciiTheme="minorEastAsia" w:hAnsiTheme="minorEastAsia" w:eastAsiaTheme="minorEastAsia" w:cstheme="minorEastAsia"/>
          <w:b/>
          <w:bCs/>
          <w:kern w:val="2"/>
          <w:sz w:val="32"/>
          <w:szCs w:val="32"/>
          <w:lang w:val="en-US" w:eastAsia="zh-CN" w:bidi="ar-SA"/>
        </w:rPr>
        <w:t>文件</w:t>
      </w:r>
    </w:p>
    <w:p>
      <w:pPr>
        <w:pStyle w:val="11"/>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w:t>
      </w:r>
      <w:bookmarkStart w:id="0" w:name="_GoBack"/>
      <w:bookmarkEnd w:id="0"/>
      <w:r>
        <w:rPr>
          <w:rFonts w:hint="eastAsia" w:asciiTheme="minorEastAsia" w:hAnsiTheme="minorEastAsia" w:eastAsiaTheme="minorEastAsia" w:cstheme="minorEastAsia"/>
          <w:kern w:val="2"/>
          <w:sz w:val="21"/>
          <w:szCs w:val="21"/>
          <w:lang w:val="en-US" w:eastAsia="zh-CN" w:bidi="ar-SA"/>
        </w:rPr>
        <w:t>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公告期限 </w:t>
      </w:r>
    </w:p>
    <w:p>
      <w:pPr>
        <w:pStyle w:val="11"/>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7"/>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r>
        <w:rPr>
          <w:rFonts w:hint="eastAsia" w:asciiTheme="minorEastAsia" w:hAnsiTheme="minorEastAsia" w:cstheme="minorEastAsia"/>
          <w:sz w:val="21"/>
          <w:szCs w:val="21"/>
          <w:lang w:eastAsia="zh-CN"/>
        </w:rPr>
        <w:t>（如科研实验器械提供相关证明）</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商务、技术参数偏离表</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序号</w:t>
            </w:r>
          </w:p>
        </w:tc>
        <w:tc>
          <w:tcPr>
            <w:tcW w:w="3620"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招标要求</w:t>
            </w:r>
          </w:p>
        </w:tc>
        <w:tc>
          <w:tcPr>
            <w:tcW w:w="676"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2"/>
                <w:szCs w:val="22"/>
                <w:highlight w:val="none"/>
              </w:rPr>
              <w:t>一</w:t>
            </w:r>
          </w:p>
        </w:tc>
        <w:tc>
          <w:tcPr>
            <w:tcW w:w="3620"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新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显示方法：</w:t>
            </w:r>
            <w:r>
              <w:rPr>
                <w:rFonts w:hint="eastAsia" w:ascii="宋体" w:hAnsi="宋体"/>
                <w:color w:val="000000"/>
                <w:kern w:val="0"/>
                <w:szCs w:val="21"/>
              </w:rPr>
              <w:t>LCD显示屏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测量方法：脉搏波法</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top"/>
          </w:tcPr>
          <w:p>
            <w:pPr>
              <w:pStyle w:val="35"/>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hAnsi="宋体"/>
                <w:sz w:val="21"/>
                <w:szCs w:val="21"/>
              </w:rPr>
              <w:t>测量范围</w:t>
            </w:r>
            <w:r>
              <w:rPr>
                <w:rFonts w:hint="eastAsia" w:hAnsi="宋体"/>
                <w:szCs w:val="21"/>
              </w:rPr>
              <w:t xml:space="preserve">： </w:t>
            </w:r>
            <w:r>
              <w:rPr>
                <w:rFonts w:hint="eastAsia" w:hAnsi="宋体"/>
                <w:sz w:val="21"/>
                <w:szCs w:val="21"/>
              </w:rPr>
              <w:t>压力（0～300）mmHg［(0～40)kPa］脉率数40次/分～180次/分</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新宋体" w:cs="宋体"/>
                <w:kern w:val="2"/>
                <w:sz w:val="21"/>
                <w:szCs w:val="21"/>
                <w:highlight w:val="none"/>
                <w:lang w:val="en-US" w:eastAsia="zh-CN" w:bidi="ar-SA"/>
              </w:rPr>
              <w:t>★</w:t>
            </w:r>
            <w:r>
              <w:rPr>
                <w:rFonts w:hint="eastAsia" w:ascii="宋体" w:hAnsi="宋体" w:eastAsia="宋体" w:cs="宋体"/>
                <w:i w:val="0"/>
                <w:iCs w:val="0"/>
                <w:color w:val="000000"/>
                <w:kern w:val="0"/>
                <w:sz w:val="22"/>
                <w:szCs w:val="22"/>
                <w:u w:val="none"/>
                <w:lang w:val="en-US" w:eastAsia="zh-CN" w:bidi="ar"/>
              </w:rPr>
              <w:t>4</w:t>
            </w:r>
          </w:p>
        </w:tc>
        <w:tc>
          <w:tcPr>
            <w:tcW w:w="3620" w:type="pct"/>
            <w:shd w:val="clear" w:color="auto" w:fill="auto"/>
            <w:noWrap w:val="0"/>
            <w:vAlign w:val="top"/>
          </w:tcPr>
          <w:p>
            <w:pPr>
              <w:pStyle w:val="35"/>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测量准确度：压力：±2mmHg(±0.267kPa)以内.</w:t>
            </w:r>
            <w:r>
              <w:rPr>
                <w:rFonts w:hint="eastAsia" w:hAnsi="宋体"/>
                <w:sz w:val="21"/>
                <w:szCs w:val="21"/>
              </w:rPr>
              <w:t xml:space="preserve">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新宋体" w:cs="宋体"/>
                <w:kern w:val="2"/>
                <w:sz w:val="21"/>
                <w:szCs w:val="21"/>
                <w:highlight w:val="none"/>
                <w:lang w:val="en-US" w:eastAsia="zh-CN" w:bidi="ar-SA"/>
              </w:rPr>
              <w:t>★</w:t>
            </w:r>
            <w:r>
              <w:rPr>
                <w:rFonts w:hint="eastAsia" w:ascii="宋体" w:hAnsi="宋体" w:eastAsia="宋体" w:cs="宋体"/>
                <w:i w:val="0"/>
                <w:iCs w:val="0"/>
                <w:color w:val="000000"/>
                <w:kern w:val="0"/>
                <w:sz w:val="22"/>
                <w:szCs w:val="22"/>
                <w:u w:val="none"/>
                <w:lang w:val="en-US" w:eastAsia="zh-CN" w:bidi="ar"/>
              </w:rPr>
              <w:t>5</w:t>
            </w:r>
          </w:p>
        </w:tc>
        <w:tc>
          <w:tcPr>
            <w:tcW w:w="3620" w:type="pct"/>
            <w:shd w:val="clear" w:color="auto" w:fill="auto"/>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 w:val="21"/>
                <w:szCs w:val="21"/>
              </w:rPr>
              <w:t>存储容量：100组测量数据</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 w:val="21"/>
                <w:szCs w:val="21"/>
              </w:rPr>
              <w:t>测量位置：</w:t>
            </w:r>
            <w:r>
              <w:rPr>
                <w:rFonts w:hint="eastAsia" w:ascii="宋体" w:hAnsi="宋体"/>
                <w:color w:val="000000"/>
                <w:sz w:val="21"/>
                <w:szCs w:val="21"/>
              </w:rPr>
              <w:t>左右臂均可测量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压力监测：高精密半导体压力传感器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加压：压力泵自动加压方式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减压：线性电磁控制阀自动减压系统</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olor w:val="auto"/>
                <w:sz w:val="21"/>
                <w:szCs w:val="21"/>
              </w:rPr>
              <w:t>超压保护：压力超过300mmHg时，急速排气保护，急速排气时间</w:t>
            </w:r>
            <w:r>
              <w:rPr>
                <w:rFonts w:hint="eastAsia" w:ascii="宋体" w:hAnsi="宋体"/>
                <w:color w:val="auto"/>
                <w:sz w:val="21"/>
                <w:szCs w:val="21"/>
                <w:lang w:eastAsia="zh-CN"/>
              </w:rPr>
              <w:t>≤</w:t>
            </w:r>
            <w:r>
              <w:rPr>
                <w:rFonts w:hint="eastAsia" w:ascii="宋体" w:hAnsi="宋体"/>
                <w:color w:val="auto"/>
                <w:sz w:val="21"/>
                <w:szCs w:val="21"/>
              </w:rPr>
              <w:t>10秒；</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olor w:val="auto"/>
                <w:sz w:val="21"/>
                <w:szCs w:val="21"/>
                <w:lang w:eastAsia="zh-CN"/>
              </w:rPr>
              <w:t>▲</w:t>
            </w: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olor w:val="auto"/>
                <w:sz w:val="21"/>
                <w:szCs w:val="21"/>
              </w:rPr>
              <w:t>肘部位置传感器: 有 (准确定位肱动脉，提高测量精度)；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臂筒角度调节：臂筒可左右转动约10度；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适合臂周：17cm～42cm；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输出端口：RS-232和USB两种数据接口方式。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干扰提示：干扰情况用户提醒</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抗菌设计：整机及袖套采用抗菌材料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用户教育：根据测量结果，显示提示信息</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打印装置：全中文热敏打印、自动裁纸、多种模式可选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压力单位： mmHg和kPa两种模式互选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4"/>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bottom"/>
          </w:tcPr>
          <w:p>
            <w:pPr>
              <w:widowControl/>
              <w:jc w:val="left"/>
              <w:rPr>
                <w:rFonts w:hint="default" w:ascii="宋体" w:hAnsi="宋体" w:eastAsia="宋体" w:cs="宋体"/>
                <w:sz w:val="22"/>
                <w:szCs w:val="22"/>
                <w:lang w:val="en-US"/>
              </w:rPr>
            </w:pPr>
            <w:r>
              <w:rPr>
                <w:rFonts w:hint="eastAsia" w:ascii="宋体" w:hAnsi="宋体"/>
                <w:sz w:val="21"/>
                <w:szCs w:val="21"/>
                <w:lang w:val="en-US" w:eastAsia="zh-CN"/>
              </w:rPr>
              <w:t>主机一套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bottom"/>
          </w:tcPr>
          <w:p>
            <w:pPr>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sz w:val="21"/>
                <w:szCs w:val="21"/>
                <w:lang w:val="en-US" w:eastAsia="zh-CN"/>
              </w:rPr>
              <w:t>桌椅一套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负责接入医院网络</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2</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4"/>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4"/>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4"/>
              <w:ind w:left="0" w:leftChars="0"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4"/>
              <w:ind w:left="0" w:leftChars="0"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4"/>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left"/>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bl>
    <w:p/>
    <w:p/>
    <w:p/>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评分细则</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7"/>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default" w:eastAsia="宋体" w:asciiTheme="minorEastAsia" w:hAnsiTheme="minorEastAsia" w:cstheme="minorEastAsia"/>
          <w:b/>
          <w:bCs/>
          <w:kern w:val="2"/>
          <w:sz w:val="32"/>
          <w:szCs w:val="32"/>
          <w:lang w:val="en-US" w:eastAsia="zh-CN" w:bidi="ar-SA"/>
        </w:rPr>
      </w:pPr>
      <w:r>
        <w:rPr>
          <w:rStyle w:val="17"/>
          <w:rFonts w:hint="eastAsia" w:eastAsia="宋体" w:asciiTheme="minorEastAsia" w:hAnsiTheme="minorEastAsia" w:cstheme="minorEastAsia"/>
          <w:b/>
          <w:bCs/>
          <w:kern w:val="2"/>
          <w:sz w:val="32"/>
          <w:szCs w:val="32"/>
          <w:lang w:val="en-US" w:eastAsia="zh-CN" w:bidi="ar-SA"/>
        </w:rPr>
        <w:t>九、我院正式合同版本</w:t>
      </w:r>
    </w:p>
    <w:p>
      <w:pPr>
        <w:pStyle w:val="12"/>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5"/>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4"/>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4"/>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3"/>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3"/>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3"/>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3"/>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3"/>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5"/>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5"/>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5"/>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5"/>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5"/>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4"/>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4"/>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4"/>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4"/>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5"/>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5"/>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5"/>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5"/>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4"/>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4"/>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5"/>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4"/>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4"/>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4"/>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4"/>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4"/>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4"/>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4"/>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4"/>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4"/>
        <w:numPr>
          <w:ilvl w:val="0"/>
          <w:numId w:val="0"/>
        </w:numPr>
        <w:ind w:left="350" w:leftChars="0"/>
        <w:rPr>
          <w:rFonts w:hint="eastAsia"/>
          <w:color w:val="000000" w:themeColor="text1"/>
          <w:sz w:val="22"/>
          <w:szCs w:val="22"/>
          <w14:textFill>
            <w14:solidFill>
              <w14:schemeClr w14:val="tx1"/>
            </w14:solidFill>
          </w14:textFill>
        </w:rPr>
      </w:pP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5"/>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4"/>
        <w:spacing w:before="107"/>
        <w:rPr>
          <w:sz w:val="22"/>
          <w:szCs w:val="22"/>
        </w:rPr>
      </w:pPr>
      <w:r>
        <w:rPr>
          <w:sz w:val="22"/>
          <w:szCs w:val="22"/>
        </w:rPr>
        <w:t>十六、合同生效及其它</w:t>
      </w:r>
    </w:p>
    <w:p>
      <w:pPr>
        <w:pStyle w:val="24"/>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4"/>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4"/>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4"/>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4"/>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5"/>
        <w:spacing w:before="106" w:line="264" w:lineRule="auto"/>
        <w:ind w:left="105" w:right="209"/>
        <w:rPr>
          <w:sz w:val="22"/>
          <w:szCs w:val="22"/>
        </w:rPr>
      </w:pPr>
    </w:p>
    <w:p>
      <w:pPr>
        <w:pStyle w:val="5"/>
        <w:spacing w:before="106" w:line="264" w:lineRule="auto"/>
        <w:ind w:right="209"/>
        <w:rPr>
          <w:sz w:val="22"/>
          <w:szCs w:val="22"/>
        </w:rPr>
      </w:pPr>
    </w:p>
    <w:p>
      <w:pPr>
        <w:pStyle w:val="5"/>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5"/>
        <w:spacing w:before="106" w:line="264" w:lineRule="auto"/>
        <w:ind w:left="105" w:right="209"/>
        <w:rPr>
          <w:sz w:val="22"/>
          <w:szCs w:val="22"/>
        </w:rPr>
      </w:pPr>
      <w:r>
        <w:rPr>
          <w:rFonts w:hint="eastAsia"/>
          <w:sz w:val="22"/>
          <w:szCs w:val="22"/>
        </w:rPr>
        <w:t>地址：温州市六虹桥路蛟尾路9号                   地址：</w:t>
      </w:r>
    </w:p>
    <w:p>
      <w:pPr>
        <w:pStyle w:val="5"/>
        <w:spacing w:before="106" w:line="264" w:lineRule="auto"/>
        <w:ind w:left="105" w:right="209"/>
        <w:rPr>
          <w:sz w:val="22"/>
          <w:szCs w:val="22"/>
        </w:rPr>
      </w:pPr>
      <w:r>
        <w:rPr>
          <w:rFonts w:hint="eastAsia"/>
          <w:sz w:val="22"/>
          <w:szCs w:val="22"/>
        </w:rPr>
        <w:t xml:space="preserve">法定（授权）代表人：                            法定（授权）代表人： </w:t>
      </w:r>
    </w:p>
    <w:p>
      <w:pPr>
        <w:pStyle w:val="5"/>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5"/>
        <w:rPr>
          <w:sz w:val="20"/>
        </w:rPr>
      </w:pPr>
    </w:p>
    <w:tbl>
      <w:tblPr>
        <w:tblStyle w:val="14"/>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5"/>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3"/>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4"/>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7"/>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7"/>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7"/>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7"/>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7"/>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7"/>
              <w:spacing w:line="460" w:lineRule="atLeast"/>
              <w:ind w:firstLine="469"/>
              <w:jc w:val="center"/>
              <w:rPr>
                <w:rFonts w:hint="eastAsia" w:hAnsi="宋体"/>
                <w:sz w:val="22"/>
                <w:szCs w:val="22"/>
              </w:rPr>
            </w:pPr>
          </w:p>
        </w:tc>
        <w:tc>
          <w:tcPr>
            <w:tcW w:w="2212" w:type="dxa"/>
            <w:noWrap w:val="0"/>
            <w:vAlign w:val="center"/>
          </w:tcPr>
          <w:p>
            <w:pPr>
              <w:pStyle w:val="7"/>
              <w:spacing w:line="460" w:lineRule="atLeast"/>
              <w:ind w:firstLine="469"/>
              <w:jc w:val="center"/>
              <w:rPr>
                <w:rFonts w:hint="eastAsia" w:hAnsi="宋体"/>
                <w:sz w:val="22"/>
                <w:szCs w:val="22"/>
              </w:rPr>
            </w:pPr>
          </w:p>
        </w:tc>
        <w:tc>
          <w:tcPr>
            <w:tcW w:w="2441" w:type="dxa"/>
            <w:noWrap w:val="0"/>
            <w:vAlign w:val="center"/>
          </w:tcPr>
          <w:p>
            <w:pPr>
              <w:pStyle w:val="7"/>
              <w:spacing w:line="460" w:lineRule="atLeast"/>
              <w:ind w:firstLine="469"/>
              <w:jc w:val="center"/>
              <w:rPr>
                <w:rFonts w:hint="eastAsia" w:hAnsi="宋体"/>
                <w:sz w:val="22"/>
                <w:szCs w:val="22"/>
              </w:rPr>
            </w:pPr>
          </w:p>
        </w:tc>
        <w:tc>
          <w:tcPr>
            <w:tcW w:w="2263" w:type="dxa"/>
            <w:noWrap w:val="0"/>
            <w:vAlign w:val="center"/>
          </w:tcPr>
          <w:p>
            <w:pPr>
              <w:pStyle w:val="7"/>
              <w:spacing w:line="460" w:lineRule="atLeast"/>
              <w:jc w:val="center"/>
              <w:rPr>
                <w:rFonts w:hint="eastAsia" w:hAnsi="宋体"/>
                <w:sz w:val="22"/>
                <w:szCs w:val="22"/>
              </w:rPr>
            </w:pPr>
          </w:p>
        </w:tc>
        <w:tc>
          <w:tcPr>
            <w:tcW w:w="1651" w:type="dxa"/>
            <w:noWrap w:val="0"/>
            <w:vAlign w:val="center"/>
          </w:tcPr>
          <w:p>
            <w:pPr>
              <w:pStyle w:val="7"/>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7"/>
              <w:spacing w:line="460" w:lineRule="atLeast"/>
              <w:ind w:firstLine="469"/>
              <w:jc w:val="center"/>
              <w:rPr>
                <w:rFonts w:hint="eastAsia" w:hAnsi="宋体"/>
                <w:sz w:val="22"/>
                <w:szCs w:val="22"/>
              </w:rPr>
            </w:pPr>
          </w:p>
        </w:tc>
        <w:tc>
          <w:tcPr>
            <w:tcW w:w="2212" w:type="dxa"/>
            <w:noWrap w:val="0"/>
            <w:vAlign w:val="center"/>
          </w:tcPr>
          <w:p>
            <w:pPr>
              <w:pStyle w:val="7"/>
              <w:spacing w:line="460" w:lineRule="atLeast"/>
              <w:ind w:firstLine="469"/>
              <w:jc w:val="center"/>
              <w:rPr>
                <w:rFonts w:hint="eastAsia" w:hAnsi="宋体"/>
                <w:sz w:val="22"/>
                <w:szCs w:val="22"/>
              </w:rPr>
            </w:pPr>
          </w:p>
        </w:tc>
        <w:tc>
          <w:tcPr>
            <w:tcW w:w="2441" w:type="dxa"/>
            <w:noWrap w:val="0"/>
            <w:vAlign w:val="center"/>
          </w:tcPr>
          <w:p>
            <w:pPr>
              <w:pStyle w:val="7"/>
              <w:spacing w:line="460" w:lineRule="atLeast"/>
              <w:ind w:firstLine="469"/>
              <w:jc w:val="center"/>
              <w:rPr>
                <w:rFonts w:hint="eastAsia" w:hAnsi="宋体"/>
                <w:sz w:val="22"/>
                <w:szCs w:val="22"/>
              </w:rPr>
            </w:pPr>
          </w:p>
        </w:tc>
        <w:tc>
          <w:tcPr>
            <w:tcW w:w="2263" w:type="dxa"/>
            <w:noWrap w:val="0"/>
            <w:vAlign w:val="center"/>
          </w:tcPr>
          <w:p>
            <w:pPr>
              <w:pStyle w:val="7"/>
              <w:spacing w:line="460" w:lineRule="atLeast"/>
              <w:jc w:val="center"/>
              <w:rPr>
                <w:rFonts w:hint="eastAsia" w:hAnsi="宋体"/>
                <w:sz w:val="22"/>
                <w:szCs w:val="22"/>
              </w:rPr>
            </w:pPr>
          </w:p>
        </w:tc>
        <w:tc>
          <w:tcPr>
            <w:tcW w:w="1651" w:type="dxa"/>
            <w:noWrap w:val="0"/>
            <w:vAlign w:val="center"/>
          </w:tcPr>
          <w:p>
            <w:pPr>
              <w:pStyle w:val="7"/>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7"/>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7"/>
              <w:spacing w:line="460" w:lineRule="atLeast"/>
              <w:ind w:firstLine="469"/>
              <w:rPr>
                <w:rFonts w:hint="eastAsia" w:hAnsi="宋体"/>
                <w:sz w:val="22"/>
                <w:szCs w:val="22"/>
              </w:rPr>
            </w:pPr>
          </w:p>
        </w:tc>
        <w:tc>
          <w:tcPr>
            <w:tcW w:w="8567" w:type="dxa"/>
            <w:gridSpan w:val="4"/>
            <w:noWrap w:val="0"/>
            <w:vAlign w:val="center"/>
          </w:tcPr>
          <w:p>
            <w:pPr>
              <w:pStyle w:val="7"/>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7"/>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4"/>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1"/>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1"/>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1"/>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1"/>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1"/>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1"/>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1"/>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1"/>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1"/>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0</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楷体_GB2312" w:eastAsia="楷体_GB2312"/>
      </w:rPr>
    </w:pPr>
    <w:r>
      <w:rPr>
        <w:rStyle w:val="18"/>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570527"/>
    <w:rsid w:val="036D2D7B"/>
    <w:rsid w:val="037761DC"/>
    <w:rsid w:val="037819C8"/>
    <w:rsid w:val="04165086"/>
    <w:rsid w:val="05DC159B"/>
    <w:rsid w:val="07827398"/>
    <w:rsid w:val="079468F0"/>
    <w:rsid w:val="088815A9"/>
    <w:rsid w:val="08DF35D8"/>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5851790"/>
    <w:rsid w:val="165B3C1A"/>
    <w:rsid w:val="17453125"/>
    <w:rsid w:val="182217CF"/>
    <w:rsid w:val="184F31D7"/>
    <w:rsid w:val="19915A12"/>
    <w:rsid w:val="1A2E6DE6"/>
    <w:rsid w:val="1ABB0DE6"/>
    <w:rsid w:val="1D4821A9"/>
    <w:rsid w:val="202B56B1"/>
    <w:rsid w:val="209E6C14"/>
    <w:rsid w:val="20E25803"/>
    <w:rsid w:val="22723315"/>
    <w:rsid w:val="22CF7097"/>
    <w:rsid w:val="22E944F8"/>
    <w:rsid w:val="232E51F6"/>
    <w:rsid w:val="23705E06"/>
    <w:rsid w:val="23884864"/>
    <w:rsid w:val="24170AD0"/>
    <w:rsid w:val="24291ED3"/>
    <w:rsid w:val="24C52651"/>
    <w:rsid w:val="24D831D5"/>
    <w:rsid w:val="259103BA"/>
    <w:rsid w:val="27E45486"/>
    <w:rsid w:val="28DD687E"/>
    <w:rsid w:val="2B057E38"/>
    <w:rsid w:val="2BA52826"/>
    <w:rsid w:val="2CA101EC"/>
    <w:rsid w:val="2CA43435"/>
    <w:rsid w:val="2D7F5632"/>
    <w:rsid w:val="2E46068D"/>
    <w:rsid w:val="2EB05F76"/>
    <w:rsid w:val="2F3C6CF1"/>
    <w:rsid w:val="2FBD42B3"/>
    <w:rsid w:val="30D412A1"/>
    <w:rsid w:val="30E84F1F"/>
    <w:rsid w:val="316641F0"/>
    <w:rsid w:val="31BF6098"/>
    <w:rsid w:val="31F8416E"/>
    <w:rsid w:val="320E68FB"/>
    <w:rsid w:val="32CE7A3F"/>
    <w:rsid w:val="33951D5C"/>
    <w:rsid w:val="34117E05"/>
    <w:rsid w:val="3432207E"/>
    <w:rsid w:val="34F812F7"/>
    <w:rsid w:val="351B0D6F"/>
    <w:rsid w:val="351B624E"/>
    <w:rsid w:val="35633FD8"/>
    <w:rsid w:val="36AA02C8"/>
    <w:rsid w:val="36E440AD"/>
    <w:rsid w:val="37C66C9B"/>
    <w:rsid w:val="37D14649"/>
    <w:rsid w:val="3877509F"/>
    <w:rsid w:val="397306B8"/>
    <w:rsid w:val="39BD6D12"/>
    <w:rsid w:val="3BB420F5"/>
    <w:rsid w:val="3DB75172"/>
    <w:rsid w:val="3E9950E6"/>
    <w:rsid w:val="3F1B3C4A"/>
    <w:rsid w:val="3F7610CB"/>
    <w:rsid w:val="402E62DF"/>
    <w:rsid w:val="402F4957"/>
    <w:rsid w:val="405108FA"/>
    <w:rsid w:val="40751336"/>
    <w:rsid w:val="4136403A"/>
    <w:rsid w:val="41EF774F"/>
    <w:rsid w:val="42660058"/>
    <w:rsid w:val="43824C1A"/>
    <w:rsid w:val="43A157C9"/>
    <w:rsid w:val="447334B4"/>
    <w:rsid w:val="449C5243"/>
    <w:rsid w:val="449E2D2B"/>
    <w:rsid w:val="44F12C88"/>
    <w:rsid w:val="458A740C"/>
    <w:rsid w:val="46094A05"/>
    <w:rsid w:val="460A3EB2"/>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4913304"/>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53506E"/>
    <w:rsid w:val="65D31C24"/>
    <w:rsid w:val="6634293C"/>
    <w:rsid w:val="669F4579"/>
    <w:rsid w:val="66D4412F"/>
    <w:rsid w:val="680678AC"/>
    <w:rsid w:val="683E0693"/>
    <w:rsid w:val="685E7C65"/>
    <w:rsid w:val="68AB5C34"/>
    <w:rsid w:val="68D67EF7"/>
    <w:rsid w:val="694279A9"/>
    <w:rsid w:val="698F00A6"/>
    <w:rsid w:val="6A052E9A"/>
    <w:rsid w:val="6A670A41"/>
    <w:rsid w:val="6A800692"/>
    <w:rsid w:val="6AA92F34"/>
    <w:rsid w:val="6BAC3EA4"/>
    <w:rsid w:val="6BF3478F"/>
    <w:rsid w:val="6D370E4B"/>
    <w:rsid w:val="6D8D5F89"/>
    <w:rsid w:val="6DE10695"/>
    <w:rsid w:val="6E0B49D4"/>
    <w:rsid w:val="6E6658CD"/>
    <w:rsid w:val="6E7E61B3"/>
    <w:rsid w:val="6F1A55B9"/>
    <w:rsid w:val="6F9841D5"/>
    <w:rsid w:val="711B411C"/>
    <w:rsid w:val="73645C00"/>
    <w:rsid w:val="7392213F"/>
    <w:rsid w:val="739F5CC0"/>
    <w:rsid w:val="73F75A9D"/>
    <w:rsid w:val="748F3673"/>
    <w:rsid w:val="755C54CB"/>
    <w:rsid w:val="762B73A9"/>
    <w:rsid w:val="76562678"/>
    <w:rsid w:val="7660503F"/>
    <w:rsid w:val="772F4719"/>
    <w:rsid w:val="773504DF"/>
    <w:rsid w:val="77FD6A1D"/>
    <w:rsid w:val="78667688"/>
    <w:rsid w:val="79492020"/>
    <w:rsid w:val="79B62264"/>
    <w:rsid w:val="79E4560A"/>
    <w:rsid w:val="7A192AA7"/>
    <w:rsid w:val="7B395E66"/>
    <w:rsid w:val="7C0B3B0A"/>
    <w:rsid w:val="7C4831AB"/>
    <w:rsid w:val="7CA6287C"/>
    <w:rsid w:val="7E3135CA"/>
    <w:rsid w:val="7E4702F4"/>
    <w:rsid w:val="7E677C6B"/>
    <w:rsid w:val="7ECD6788"/>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1"/>
    <w:autoRedefine/>
    <w:qFormat/>
    <w:uiPriority w:val="1"/>
    <w:pPr>
      <w:adjustRightInd w:val="0"/>
      <w:snapToGrid w:val="0"/>
    </w:pPr>
    <w:rPr>
      <w:rFonts w:ascii="Tahoma" w:hAnsi="Tahoma" w:eastAsia="宋体" w:cs="宋体"/>
      <w:sz w:val="22"/>
      <w:szCs w:val="22"/>
      <w:lang w:val="en-US" w:eastAsia="zh-CN" w:bidi="ar-SA"/>
    </w:rPr>
  </w:style>
  <w:style w:type="paragraph" w:styleId="5">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6">
    <w:name w:val="Block Text"/>
    <w:basedOn w:val="1"/>
    <w:autoRedefine/>
    <w:qFormat/>
    <w:uiPriority w:val="0"/>
    <w:pPr>
      <w:spacing w:after="120"/>
      <w:ind w:left="1440" w:leftChars="700" w:right="1440" w:rightChars="700"/>
    </w:pPr>
    <w:rPr>
      <w:rFonts w:ascii="Calibri" w:hAnsi="Calibri"/>
    </w:rPr>
  </w:style>
  <w:style w:type="paragraph" w:styleId="7">
    <w:name w:val="Plain Text"/>
    <w:basedOn w:val="1"/>
    <w:autoRedefine/>
    <w:qFormat/>
    <w:uiPriority w:val="0"/>
    <w:rPr>
      <w:rFonts w:ascii="宋体" w:hAnsi="Courier New" w:cs="Courier New"/>
      <w:szCs w:val="21"/>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autoRedefine/>
    <w:qFormat/>
    <w:uiPriority w:val="0"/>
    <w:pPr>
      <w:ind w:left="200" w:hanging="200" w:hangingChars="200"/>
    </w:pPr>
    <w:rPr>
      <w:sz w:val="36"/>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3">
    <w:name w:val="Body Text First Indent"/>
    <w:basedOn w:val="1"/>
    <w:autoRedefine/>
    <w:qFormat/>
    <w:uiPriority w:val="0"/>
    <w:pPr>
      <w:ind w:firstLine="420"/>
    </w:pPr>
    <w:rPr>
      <w:rFonts w:ascii="Calibri" w:hAnsi="Calibri" w:eastAsia="宋体" w:cs="Times New Roman"/>
    </w:rPr>
  </w:style>
  <w:style w:type="table" w:styleId="15">
    <w:name w:val="Table Grid"/>
    <w:basedOn w:val="14"/>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rPr>
  </w:style>
  <w:style w:type="character" w:styleId="18">
    <w:name w:val="page number"/>
    <w:basedOn w:val="16"/>
    <w:autoRedefine/>
    <w:qFormat/>
    <w:uiPriority w:val="0"/>
  </w:style>
  <w:style w:type="character" w:styleId="19">
    <w:name w:val="Emphasis"/>
    <w:autoRedefine/>
    <w:qFormat/>
    <w:uiPriority w:val="20"/>
    <w:rPr>
      <w:i/>
      <w:iCs/>
    </w:rPr>
  </w:style>
  <w:style w:type="character" w:styleId="20">
    <w:name w:val="Hyperlink"/>
    <w:basedOn w:val="16"/>
    <w:autoRedefine/>
    <w:qFormat/>
    <w:uiPriority w:val="0"/>
    <w:rPr>
      <w:color w:val="0000FF"/>
      <w:u w:val="single"/>
    </w:rPr>
  </w:style>
  <w:style w:type="character" w:customStyle="1" w:styleId="21">
    <w:name w:val="页眉 Char"/>
    <w:basedOn w:val="16"/>
    <w:link w:val="9"/>
    <w:autoRedefine/>
    <w:qFormat/>
    <w:uiPriority w:val="99"/>
    <w:rPr>
      <w:sz w:val="18"/>
      <w:szCs w:val="18"/>
    </w:rPr>
  </w:style>
  <w:style w:type="character" w:customStyle="1" w:styleId="22">
    <w:name w:val="页脚 Char"/>
    <w:basedOn w:val="16"/>
    <w:link w:val="8"/>
    <w:autoRedefine/>
    <w:qFormat/>
    <w:uiPriority w:val="99"/>
    <w:rPr>
      <w:sz w:val="18"/>
      <w:szCs w:val="18"/>
    </w:rPr>
  </w:style>
  <w:style w:type="paragraph" w:customStyle="1" w:styleId="23">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4">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5">
    <w:name w:val="NormalCharacter"/>
    <w:autoRedefine/>
    <w:semiHidden/>
    <w:qFormat/>
    <w:uiPriority w:val="0"/>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11"/>
    <w:basedOn w:val="16"/>
    <w:autoRedefine/>
    <w:qFormat/>
    <w:uiPriority w:val="0"/>
    <w:rPr>
      <w:rFonts w:hint="eastAsia" w:ascii="宋体" w:hAnsi="宋体" w:eastAsia="宋体" w:cs="宋体"/>
      <w:color w:val="000000"/>
      <w:sz w:val="24"/>
      <w:szCs w:val="24"/>
      <w:u w:val="none"/>
    </w:rPr>
  </w:style>
  <w:style w:type="character" w:customStyle="1" w:styleId="28">
    <w:name w:val="font41"/>
    <w:basedOn w:val="16"/>
    <w:autoRedefine/>
    <w:qFormat/>
    <w:uiPriority w:val="0"/>
    <w:rPr>
      <w:rFonts w:hint="eastAsia" w:ascii="宋体" w:hAnsi="宋体" w:eastAsia="宋体" w:cs="宋体"/>
      <w:b/>
      <w:bCs/>
      <w:color w:val="000000"/>
      <w:sz w:val="24"/>
      <w:szCs w:val="24"/>
      <w:u w:val="none"/>
    </w:rPr>
  </w:style>
  <w:style w:type="character" w:customStyle="1" w:styleId="29">
    <w:name w:val="Anrede1IhrZeichen"/>
    <w:autoRedefine/>
    <w:qFormat/>
    <w:uiPriority w:val="0"/>
    <w:rPr>
      <w:rFonts w:hint="default" w:ascii="Arial" w:hAnsi="Arial"/>
      <w:sz w:val="20"/>
    </w:rPr>
  </w:style>
  <w:style w:type="paragraph" w:customStyle="1" w:styleId="30">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1">
    <w:name w:val="Plain Text1"/>
    <w:basedOn w:val="32"/>
    <w:autoRedefine/>
    <w:qFormat/>
    <w:uiPriority w:val="0"/>
    <w:pPr>
      <w:widowControl/>
      <w:jc w:val="left"/>
    </w:pPr>
    <w:rPr>
      <w:rFonts w:ascii="宋体" w:hAnsi="Courier New"/>
    </w:rPr>
  </w:style>
  <w:style w:type="paragraph" w:customStyle="1" w:styleId="32">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3">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4">
    <w:name w:val="font21"/>
    <w:basedOn w:val="16"/>
    <w:qFormat/>
    <w:uiPriority w:val="0"/>
    <w:rPr>
      <w:rFonts w:ascii="Calibri" w:hAnsi="Calibri" w:cs="Calibri"/>
      <w:color w:val="000000"/>
      <w:sz w:val="21"/>
      <w:szCs w:val="21"/>
      <w:u w:val="none"/>
    </w:rPr>
  </w:style>
  <w:style w:type="paragraph" w:customStyle="1" w:styleId="3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_Style 2"/>
    <w:autoRedefine/>
    <w:qFormat/>
    <w:uiPriority w:val="1"/>
    <w:pPr>
      <w:adjustRightInd w:val="0"/>
      <w:snapToGrid w:val="0"/>
    </w:pPr>
    <w:rPr>
      <w:rFonts w:ascii="Tahoma" w:hAnsi="Tahoma"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9696</Words>
  <Characters>9991</Characters>
  <Lines>6</Lines>
  <Paragraphs>1</Paragraphs>
  <TotalTime>6</TotalTime>
  <ScaleCrop>false</ScaleCrop>
  <LinksUpToDate>false</LinksUpToDate>
  <CharactersWithSpaces>10871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2026-06-24T06:17:12Z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BD0ACAFC8387426EBD5A9A7532D5A162_13</vt:lpwstr>
  </property>
  <property fmtid="{D5CDD505-2E9C-101B-9397-08002B2CF9AE}" pid="5" name="KSOTemplateDocerSaveRecord">
    <vt:lpwstr>eyJoZGlkIjoiNmMyMTAzZGJhYmZjM2QxZDk4OTE3MDVkMTNlYTIzODgiLCJ1c2VySWQiOiIyNjc5NjA4NjEifQ==</vt:lpwstr>
  </property>
</Properties>
</file>