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CA2F3">
      <w:pPr>
        <w:pStyle w:val="3"/>
        <w:tabs>
          <w:tab w:val="clear" w:pos="840"/>
        </w:tabs>
        <w:adjustRightInd/>
        <w:snapToGrid/>
        <w:spacing w:before="120" w:after="120" w:line="360" w:lineRule="auto"/>
        <w:jc w:val="center"/>
        <w:rPr>
          <w:rFonts w:hint="eastAsia" w:ascii="宋体" w:hAnsi="宋体" w:eastAsia="宋体" w:cs="宋体"/>
          <w:color w:val="000000"/>
          <w:sz w:val="44"/>
          <w:szCs w:val="44"/>
          <w:highlight w:val="none"/>
          <w:lang w:val="en-US" w:eastAsia="zh-CN"/>
        </w:rPr>
      </w:pPr>
      <w:bookmarkStart w:id="0" w:name="_Toc451522337"/>
      <w:r>
        <w:rPr>
          <w:rFonts w:hint="eastAsia" w:hAnsi="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rPr>
        <w:t>温州市中医院</w:t>
      </w:r>
      <w:r>
        <w:rPr>
          <w:rFonts w:hint="eastAsia" w:ascii="宋体" w:hAnsi="宋体" w:eastAsia="宋体" w:cs="宋体"/>
          <w:color w:val="000000"/>
          <w:sz w:val="44"/>
          <w:szCs w:val="44"/>
          <w:highlight w:val="none"/>
          <w:lang w:val="en-US" w:eastAsia="zh-CN"/>
        </w:rPr>
        <w:t>资产评估服务采购项目</w:t>
      </w:r>
      <w:r>
        <w:rPr>
          <w:rFonts w:hint="eastAsia" w:ascii="宋体" w:hAnsi="宋体" w:eastAsia="宋体" w:cs="宋体"/>
          <w:color w:val="000000"/>
          <w:sz w:val="44"/>
          <w:szCs w:val="44"/>
          <w:highlight w:val="none"/>
        </w:rPr>
        <w:t>采购</w:t>
      </w:r>
      <w:bookmarkEnd w:id="0"/>
      <w:r>
        <w:rPr>
          <w:rFonts w:hint="eastAsia" w:ascii="宋体" w:hAnsi="宋体" w:eastAsia="宋体" w:cs="宋体"/>
          <w:color w:val="000000"/>
          <w:sz w:val="44"/>
          <w:szCs w:val="44"/>
          <w:highlight w:val="none"/>
          <w:lang w:val="en-US" w:eastAsia="zh-CN"/>
        </w:rPr>
        <w:t>文件</w:t>
      </w:r>
    </w:p>
    <w:p w14:paraId="5CD9E424">
      <w:pPr>
        <w:numPr>
          <w:ilvl w:val="0"/>
          <w:numId w:val="2"/>
        </w:numPr>
        <w:rPr>
          <w:rFonts w:hint="eastAsia"/>
          <w:b/>
          <w:bCs/>
          <w:sz w:val="28"/>
          <w:szCs w:val="28"/>
          <w:highlight w:val="none"/>
        </w:rPr>
      </w:pPr>
      <w:r>
        <w:rPr>
          <w:rFonts w:hint="eastAsia"/>
          <w:b/>
          <w:bCs/>
          <w:sz w:val="28"/>
          <w:szCs w:val="28"/>
          <w:highlight w:val="none"/>
        </w:rPr>
        <w:t>项目基本信息</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3"/>
        <w:gridCol w:w="7967"/>
      </w:tblGrid>
      <w:tr w14:paraId="5E83C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2C76E592">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条目</w:t>
            </w:r>
          </w:p>
        </w:tc>
        <w:tc>
          <w:tcPr>
            <w:tcW w:w="7967" w:type="dxa"/>
          </w:tcPr>
          <w:p w14:paraId="76F7B23E">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内容</w:t>
            </w:r>
          </w:p>
        </w:tc>
      </w:tr>
      <w:tr w14:paraId="233E7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4C535C99">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项目名称</w:t>
            </w:r>
          </w:p>
        </w:tc>
        <w:tc>
          <w:tcPr>
            <w:tcW w:w="7967" w:type="dxa"/>
          </w:tcPr>
          <w:p w14:paraId="50FA8C1F">
            <w:pPr>
              <w:pStyle w:val="4"/>
              <w:widowControl w:val="0"/>
              <w:numPr>
                <w:ilvl w:val="0"/>
                <w:numId w:val="0"/>
              </w:numPr>
              <w:spacing w:line="360" w:lineRule="auto"/>
              <w:jc w:val="lef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温州市中医院</w:t>
            </w:r>
            <w:r>
              <w:rPr>
                <w:rFonts w:hint="eastAsia" w:ascii="宋体" w:hAnsi="宋体" w:cs="宋体"/>
                <w:sz w:val="24"/>
                <w:szCs w:val="24"/>
                <w:highlight w:val="none"/>
                <w:lang w:val="en-US" w:eastAsia="zh-CN"/>
              </w:rPr>
              <w:t>资产评估服务采购项目</w:t>
            </w:r>
          </w:p>
        </w:tc>
      </w:tr>
      <w:tr w14:paraId="1BCF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2B014867">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采购人</w:t>
            </w:r>
          </w:p>
        </w:tc>
        <w:tc>
          <w:tcPr>
            <w:tcW w:w="7967" w:type="dxa"/>
          </w:tcPr>
          <w:p w14:paraId="70AFE6FD">
            <w:pPr>
              <w:pStyle w:val="4"/>
              <w:widowControl w:val="0"/>
              <w:numPr>
                <w:ilvl w:val="0"/>
                <w:numId w:val="0"/>
              </w:numPr>
              <w:spacing w:line="360" w:lineRule="auto"/>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温州市中医院</w:t>
            </w:r>
          </w:p>
        </w:tc>
      </w:tr>
      <w:tr w14:paraId="0F69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5FC4A5A0">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采购方式</w:t>
            </w:r>
          </w:p>
        </w:tc>
        <w:tc>
          <w:tcPr>
            <w:tcW w:w="7967" w:type="dxa"/>
          </w:tcPr>
          <w:p w14:paraId="0E26F2F1">
            <w:pPr>
              <w:pStyle w:val="4"/>
              <w:widowControl w:val="0"/>
              <w:numPr>
                <w:ilvl w:val="0"/>
                <w:numId w:val="0"/>
              </w:numPr>
              <w:spacing w:line="360" w:lineRule="auto"/>
              <w:jc w:val="lef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框架协议采购（第二阶段</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院内公开遴选</w:t>
            </w:r>
            <w:r>
              <w:rPr>
                <w:rFonts w:hint="eastAsia" w:ascii="宋体" w:hAnsi="宋体" w:eastAsia="宋体" w:cs="宋体"/>
                <w:sz w:val="24"/>
                <w:szCs w:val="24"/>
                <w:highlight w:val="none"/>
              </w:rPr>
              <w:t>）</w:t>
            </w:r>
          </w:p>
        </w:tc>
      </w:tr>
      <w:tr w14:paraId="317F9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4B7FD294">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项目预算</w:t>
            </w:r>
          </w:p>
        </w:tc>
        <w:tc>
          <w:tcPr>
            <w:tcW w:w="7967" w:type="dxa"/>
          </w:tcPr>
          <w:p w14:paraId="612E06D6">
            <w:pPr>
              <w:pStyle w:val="4"/>
              <w:widowControl w:val="0"/>
              <w:numPr>
                <w:ilvl w:val="0"/>
                <w:numId w:val="0"/>
              </w:numPr>
              <w:spacing w:line="360" w:lineRule="auto"/>
              <w:jc w:val="left"/>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2.5万元</w:t>
            </w:r>
          </w:p>
        </w:tc>
      </w:tr>
      <w:tr w14:paraId="55AD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0804A6E0">
            <w:pPr>
              <w:pStyle w:val="4"/>
              <w:widowControl w:val="0"/>
              <w:numPr>
                <w:ilvl w:val="0"/>
                <w:numId w:val="0"/>
              </w:num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最高限价（收费标准）：</w:t>
            </w:r>
          </w:p>
        </w:tc>
        <w:tc>
          <w:tcPr>
            <w:tcW w:w="7967" w:type="dxa"/>
          </w:tcPr>
          <w:p w14:paraId="141834C7">
            <w:pPr>
              <w:pStyle w:val="4"/>
              <w:widowControl w:val="0"/>
              <w:numPr>
                <w:ilvl w:val="0"/>
                <w:numId w:val="0"/>
              </w:numPr>
              <w:spacing w:line="360" w:lineRule="auto"/>
              <w:jc w:val="left"/>
              <w:rPr>
                <w:rFonts w:hint="default"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按浙江省物价局关于制定资产评估收费标准的通知（浙价服[2011]90号）的标准，按差额定率累进计费方式计价，</w:t>
            </w:r>
            <w:r>
              <w:rPr>
                <w:rFonts w:hint="eastAsia" w:ascii="宋体" w:hAnsi="宋体" w:cs="宋体"/>
                <w:b/>
                <w:bCs/>
                <w:sz w:val="24"/>
                <w:szCs w:val="24"/>
                <w:highlight w:val="none"/>
                <w:vertAlign w:val="baseline"/>
                <w:lang w:val="en-US" w:eastAsia="zh-CN"/>
              </w:rPr>
              <w:t>折扣率不低于50%。</w:t>
            </w:r>
          </w:p>
        </w:tc>
      </w:tr>
      <w:tr w14:paraId="2FC2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3" w:type="dxa"/>
            <w:vAlign w:val="center"/>
          </w:tcPr>
          <w:p w14:paraId="7A7044EF">
            <w:pPr>
              <w:pStyle w:val="4"/>
              <w:widowControl w:val="0"/>
              <w:numPr>
                <w:ilvl w:val="0"/>
                <w:numId w:val="0"/>
              </w:numPr>
              <w:spacing w:line="360" w:lineRule="auto"/>
              <w:jc w:val="center"/>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rPr>
              <w:t>服务期限</w:t>
            </w:r>
          </w:p>
        </w:tc>
        <w:tc>
          <w:tcPr>
            <w:tcW w:w="7967" w:type="dxa"/>
          </w:tcPr>
          <w:p w14:paraId="3BE95721">
            <w:pPr>
              <w:pStyle w:val="24"/>
              <w:spacing w:line="360" w:lineRule="auto"/>
              <w:jc w:val="left"/>
              <w:rPr>
                <w:rFonts w:hint="eastAsia" w:ascii="宋体" w:hAnsi="宋体" w:eastAsia="宋体" w:cs="宋体"/>
                <w:sz w:val="24"/>
                <w:szCs w:val="24"/>
                <w:highlight w:val="none"/>
                <w:vertAlign w:val="baseline"/>
                <w:lang w:eastAsia="zh-CN"/>
              </w:rPr>
            </w:pPr>
            <w:r>
              <w:rPr>
                <w:rFonts w:hint="eastAsia" w:ascii="宋体" w:cs="宋体"/>
                <w:sz w:val="24"/>
                <w:szCs w:val="24"/>
                <w:highlight w:val="none"/>
                <w:lang w:val="en-US" w:eastAsia="zh-CN"/>
              </w:rPr>
              <w:t>2年，</w:t>
            </w:r>
            <w:r>
              <w:rPr>
                <w:rFonts w:hint="eastAsia" w:ascii="宋体" w:hAnsi="宋体" w:eastAsia="宋体" w:cs="宋体"/>
                <w:sz w:val="24"/>
                <w:szCs w:val="24"/>
                <w:highlight w:val="none"/>
              </w:rPr>
              <w:t>自合同</w:t>
            </w:r>
            <w:r>
              <w:rPr>
                <w:rFonts w:hint="eastAsia" w:ascii="宋体" w:cs="宋体"/>
                <w:sz w:val="24"/>
                <w:szCs w:val="24"/>
                <w:highlight w:val="none"/>
                <w:lang w:val="en-US" w:eastAsia="zh-CN"/>
              </w:rPr>
              <w:t>生效</w:t>
            </w:r>
            <w:r>
              <w:rPr>
                <w:rFonts w:hint="eastAsia" w:ascii="宋体" w:hAnsi="宋体" w:eastAsia="宋体" w:cs="宋体"/>
                <w:sz w:val="24"/>
                <w:szCs w:val="24"/>
                <w:highlight w:val="none"/>
              </w:rPr>
              <w:t>之日起</w:t>
            </w:r>
            <w:r>
              <w:rPr>
                <w:rFonts w:hint="eastAsia" w:ascii="宋体" w:cs="宋体"/>
                <w:sz w:val="24"/>
                <w:szCs w:val="24"/>
                <w:highlight w:val="none"/>
                <w:lang w:val="en-US" w:eastAsia="zh-CN"/>
              </w:rPr>
              <w:t>计或累计采购金额达到预算金额时自动终止。</w:t>
            </w:r>
            <w:r>
              <w:rPr>
                <w:rFonts w:hint="eastAsia" w:ascii="宋体" w:hAnsi="宋体" w:eastAsia="宋体" w:cs="宋体"/>
                <w:color w:val="auto"/>
                <w:sz w:val="24"/>
                <w:szCs w:val="24"/>
                <w:highlight w:val="none"/>
                <w:lang w:val="en-US"/>
              </w:rPr>
              <w:t>合作期内如</w:t>
            </w:r>
            <w:r>
              <w:rPr>
                <w:rFonts w:hint="eastAsia" w:ascii="宋体" w:cs="宋体"/>
                <w:color w:val="auto"/>
                <w:sz w:val="24"/>
                <w:szCs w:val="24"/>
                <w:highlight w:val="none"/>
                <w:lang w:val="en-US" w:eastAsia="zh-CN"/>
              </w:rPr>
              <w:t>供应商政府集中采购入围资格或设区的市级及以上财政部门备案取消的合同自动终止，双方互不承担违约责任</w:t>
            </w:r>
            <w:r>
              <w:rPr>
                <w:rFonts w:hint="eastAsia" w:ascii="宋体" w:hAnsi="宋体" w:eastAsia="宋体" w:cs="宋体"/>
                <w:color w:val="auto"/>
                <w:sz w:val="24"/>
                <w:szCs w:val="24"/>
                <w:highlight w:val="none"/>
                <w:lang w:val="en-US" w:eastAsia="zh-CN"/>
              </w:rPr>
              <w:t>。</w:t>
            </w:r>
          </w:p>
        </w:tc>
      </w:tr>
    </w:tbl>
    <w:p w14:paraId="5F357481">
      <w:pPr>
        <w:rPr>
          <w:rFonts w:hint="eastAsia"/>
          <w:highlight w:val="none"/>
        </w:rPr>
      </w:pPr>
    </w:p>
    <w:p w14:paraId="058BF722">
      <w:pPr>
        <w:rPr>
          <w:rFonts w:hint="eastAsia"/>
          <w:b/>
          <w:bCs/>
          <w:sz w:val="28"/>
          <w:szCs w:val="28"/>
          <w:highlight w:val="none"/>
        </w:rPr>
      </w:pPr>
      <w:r>
        <w:rPr>
          <w:rFonts w:hint="eastAsia"/>
          <w:b/>
          <w:bCs/>
          <w:sz w:val="28"/>
          <w:szCs w:val="28"/>
          <w:highlight w:val="none"/>
        </w:rPr>
        <w:t>二、采购需求与服务要求</w:t>
      </w:r>
    </w:p>
    <w:p w14:paraId="7F9E02F3">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（一）服务</w:t>
      </w:r>
      <w:r>
        <w:rPr>
          <w:rFonts w:hint="eastAsia" w:ascii="宋体" w:hAnsi="宋体" w:cs="宋体"/>
          <w:sz w:val="24"/>
          <w:szCs w:val="24"/>
          <w:highlight w:val="none"/>
          <w:lang w:val="en-US" w:eastAsia="zh-CN"/>
        </w:rPr>
        <w:t>内容</w:t>
      </w:r>
    </w:p>
    <w:p w14:paraId="03758239">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对采购人</w:t>
      </w:r>
      <w:r>
        <w:rPr>
          <w:rFonts w:hint="eastAsia" w:ascii="宋体" w:hAnsi="宋体" w:eastAsia="宋体" w:cs="宋体"/>
          <w:sz w:val="24"/>
          <w:szCs w:val="24"/>
          <w:highlight w:val="none"/>
        </w:rPr>
        <w:t>包括但不限于国有资产处置、出租出借、产权转让、资产划转、资产涉讼等方面进行资产评估，出具满足</w:t>
      </w:r>
      <w:r>
        <w:rPr>
          <w:rFonts w:hint="eastAsia" w:ascii="宋体" w:hAnsi="宋体" w:cs="宋体"/>
          <w:sz w:val="24"/>
          <w:szCs w:val="24"/>
          <w:highlight w:val="none"/>
          <w:lang w:val="en-US" w:eastAsia="zh-CN"/>
        </w:rPr>
        <w:t>财政</w:t>
      </w:r>
      <w:r>
        <w:rPr>
          <w:rFonts w:hint="eastAsia" w:ascii="宋体" w:hAnsi="宋体" w:eastAsia="宋体" w:cs="宋体"/>
          <w:sz w:val="24"/>
          <w:szCs w:val="24"/>
          <w:highlight w:val="none"/>
        </w:rPr>
        <w:t>、工商、税务备案等要求的资产评估报告。</w:t>
      </w:r>
    </w:p>
    <w:p w14:paraId="5D92B1E7">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▲（二）供应商资格要求</w:t>
      </w:r>
    </w:p>
    <w:p w14:paraId="5E08C14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投标人必须同时满足以下所有条件，其中任何一条不满足，其投标将被视为无效：</w:t>
      </w:r>
    </w:p>
    <w:p w14:paraId="40E0541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基本资格：具有独立承担民事责任的能力，具有良好的商业信誉和健全的财务会计制度。</w:t>
      </w:r>
    </w:p>
    <w:p w14:paraId="71EC0E3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行业资质：具备有效的《营业执照》</w:t>
      </w:r>
      <w:r>
        <w:rPr>
          <w:rFonts w:hint="eastAsia" w:ascii="宋体" w:hAnsi="宋体" w:eastAsia="宋体" w:cs="宋体"/>
          <w:sz w:val="24"/>
          <w:szCs w:val="24"/>
          <w:highlight w:val="none"/>
          <w:lang w:val="en-US" w:eastAsia="zh-CN"/>
        </w:rPr>
        <w:t>及经</w:t>
      </w:r>
      <w:r>
        <w:rPr>
          <w:rFonts w:hint="eastAsia" w:ascii="宋体" w:hAnsi="宋体" w:eastAsia="宋体" w:cs="宋体"/>
          <w:sz w:val="24"/>
          <w:szCs w:val="24"/>
          <w:highlight w:val="none"/>
        </w:rPr>
        <w:t>设区的市级</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rPr>
        <w:t>以上财政部门依法备案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提供营业执照及备案文件并加盖公章</w:t>
      </w:r>
      <w:r>
        <w:rPr>
          <w:rFonts w:hint="eastAsia" w:ascii="宋体" w:hAnsi="宋体" w:eastAsia="宋体" w:cs="宋体"/>
          <w:sz w:val="24"/>
          <w:szCs w:val="24"/>
          <w:highlight w:val="none"/>
        </w:rPr>
        <w:t>。</w:t>
      </w:r>
    </w:p>
    <w:p w14:paraId="2A5E70C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核心前提（政府集中采购入围）：</w:t>
      </w:r>
    </w:p>
    <w:p w14:paraId="547CE83E">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3.1 </w:t>
      </w:r>
      <w:r>
        <w:rPr>
          <w:rFonts w:hint="eastAsia" w:ascii="宋体" w:hAnsi="宋体" w:eastAsia="宋体" w:cs="宋体"/>
          <w:sz w:val="24"/>
          <w:szCs w:val="24"/>
          <w:highlight w:val="none"/>
        </w:rPr>
        <w:t>投标人必须是“2026-2027年度温州市资产评估服务封闭式框架采购项目”的入围供应商。</w:t>
      </w:r>
    </w:p>
    <w:p w14:paraId="169B1FA3">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3.2 </w:t>
      </w:r>
      <w:r>
        <w:rPr>
          <w:rFonts w:hint="eastAsia" w:ascii="宋体" w:hAnsi="宋体" w:eastAsia="宋体" w:cs="宋体"/>
          <w:sz w:val="24"/>
          <w:szCs w:val="24"/>
          <w:highlight w:val="none"/>
        </w:rPr>
        <w:t>证明材料：须提供</w:t>
      </w:r>
      <w:r>
        <w:rPr>
          <w:rFonts w:hint="eastAsia" w:ascii="宋体" w:hAnsi="宋体" w:cs="宋体"/>
          <w:sz w:val="24"/>
          <w:szCs w:val="24"/>
          <w:highlight w:val="none"/>
          <w:lang w:val="en-US" w:eastAsia="zh-CN"/>
        </w:rPr>
        <w:t>《入围结果通知书》</w:t>
      </w:r>
      <w:r>
        <w:rPr>
          <w:rFonts w:hint="eastAsia" w:ascii="宋体" w:hAnsi="宋体" w:eastAsia="宋体" w:cs="宋体"/>
          <w:sz w:val="24"/>
          <w:szCs w:val="24"/>
          <w:highlight w:val="none"/>
        </w:rPr>
        <w:t>，并加盖投标人公章。采购人有权通过官方渠道进行核实，如发现虚假材料，将取消其投标或中标资格，并报主管部门处理。</w:t>
      </w:r>
    </w:p>
    <w:p w14:paraId="79C2E7B3">
      <w:pPr>
        <w:spacing w:line="360" w:lineRule="auto"/>
        <w:rPr>
          <w:rFonts w:hint="default" w:ascii="宋体" w:hAnsi="宋体" w:cs="宋体"/>
          <w:sz w:val="24"/>
          <w:szCs w:val="24"/>
          <w:highlight w:val="none"/>
          <w:lang w:val="en-US" w:eastAsia="zh-CN"/>
        </w:rPr>
      </w:pPr>
      <w:r>
        <w:rPr>
          <w:rFonts w:hint="eastAsia" w:ascii="宋体" w:hAnsi="宋体" w:eastAsia="宋体" w:cs="宋体"/>
          <w:sz w:val="24"/>
          <w:szCs w:val="24"/>
          <w:highlight w:val="none"/>
        </w:rPr>
        <w:t>（三）</w:t>
      </w:r>
      <w:r>
        <w:rPr>
          <w:rFonts w:hint="eastAsia" w:ascii="宋体" w:hAnsi="宋体" w:cs="宋体"/>
          <w:sz w:val="24"/>
          <w:szCs w:val="24"/>
          <w:highlight w:val="none"/>
          <w:lang w:val="en-US" w:eastAsia="zh-CN"/>
        </w:rPr>
        <w:t>下单流程</w:t>
      </w:r>
    </w:p>
    <w:p w14:paraId="7F5AF143">
      <w:pPr>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通过政采云下单。</w:t>
      </w:r>
    </w:p>
    <w:p w14:paraId="190EEA6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（四）服务质量与时效承诺</w:t>
      </w:r>
    </w:p>
    <w:p w14:paraId="04D8C12A">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乙方在甲方提供全部评估所需资料之日起15个工作日内，以书面形式提交资产评估报告书共计叁份。</w:t>
      </w:r>
    </w:p>
    <w:p w14:paraId="3CD208EC">
      <w:pPr>
        <w:spacing w:line="360" w:lineRule="auto"/>
        <w:rPr>
          <w:rFonts w:hint="default" w:ascii="宋体" w:hAnsi="宋体" w:eastAsia="宋体"/>
          <w:b/>
          <w:bCs/>
          <w:color w:val="000000"/>
          <w:sz w:val="28"/>
          <w:szCs w:val="28"/>
          <w:highlight w:val="none"/>
          <w:lang w:val="en-US" w:eastAsia="zh-CN"/>
        </w:rPr>
      </w:pPr>
      <w:r>
        <w:rPr>
          <w:rFonts w:hint="eastAsia" w:ascii="宋体" w:hAnsi="宋体"/>
          <w:b/>
          <w:bCs/>
          <w:color w:val="000000"/>
          <w:sz w:val="28"/>
          <w:szCs w:val="28"/>
          <w:highlight w:val="none"/>
          <w:lang w:val="en-US" w:eastAsia="zh-CN"/>
        </w:rPr>
        <w:t>三</w:t>
      </w:r>
      <w:r>
        <w:rPr>
          <w:rFonts w:hint="eastAsia" w:ascii="宋体" w:hAnsi="宋体"/>
          <w:b/>
          <w:bCs/>
          <w:color w:val="000000"/>
          <w:sz w:val="28"/>
          <w:szCs w:val="28"/>
          <w:highlight w:val="none"/>
        </w:rPr>
        <w:t>、</w:t>
      </w:r>
      <w:r>
        <w:rPr>
          <w:rFonts w:hint="eastAsia" w:ascii="宋体" w:hAnsi="宋体"/>
          <w:b/>
          <w:bCs/>
          <w:color w:val="000000"/>
          <w:sz w:val="28"/>
          <w:szCs w:val="28"/>
          <w:highlight w:val="none"/>
          <w:lang w:val="en-US" w:eastAsia="zh-CN"/>
        </w:rPr>
        <w:t>付款方式</w:t>
      </w:r>
    </w:p>
    <w:p w14:paraId="3AE2429D">
      <w:pPr>
        <w:spacing w:line="360" w:lineRule="auto"/>
        <w:ind w:firstLine="482" w:firstLineChars="200"/>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US" w:eastAsia="zh-CN"/>
        </w:rPr>
        <w:t>每单评估费=按评估收费标准</w:t>
      </w:r>
      <w:r>
        <w:rPr>
          <w:rFonts w:hint="eastAsia" w:ascii="宋体" w:hAnsi="宋体" w:cs="宋体"/>
          <w:b/>
          <w:color w:val="auto"/>
          <w:sz w:val="24"/>
          <w:szCs w:val="24"/>
          <w:highlight w:val="none"/>
          <w:lang w:val="en-US" w:eastAsia="zh-CN"/>
        </w:rPr>
        <w:t>计算</w:t>
      </w:r>
      <w:r>
        <w:rPr>
          <w:rFonts w:hint="eastAsia" w:ascii="宋体" w:hAnsi="宋体" w:eastAsia="宋体" w:cs="宋体"/>
          <w:b/>
          <w:color w:val="auto"/>
          <w:sz w:val="24"/>
          <w:szCs w:val="24"/>
          <w:highlight w:val="none"/>
          <w:lang w:val="en-US" w:eastAsia="zh-CN"/>
        </w:rPr>
        <w:t>应付评估费</w:t>
      </w:r>
      <w:r>
        <w:rPr>
          <w:rFonts w:hint="eastAsia" w:ascii="宋体" w:hAnsi="宋体" w:cs="宋体"/>
          <w:b/>
          <w:color w:val="auto"/>
          <w:sz w:val="24"/>
          <w:szCs w:val="24"/>
          <w:highlight w:val="none"/>
          <w:lang w:val="en-US" w:eastAsia="zh-CN"/>
        </w:rPr>
        <w:t>（不足1500元时按1500元计）</w:t>
      </w:r>
      <w:r>
        <w:rPr>
          <w:rFonts w:hint="eastAsia" w:ascii="宋体" w:hAnsi="宋体" w:eastAsia="宋体" w:cs="宋体"/>
          <w:b/>
          <w:color w:val="auto"/>
          <w:sz w:val="24"/>
          <w:szCs w:val="24"/>
          <w:highlight w:val="none"/>
          <w:lang w:val="en-US" w:eastAsia="zh-CN"/>
        </w:rPr>
        <w:t>*（1-折扣率）。</w:t>
      </w:r>
    </w:p>
    <w:p w14:paraId="1FEA783A">
      <w:pPr>
        <w:spacing w:line="360" w:lineRule="auto"/>
        <w:ind w:firstLine="482" w:firstLineChars="200"/>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2、每完成一个单项评估工作并出具报告后30日内，一次性支付应付评估费的100%，供应商出具有效发票。</w:t>
      </w:r>
    </w:p>
    <w:p w14:paraId="0D5C0705">
      <w:pPr>
        <w:overflowPunct w:val="0"/>
        <w:spacing w:line="360" w:lineRule="auto"/>
        <w:rPr>
          <w:rFonts w:hint="eastAsia" w:ascii="宋体" w:hAnsi="宋体" w:cs="黑体"/>
          <w:b/>
          <w:bCs/>
          <w:sz w:val="28"/>
          <w:szCs w:val="28"/>
          <w:highlight w:val="none"/>
        </w:rPr>
      </w:pPr>
      <w:r>
        <w:rPr>
          <w:rFonts w:hint="eastAsia" w:ascii="宋体" w:hAnsi="宋体" w:cs="黑体"/>
          <w:b/>
          <w:bCs/>
          <w:sz w:val="28"/>
          <w:szCs w:val="28"/>
          <w:highlight w:val="none"/>
          <w:lang w:val="en-US" w:eastAsia="zh-CN"/>
        </w:rPr>
        <w:t>四</w:t>
      </w:r>
      <w:r>
        <w:rPr>
          <w:rFonts w:hint="eastAsia" w:ascii="宋体" w:hAnsi="宋体" w:cs="黑体"/>
          <w:b/>
          <w:bCs/>
          <w:sz w:val="28"/>
          <w:szCs w:val="28"/>
          <w:highlight w:val="none"/>
        </w:rPr>
        <w:t>、定标方法</w:t>
      </w:r>
    </w:p>
    <w:p w14:paraId="27901D80">
      <w:pPr>
        <w:pStyle w:val="4"/>
        <w:spacing w:line="360" w:lineRule="auto"/>
        <w:ind w:firstLine="0"/>
        <w:rPr>
          <w:rFonts w:hint="eastAsia" w:ascii="宋体" w:hAnsi="宋体" w:cs="宋体"/>
          <w:sz w:val="24"/>
          <w:szCs w:val="24"/>
          <w:highlight w:val="none"/>
        </w:rPr>
      </w:pPr>
      <w:r>
        <w:rPr>
          <w:rFonts w:hint="eastAsia" w:ascii="宋体" w:hAnsi="宋体" w:cs="宋体"/>
          <w:sz w:val="24"/>
          <w:szCs w:val="24"/>
          <w:highlight w:val="none"/>
        </w:rPr>
        <w:t>1、确定中标候选人</w:t>
      </w:r>
    </w:p>
    <w:p w14:paraId="39861787">
      <w:pPr>
        <w:pStyle w:val="4"/>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1.1由评标委员会确定中标候选人。</w:t>
      </w:r>
    </w:p>
    <w:p w14:paraId="5DB6E943">
      <w:pPr>
        <w:pStyle w:val="4"/>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评标委员会依据法律、法规及招标文件有关规定按评审后得分（即技术分与商务分之和）由高到低顺序排序，得分前二名的投标人确定为该项目的第一和第二中标候选人（得分相同报价低的排序第一；得分且报价相同的，技术指标优的排序第一）向采购人推荐。</w:t>
      </w:r>
    </w:p>
    <w:p w14:paraId="7C80E109">
      <w:pPr>
        <w:pStyle w:val="4"/>
        <w:spacing w:line="360" w:lineRule="auto"/>
        <w:ind w:firstLine="0"/>
        <w:rPr>
          <w:rFonts w:hint="eastAsia" w:ascii="宋体" w:hAnsi="宋体" w:cs="宋体"/>
          <w:sz w:val="24"/>
          <w:szCs w:val="24"/>
          <w:highlight w:val="none"/>
        </w:rPr>
      </w:pPr>
      <w:r>
        <w:rPr>
          <w:rFonts w:hint="eastAsia" w:ascii="宋体" w:hAnsi="宋体" w:cs="宋体"/>
          <w:sz w:val="24"/>
          <w:szCs w:val="24"/>
          <w:highlight w:val="none"/>
        </w:rPr>
        <w:t>2、确定中标人</w:t>
      </w:r>
    </w:p>
    <w:p w14:paraId="6E0C2505">
      <w:pPr>
        <w:pStyle w:val="4"/>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2.1采购人按照评标报告中推荐的中标候选供应商顺序确定中标人；也可以事先授权评标委员会按照推荐的中标候选供应商顺序直接确定中标人。中标候选人并列的，采取随机抽取的方式确定。</w:t>
      </w:r>
    </w:p>
    <w:p w14:paraId="5804662F">
      <w:pPr>
        <w:pStyle w:val="4"/>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2.2如中标人放弃中标、或未能在规定时间内与采购单位签订合同的；或者经质疑，采购人审查后，确因排名第一的候选人在本次采购活动中存在违法违规行为或其他原因使质疑成立的，采购人可以视情况直接确定排名第二的候选人为中标人或重新组织招标。</w:t>
      </w:r>
    </w:p>
    <w:p w14:paraId="702FC34A">
      <w:pPr>
        <w:pStyle w:val="4"/>
        <w:numPr>
          <w:ilvl w:val="0"/>
          <w:numId w:val="3"/>
        </w:numPr>
        <w:spacing w:line="360" w:lineRule="auto"/>
        <w:ind w:firstLine="480" w:firstLineChars="200"/>
        <w:rPr>
          <w:rFonts w:hint="eastAsia"/>
          <w:sz w:val="24"/>
          <w:szCs w:val="24"/>
          <w:highlight w:val="none"/>
          <w:lang w:eastAsia="zh-CN"/>
        </w:rPr>
      </w:pPr>
      <w:r>
        <w:rPr>
          <w:rFonts w:hint="eastAsia" w:ascii="宋体" w:hAnsi="宋体" w:cs="宋体"/>
          <w:sz w:val="24"/>
          <w:szCs w:val="24"/>
          <w:highlight w:val="none"/>
        </w:rPr>
        <w:t>中标人确定后，采购人将在温州市中医院官网公告中标结果，</w:t>
      </w:r>
      <w:r>
        <w:rPr>
          <w:rFonts w:hint="eastAsia" w:ascii="宋体" w:hAnsi="宋体" w:cs="宋体"/>
          <w:sz w:val="24"/>
          <w:szCs w:val="24"/>
          <w:highlight w:val="none"/>
          <w:lang w:val="en-US" w:eastAsia="zh-CN"/>
        </w:rPr>
        <w:t>并通知</w:t>
      </w:r>
      <w:r>
        <w:rPr>
          <w:rFonts w:hint="eastAsia" w:ascii="宋体" w:hAnsi="宋体" w:cs="宋体"/>
          <w:sz w:val="24"/>
          <w:szCs w:val="24"/>
          <w:highlight w:val="none"/>
        </w:rPr>
        <w:t>中标人</w:t>
      </w:r>
      <w:r>
        <w:rPr>
          <w:rFonts w:hint="eastAsia" w:ascii="宋体" w:hAnsi="宋体" w:cs="宋体"/>
          <w:sz w:val="24"/>
          <w:szCs w:val="24"/>
          <w:highlight w:val="none"/>
          <w:lang w:val="en-US" w:eastAsia="zh-CN"/>
        </w:rPr>
        <w:t>进行合同的签订及项目具体实施</w:t>
      </w:r>
      <w:r>
        <w:rPr>
          <w:rFonts w:hint="eastAsia" w:ascii="宋体" w:hAnsi="宋体" w:cs="宋体"/>
          <w:sz w:val="24"/>
          <w:szCs w:val="24"/>
          <w:highlight w:val="none"/>
        </w:rPr>
        <w:t>。</w:t>
      </w:r>
    </w:p>
    <w:p w14:paraId="26534FBE">
      <w:pPr>
        <w:numPr>
          <w:ilvl w:val="0"/>
          <w:numId w:val="0"/>
        </w:numPr>
        <w:rPr>
          <w:rFonts w:hint="eastAsia"/>
          <w:b/>
          <w:bCs/>
          <w:sz w:val="28"/>
          <w:szCs w:val="28"/>
        </w:rPr>
      </w:pPr>
      <w:r>
        <w:rPr>
          <w:rFonts w:hint="eastAsia" w:ascii="宋体" w:hAnsi="宋体"/>
          <w:b/>
          <w:bCs/>
          <w:color w:val="000000"/>
          <w:sz w:val="28"/>
          <w:szCs w:val="28"/>
          <w:highlight w:val="none"/>
          <w:lang w:val="en-US" w:eastAsia="zh-CN"/>
        </w:rPr>
        <w:t>五</w:t>
      </w:r>
      <w:r>
        <w:rPr>
          <w:rFonts w:hint="eastAsia" w:ascii="宋体" w:hAnsi="宋体"/>
          <w:b/>
          <w:bCs/>
          <w:color w:val="000000"/>
          <w:sz w:val="28"/>
          <w:szCs w:val="28"/>
          <w:highlight w:val="none"/>
        </w:rPr>
        <w:t>、</w:t>
      </w:r>
      <w:r>
        <w:rPr>
          <w:rFonts w:hint="eastAsia" w:ascii="宋体" w:hAnsi="宋体"/>
          <w:b/>
          <w:bCs/>
          <w:color w:val="000000"/>
          <w:sz w:val="28"/>
          <w:szCs w:val="28"/>
          <w:highlight w:val="none"/>
          <w:lang w:val="en-US" w:eastAsia="zh-CN"/>
        </w:rPr>
        <w:t>评分细则</w:t>
      </w:r>
    </w:p>
    <w:p w14:paraId="6696A5D1">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1、技术分的评定（</w:t>
      </w:r>
      <w:r>
        <w:rPr>
          <w:rFonts w:hint="eastAsia" w:ascii="宋体" w:hAnsi="宋体" w:cs="宋体"/>
          <w:sz w:val="24"/>
          <w:szCs w:val="24"/>
          <w:lang w:val="en-US" w:eastAsia="zh-CN"/>
        </w:rPr>
        <w:t>8</w:t>
      </w:r>
      <w:r>
        <w:rPr>
          <w:rFonts w:hint="eastAsia" w:ascii="宋体" w:hAnsi="宋体" w:eastAsia="宋体" w:cs="宋体"/>
          <w:sz w:val="24"/>
          <w:szCs w:val="24"/>
        </w:rPr>
        <w:t>0分)（权值</w:t>
      </w:r>
      <w:r>
        <w:rPr>
          <w:rFonts w:hint="eastAsia" w:ascii="宋体" w:hAnsi="宋体" w:cs="宋体"/>
          <w:sz w:val="24"/>
          <w:szCs w:val="24"/>
          <w:lang w:val="en-US" w:eastAsia="zh-CN"/>
        </w:rPr>
        <w:t>8</w:t>
      </w:r>
      <w:r>
        <w:rPr>
          <w:rFonts w:hint="eastAsia" w:ascii="宋体" w:hAnsi="宋体" w:eastAsia="宋体" w:cs="宋体"/>
          <w:sz w:val="24"/>
          <w:szCs w:val="24"/>
        </w:rPr>
        <w:t>0%）</w:t>
      </w:r>
    </w:p>
    <w:p w14:paraId="20F05E88">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各评委成员按下列评分项目进行评判，每人一张评分计算票，并记名。</w:t>
      </w:r>
      <w:r>
        <w:rPr>
          <w:rFonts w:hint="eastAsia" w:ascii="宋体" w:hAnsi="宋体" w:eastAsia="宋体" w:cs="宋体"/>
          <w:sz w:val="24"/>
          <w:szCs w:val="24"/>
          <w:lang w:val="en-US" w:eastAsia="zh-CN"/>
        </w:rPr>
        <w:t>投标</w:t>
      </w:r>
      <w:r>
        <w:rPr>
          <w:rFonts w:hint="eastAsia" w:ascii="宋体" w:hAnsi="宋体" w:eastAsia="宋体" w:cs="宋体"/>
          <w:sz w:val="24"/>
          <w:szCs w:val="24"/>
        </w:rPr>
        <w:t>文件各项评分内容由评标委员会成员各自评分，如某张票的一个因素项目超过规定的范围，则该张票无效。各评标委员会成员对各</w:t>
      </w:r>
      <w:r>
        <w:rPr>
          <w:rFonts w:hint="eastAsia" w:ascii="宋体" w:hAnsi="宋体" w:eastAsia="宋体" w:cs="宋体"/>
          <w:sz w:val="24"/>
          <w:szCs w:val="24"/>
          <w:lang w:val="en-US" w:eastAsia="zh-CN"/>
        </w:rPr>
        <w:t>投标</w:t>
      </w:r>
      <w:r>
        <w:rPr>
          <w:rFonts w:hint="eastAsia" w:ascii="宋体" w:hAnsi="宋体" w:eastAsia="宋体" w:cs="宋体"/>
          <w:sz w:val="24"/>
          <w:szCs w:val="24"/>
        </w:rPr>
        <w:t>人的各项评分内容评分的算术平均值为各</w:t>
      </w:r>
      <w:r>
        <w:rPr>
          <w:rFonts w:hint="eastAsia" w:ascii="宋体" w:hAnsi="宋体" w:eastAsia="宋体" w:cs="宋体"/>
          <w:sz w:val="24"/>
          <w:szCs w:val="24"/>
          <w:lang w:val="en-US" w:eastAsia="zh-CN"/>
        </w:rPr>
        <w:t>投标</w:t>
      </w:r>
      <w:r>
        <w:rPr>
          <w:rFonts w:hint="eastAsia" w:ascii="宋体" w:hAnsi="宋体" w:eastAsia="宋体" w:cs="宋体"/>
          <w:sz w:val="24"/>
          <w:szCs w:val="24"/>
        </w:rPr>
        <w:t>人技术分得分（小数点后按四舍五入保留2位）。</w:t>
      </w:r>
    </w:p>
    <w:p w14:paraId="3618FD59">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2、商务标（报价）</w:t>
      </w:r>
      <w:r>
        <w:rPr>
          <w:rFonts w:hint="eastAsia" w:ascii="宋体" w:hAnsi="宋体" w:cs="宋体"/>
          <w:sz w:val="24"/>
          <w:szCs w:val="24"/>
          <w:lang w:val="en-US" w:eastAsia="zh-CN"/>
        </w:rPr>
        <w:t>2</w:t>
      </w:r>
      <w:r>
        <w:rPr>
          <w:rFonts w:hint="eastAsia" w:ascii="宋体" w:hAnsi="宋体" w:eastAsia="宋体" w:cs="宋体"/>
          <w:sz w:val="24"/>
          <w:szCs w:val="24"/>
        </w:rPr>
        <w:t>0分（权值</w:t>
      </w:r>
      <w:r>
        <w:rPr>
          <w:rFonts w:hint="eastAsia" w:ascii="宋体" w:hAnsi="宋体" w:cs="宋体"/>
          <w:sz w:val="24"/>
          <w:szCs w:val="24"/>
          <w:lang w:val="en-US" w:eastAsia="zh-CN"/>
        </w:rPr>
        <w:t>2</w:t>
      </w:r>
      <w:r>
        <w:rPr>
          <w:rFonts w:hint="eastAsia" w:ascii="宋体" w:hAnsi="宋体" w:eastAsia="宋体" w:cs="宋体"/>
          <w:sz w:val="24"/>
          <w:szCs w:val="24"/>
        </w:rPr>
        <w:t>0%）</w:t>
      </w:r>
    </w:p>
    <w:p w14:paraId="74848789">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文件要求且报价</w:t>
      </w:r>
      <w:r>
        <w:rPr>
          <w:rFonts w:hint="eastAsia" w:ascii="宋体" w:hAnsi="宋体" w:cs="宋体"/>
          <w:sz w:val="24"/>
          <w:szCs w:val="24"/>
          <w:lang w:val="en-US" w:eastAsia="zh-CN"/>
        </w:rPr>
        <w:t>折扣率最高</w:t>
      </w:r>
      <w:r>
        <w:rPr>
          <w:rFonts w:hint="eastAsia" w:ascii="宋体" w:hAnsi="宋体" w:eastAsia="宋体" w:cs="宋体"/>
          <w:sz w:val="24"/>
          <w:szCs w:val="24"/>
        </w:rPr>
        <w:t>的报价为评审基准价，其余</w:t>
      </w:r>
      <w:r>
        <w:rPr>
          <w:rFonts w:hint="eastAsia" w:ascii="宋体" w:hAnsi="宋体" w:eastAsia="宋体" w:cs="宋体"/>
          <w:sz w:val="24"/>
          <w:szCs w:val="24"/>
          <w:lang w:val="en-US" w:eastAsia="zh-CN"/>
        </w:rPr>
        <w:t>投标</w:t>
      </w:r>
      <w:r>
        <w:rPr>
          <w:rFonts w:hint="eastAsia" w:ascii="宋体" w:hAnsi="宋体" w:eastAsia="宋体" w:cs="宋体"/>
          <w:sz w:val="24"/>
          <w:szCs w:val="24"/>
        </w:rPr>
        <w:t>人报价与该基准价对比，计算出商务报价评分值（保留小数2位）：</w:t>
      </w:r>
    </w:p>
    <w:p w14:paraId="57730576">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1）有效</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人的报价等于评审基准价时其报价分为满分</w:t>
      </w:r>
      <w:r>
        <w:rPr>
          <w:rFonts w:hint="eastAsia" w:ascii="宋体" w:hAnsi="宋体" w:cs="宋体"/>
          <w:sz w:val="24"/>
          <w:szCs w:val="24"/>
          <w:lang w:val="en-US" w:eastAsia="zh-CN"/>
        </w:rPr>
        <w:t>20分</w:t>
      </w:r>
      <w:r>
        <w:rPr>
          <w:rFonts w:hint="eastAsia" w:ascii="宋体" w:hAnsi="宋体" w:eastAsia="宋体" w:cs="宋体"/>
          <w:sz w:val="24"/>
          <w:szCs w:val="24"/>
        </w:rPr>
        <w:t>；</w:t>
      </w:r>
    </w:p>
    <w:p w14:paraId="6FED23C7">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2）其他</w:t>
      </w:r>
      <w:r>
        <w:rPr>
          <w:rFonts w:hint="eastAsia" w:ascii="宋体" w:hAnsi="宋体" w:eastAsia="宋体" w:cs="宋体"/>
          <w:sz w:val="24"/>
          <w:szCs w:val="24"/>
          <w:lang w:val="en-US" w:eastAsia="zh-CN"/>
        </w:rPr>
        <w:t>投标</w:t>
      </w:r>
      <w:r>
        <w:rPr>
          <w:rFonts w:hint="eastAsia" w:ascii="宋体" w:hAnsi="宋体" w:eastAsia="宋体" w:cs="宋体"/>
          <w:sz w:val="24"/>
          <w:szCs w:val="24"/>
        </w:rPr>
        <w:t>人的价格分按以下公式计算：</w:t>
      </w:r>
    </w:p>
    <w:p w14:paraId="6968793E">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报价得分=（</w:t>
      </w:r>
      <w:r>
        <w:rPr>
          <w:rFonts w:hint="eastAsia" w:ascii="宋体" w:hAnsi="宋体" w:eastAsia="宋体" w:cs="宋体"/>
          <w:sz w:val="24"/>
          <w:szCs w:val="24"/>
          <w:lang w:val="en-US" w:eastAsia="zh-CN"/>
        </w:rPr>
        <w:t>投标</w:t>
      </w:r>
      <w:r>
        <w:rPr>
          <w:rFonts w:hint="eastAsia" w:ascii="宋体" w:hAnsi="宋体" w:eastAsia="宋体" w:cs="宋体"/>
          <w:sz w:val="24"/>
          <w:szCs w:val="24"/>
        </w:rPr>
        <w:t>人</w:t>
      </w:r>
      <w:r>
        <w:rPr>
          <w:rFonts w:hint="eastAsia" w:ascii="宋体" w:hAnsi="宋体" w:eastAsia="宋体" w:cs="宋体"/>
          <w:sz w:val="24"/>
          <w:szCs w:val="24"/>
          <w:lang w:val="en-US" w:eastAsia="zh-CN"/>
        </w:rPr>
        <w:t>投标</w:t>
      </w:r>
      <w:r>
        <w:rPr>
          <w:rFonts w:hint="eastAsia" w:ascii="宋体" w:hAnsi="宋体" w:eastAsia="宋体" w:cs="宋体"/>
          <w:sz w:val="24"/>
          <w:szCs w:val="24"/>
        </w:rPr>
        <w:t>报价</w:t>
      </w:r>
      <w:r>
        <w:rPr>
          <w:rFonts w:hint="eastAsia" w:ascii="宋体" w:hAnsi="宋体" w:cs="宋体"/>
          <w:sz w:val="24"/>
          <w:szCs w:val="24"/>
          <w:lang w:val="en-US" w:eastAsia="zh-CN"/>
        </w:rPr>
        <w:t>/</w:t>
      </w:r>
      <w:r>
        <w:rPr>
          <w:rFonts w:hint="eastAsia" w:ascii="宋体" w:hAnsi="宋体" w:eastAsia="宋体" w:cs="宋体"/>
          <w:sz w:val="24"/>
          <w:szCs w:val="24"/>
        </w:rPr>
        <w:t>评分基准价）× 价格权值 ×100（保留小数2位）</w:t>
      </w:r>
    </w:p>
    <w:p w14:paraId="28246573">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3、有效</w:t>
      </w:r>
      <w:r>
        <w:rPr>
          <w:rFonts w:hint="eastAsia" w:ascii="宋体" w:hAnsi="宋体" w:eastAsia="宋体" w:cs="宋体"/>
          <w:sz w:val="24"/>
          <w:szCs w:val="24"/>
          <w:lang w:val="en-US" w:eastAsia="zh-CN"/>
        </w:rPr>
        <w:t>投标</w:t>
      </w:r>
      <w:r>
        <w:rPr>
          <w:rFonts w:hint="eastAsia" w:ascii="宋体" w:hAnsi="宋体" w:eastAsia="宋体" w:cs="宋体"/>
          <w:sz w:val="24"/>
          <w:szCs w:val="24"/>
        </w:rPr>
        <w:t>人的综合得分为技术分和商务（报价）分的总和。</w:t>
      </w:r>
    </w:p>
    <w:p w14:paraId="4D9A3170">
      <w:pPr>
        <w:numPr>
          <w:ilvl w:val="0"/>
          <w:numId w:val="0"/>
        </w:num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4、评标委员会认为</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人的报价明显低于其他通过符合性审查</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人的报价，有可能影响产品质量或者不能诚信履约的，应当要求其在评标现场合理的时间内提供书面说明，必要时提交相关证明材料；</w:t>
      </w:r>
      <w:r>
        <w:rPr>
          <w:rFonts w:hint="eastAsia" w:ascii="宋体" w:hAnsi="宋体" w:eastAsia="宋体" w:cs="宋体"/>
          <w:sz w:val="24"/>
          <w:szCs w:val="24"/>
          <w:lang w:val="en-US" w:eastAsia="zh-CN"/>
        </w:rPr>
        <w:t>投标</w:t>
      </w:r>
      <w:r>
        <w:rPr>
          <w:rFonts w:hint="eastAsia" w:ascii="宋体" w:hAnsi="宋体" w:eastAsia="宋体" w:cs="宋体"/>
          <w:sz w:val="24"/>
          <w:szCs w:val="24"/>
        </w:rPr>
        <w:t>人不能证明其报价合理性的，评标委员会应当将其作为无效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78A9B13A">
      <w:pPr>
        <w:pStyle w:val="3"/>
        <w:spacing w:line="360" w:lineRule="auto"/>
        <w:rPr>
          <w:rFonts w:hint="default" w:eastAsia="宋体"/>
          <w:sz w:val="28"/>
          <w:szCs w:val="28"/>
          <w:lang w:val="en-US" w:eastAsia="zh-CN"/>
        </w:rPr>
      </w:pPr>
      <w:r>
        <w:rPr>
          <w:rFonts w:hint="eastAsia"/>
          <w:sz w:val="28"/>
          <w:szCs w:val="28"/>
          <w:lang w:val="en-US" w:eastAsia="zh-CN"/>
        </w:rPr>
        <w:t>六、附件</w:t>
      </w:r>
    </w:p>
    <w:p w14:paraId="096AC6EF">
      <w:pPr>
        <w:spacing w:line="360" w:lineRule="auto"/>
        <w:rPr>
          <w:rStyle w:val="20"/>
          <w:rFonts w:hint="eastAsia" w:asciiTheme="minorEastAsia" w:hAnsiTheme="minorEastAsia" w:eastAsiaTheme="minorEastAsia" w:cstheme="minorEastAsia"/>
          <w:b w:val="0"/>
          <w:bCs w:val="0"/>
          <w:sz w:val="24"/>
          <w:szCs w:val="24"/>
          <w:highlight w:val="none"/>
          <w:lang w:val="en-US" w:eastAsia="zh-CN"/>
        </w:rPr>
      </w:pPr>
      <w:r>
        <w:rPr>
          <w:rFonts w:hint="eastAsia" w:ascii="宋体" w:hAnsi="宋体"/>
          <w:b/>
          <w:sz w:val="24"/>
          <w:szCs w:val="24"/>
          <w:lang w:val="en-US" w:eastAsia="zh-CN"/>
        </w:rPr>
        <w:t>1、</w:t>
      </w:r>
      <w:r>
        <w:rPr>
          <w:rFonts w:hint="eastAsia" w:ascii="宋体" w:hAnsi="宋体"/>
          <w:b/>
          <w:sz w:val="24"/>
          <w:szCs w:val="24"/>
        </w:rPr>
        <w:t>技术</w:t>
      </w:r>
      <w:r>
        <w:rPr>
          <w:rFonts w:hint="eastAsia" w:ascii="宋体" w:hAnsi="宋体"/>
          <w:b/>
          <w:sz w:val="24"/>
          <w:szCs w:val="24"/>
          <w:lang w:val="en-US" w:eastAsia="zh-CN"/>
        </w:rPr>
        <w:t>评分：满分8</w:t>
      </w:r>
      <w:r>
        <w:rPr>
          <w:rFonts w:hint="eastAsia" w:ascii="宋体" w:hAnsi="宋体"/>
          <w:b/>
          <w:sz w:val="24"/>
          <w:szCs w:val="24"/>
        </w:rPr>
        <w:t>0分</w:t>
      </w:r>
    </w:p>
    <w:tbl>
      <w:tblPr>
        <w:tblStyle w:val="18"/>
        <w:tblpPr w:leftFromText="180" w:rightFromText="180" w:vertAnchor="text" w:horzAnchor="page" w:tblpX="1077" w:tblpY="222"/>
        <w:tblOverlap w:val="never"/>
        <w:tblW w:w="10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00"/>
        <w:gridCol w:w="7028"/>
        <w:gridCol w:w="924"/>
      </w:tblGrid>
      <w:tr w14:paraId="44A70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935" w:type="dxa"/>
            <w:noWrap w:val="0"/>
            <w:vAlign w:val="center"/>
          </w:tcPr>
          <w:p w14:paraId="77E547A9">
            <w:pPr>
              <w:pStyle w:val="7"/>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val="0"/>
                <w:bCs/>
                <w:color w:val="auto"/>
                <w:sz w:val="22"/>
                <w:szCs w:val="22"/>
                <w:highlight w:val="none"/>
                <w:vertAlign w:val="baseline"/>
                <w:lang w:val="en-US" w:eastAsia="zh-CN"/>
                <w14:ligatures w14:val="none"/>
              </w:rPr>
            </w:pPr>
            <w:r>
              <w:rPr>
                <w:rFonts w:hint="eastAsia" w:ascii="宋体" w:hAnsi="宋体" w:cs="宋体"/>
                <w:b/>
                <w:bCs w:val="0"/>
                <w:color w:val="auto"/>
                <w:sz w:val="22"/>
                <w:szCs w:val="22"/>
                <w:highlight w:val="none"/>
                <w:vertAlign w:val="baseline"/>
                <w:lang w:val="en-US" w:eastAsia="zh-CN"/>
                <w14:ligatures w14:val="none"/>
              </w:rPr>
              <w:t>序号</w:t>
            </w:r>
          </w:p>
        </w:tc>
        <w:tc>
          <w:tcPr>
            <w:tcW w:w="1300" w:type="dxa"/>
            <w:noWrap w:val="0"/>
            <w:vAlign w:val="center"/>
          </w:tcPr>
          <w:p w14:paraId="7F96C740">
            <w:pPr>
              <w:pStyle w:val="7"/>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color w:val="auto"/>
                <w:sz w:val="22"/>
                <w:szCs w:val="22"/>
                <w:highlight w:val="none"/>
                <w:vertAlign w:val="baseline"/>
                <w:lang w:val="en-US" w:eastAsia="zh-CN"/>
                <w14:ligatures w14:val="none"/>
              </w:rPr>
            </w:pPr>
            <w:r>
              <w:rPr>
                <w:rFonts w:hint="eastAsia" w:ascii="宋体" w:hAnsi="宋体" w:cs="宋体"/>
                <w:b/>
                <w:color w:val="auto"/>
                <w:sz w:val="22"/>
                <w:szCs w:val="22"/>
                <w:highlight w:val="none"/>
                <w:vertAlign w:val="baseline"/>
                <w:lang w:val="en-US" w:eastAsia="zh-CN"/>
                <w14:ligatures w14:val="none"/>
              </w:rPr>
              <w:t>评分内容</w:t>
            </w:r>
          </w:p>
        </w:tc>
        <w:tc>
          <w:tcPr>
            <w:tcW w:w="7028" w:type="dxa"/>
            <w:noWrap w:val="0"/>
            <w:vAlign w:val="center"/>
          </w:tcPr>
          <w:p w14:paraId="422967B1">
            <w:pPr>
              <w:pStyle w:val="7"/>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color w:val="auto"/>
                <w:sz w:val="22"/>
                <w:szCs w:val="22"/>
                <w:highlight w:val="none"/>
                <w:vertAlign w:val="baseline"/>
                <w:lang w:val="en-US" w:eastAsia="zh-CN"/>
                <w14:ligatures w14:val="none"/>
              </w:rPr>
            </w:pPr>
            <w:r>
              <w:rPr>
                <w:rFonts w:hint="eastAsia" w:ascii="宋体" w:hAnsi="宋体" w:cs="宋体"/>
                <w:b/>
                <w:color w:val="auto"/>
                <w:sz w:val="22"/>
                <w:szCs w:val="22"/>
                <w:highlight w:val="none"/>
                <w:vertAlign w:val="baseline"/>
                <w:lang w:val="en-US" w:eastAsia="zh-CN"/>
                <w14:ligatures w14:val="none"/>
              </w:rPr>
              <w:t>评分细则</w:t>
            </w:r>
          </w:p>
        </w:tc>
        <w:tc>
          <w:tcPr>
            <w:tcW w:w="924" w:type="dxa"/>
            <w:noWrap w:val="0"/>
            <w:vAlign w:val="center"/>
          </w:tcPr>
          <w:p w14:paraId="26A0F896">
            <w:pPr>
              <w:pStyle w:val="7"/>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宋体" w:hAnsi="宋体" w:eastAsia="宋体" w:cs="宋体"/>
                <w:b/>
                <w:color w:val="auto"/>
                <w:sz w:val="22"/>
                <w:szCs w:val="22"/>
                <w:highlight w:val="none"/>
                <w:vertAlign w:val="baseline"/>
                <w:lang w:val="en-US" w:eastAsia="zh-CN"/>
                <w14:ligatures w14:val="none"/>
              </w:rPr>
            </w:pPr>
            <w:r>
              <w:rPr>
                <w:rFonts w:hint="eastAsia" w:ascii="宋体" w:hAnsi="宋体" w:cs="宋体"/>
                <w:b/>
                <w:color w:val="auto"/>
                <w:sz w:val="22"/>
                <w:szCs w:val="22"/>
                <w:highlight w:val="none"/>
                <w:vertAlign w:val="baseline"/>
                <w:lang w:val="en-US" w:eastAsia="zh-CN"/>
                <w14:ligatures w14:val="none"/>
              </w:rPr>
              <w:t>分值</w:t>
            </w:r>
          </w:p>
        </w:tc>
      </w:tr>
      <w:tr w14:paraId="308C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935" w:type="dxa"/>
            <w:noWrap w:val="0"/>
            <w:vAlign w:val="center"/>
          </w:tcPr>
          <w:p w14:paraId="4FB681C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1</w:t>
            </w:r>
          </w:p>
        </w:tc>
        <w:tc>
          <w:tcPr>
            <w:tcW w:w="1300" w:type="dxa"/>
            <w:noWrap w:val="0"/>
            <w:vAlign w:val="center"/>
          </w:tcPr>
          <w:p w14:paraId="5F6F5D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业绩</w:t>
            </w:r>
          </w:p>
        </w:tc>
        <w:tc>
          <w:tcPr>
            <w:tcW w:w="7028" w:type="dxa"/>
            <w:noWrap w:val="0"/>
            <w:vAlign w:val="center"/>
          </w:tcPr>
          <w:p w14:paraId="533505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sz w:val="22"/>
                <w:szCs w:val="22"/>
                <w:highlight w:val="none"/>
                <w:lang w:val="en-US" w:eastAsia="zh-CN"/>
                <w14:ligatures w14:val="none"/>
              </w:rPr>
              <w:t>2023年1月至今每提供一个类似业绩得</w:t>
            </w:r>
            <w:r>
              <w:rPr>
                <w:rFonts w:hint="eastAsia" w:ascii="宋体" w:hAnsi="宋体" w:cs="宋体"/>
                <w:b w:val="0"/>
                <w:bCs w:val="0"/>
                <w:color w:val="auto"/>
                <w:sz w:val="22"/>
                <w:szCs w:val="22"/>
                <w:highlight w:val="none"/>
                <w:lang w:val="en-US" w:eastAsia="zh-CN"/>
                <w14:ligatures w14:val="none"/>
              </w:rPr>
              <w:t>1</w:t>
            </w:r>
            <w:r>
              <w:rPr>
                <w:rFonts w:hint="eastAsia" w:ascii="宋体" w:hAnsi="宋体" w:eastAsia="宋体" w:cs="宋体"/>
                <w:b w:val="0"/>
                <w:bCs w:val="0"/>
                <w:color w:val="auto"/>
                <w:sz w:val="22"/>
                <w:szCs w:val="22"/>
                <w:highlight w:val="none"/>
                <w:lang w:val="en-US" w:eastAsia="zh-CN"/>
                <w14:ligatures w14:val="none"/>
              </w:rPr>
              <w:t>分（以合同签订时间为准） ，最高得</w:t>
            </w:r>
            <w:r>
              <w:rPr>
                <w:rFonts w:hint="eastAsia" w:ascii="宋体" w:hAnsi="宋体" w:cs="宋体"/>
                <w:b w:val="0"/>
                <w:bCs w:val="0"/>
                <w:color w:val="auto"/>
                <w:sz w:val="22"/>
                <w:szCs w:val="22"/>
                <w:highlight w:val="none"/>
                <w:lang w:val="en-US" w:eastAsia="zh-CN"/>
                <w14:ligatures w14:val="none"/>
              </w:rPr>
              <w:t>2</w:t>
            </w:r>
            <w:r>
              <w:rPr>
                <w:rFonts w:hint="eastAsia" w:ascii="宋体" w:hAnsi="宋体" w:eastAsia="宋体" w:cs="宋体"/>
                <w:b w:val="0"/>
                <w:bCs w:val="0"/>
                <w:color w:val="auto"/>
                <w:sz w:val="22"/>
                <w:szCs w:val="22"/>
                <w:highlight w:val="none"/>
                <w:lang w:val="en-US" w:eastAsia="zh-CN"/>
                <w14:ligatures w14:val="none"/>
              </w:rPr>
              <w:t>分（以合同落款公章为准，同一单位不累计得分，提供复印件并加盖公章）。</w:t>
            </w:r>
          </w:p>
        </w:tc>
        <w:tc>
          <w:tcPr>
            <w:tcW w:w="924" w:type="dxa"/>
            <w:noWrap w:val="0"/>
            <w:vAlign w:val="center"/>
          </w:tcPr>
          <w:p w14:paraId="70D8D57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2</w:t>
            </w:r>
          </w:p>
        </w:tc>
      </w:tr>
      <w:tr w14:paraId="3324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trPr>
        <w:tc>
          <w:tcPr>
            <w:tcW w:w="935" w:type="dxa"/>
            <w:noWrap w:val="0"/>
            <w:vAlign w:val="center"/>
          </w:tcPr>
          <w:p w14:paraId="2931CC45">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2</w:t>
            </w:r>
          </w:p>
        </w:tc>
        <w:tc>
          <w:tcPr>
            <w:tcW w:w="1300" w:type="dxa"/>
            <w:noWrap w:val="0"/>
            <w:vAlign w:val="center"/>
          </w:tcPr>
          <w:p w14:paraId="663914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2"/>
                <w:szCs w:val="22"/>
                <w:highlight w:val="none"/>
                <w:lang w:val="en-US" w:eastAsia="zh-CN" w:bidi="ar-SA"/>
                <w14:ligatures w14:val="none"/>
              </w:rPr>
            </w:pPr>
            <w:r>
              <w:rPr>
                <w:spacing w:val="1"/>
                <w:sz w:val="20"/>
                <w:szCs w:val="20"/>
              </w:rPr>
              <w:t>人员</w:t>
            </w:r>
            <w:r>
              <w:rPr>
                <w:spacing w:val="2"/>
                <w:sz w:val="20"/>
                <w:szCs w:val="20"/>
              </w:rPr>
              <w:t>配备</w:t>
            </w:r>
          </w:p>
        </w:tc>
        <w:tc>
          <w:tcPr>
            <w:tcW w:w="7028" w:type="dxa"/>
            <w:noWrap w:val="0"/>
            <w:vAlign w:val="center"/>
          </w:tcPr>
          <w:p w14:paraId="5E970CBB">
            <w:pPr>
              <w:pStyle w:val="32"/>
              <w:keepNext w:val="0"/>
              <w:keepLines w:val="0"/>
              <w:pageBreakBefore w:val="0"/>
              <w:kinsoku/>
              <w:wordWrap/>
              <w:overflowPunct/>
              <w:topLinePunct w:val="0"/>
              <w:autoSpaceDE/>
              <w:autoSpaceDN/>
              <w:bidi w:val="0"/>
              <w:adjustRightInd/>
              <w:snapToGrid/>
              <w:spacing w:before="107" w:line="240" w:lineRule="auto"/>
              <w:jc w:val="both"/>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项目拟派人员每有一个评估师或估价师得4分，最高得12分。</w:t>
            </w:r>
          </w:p>
          <w:p w14:paraId="4D02385D">
            <w:pPr>
              <w:pStyle w:val="32"/>
              <w:keepNext w:val="0"/>
              <w:keepLines w:val="0"/>
              <w:pageBreakBefore w:val="0"/>
              <w:kinsoku/>
              <w:wordWrap/>
              <w:overflowPunct/>
              <w:topLinePunct w:val="0"/>
              <w:autoSpaceDE/>
              <w:autoSpaceDN/>
              <w:bidi w:val="0"/>
              <w:adjustRightInd/>
              <w:snapToGrid/>
              <w:spacing w:before="107" w:line="240" w:lineRule="auto"/>
              <w:jc w:val="both"/>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注：</w:t>
            </w:r>
          </w:p>
          <w:p w14:paraId="76EB1A1C">
            <w:pPr>
              <w:pStyle w:val="32"/>
              <w:keepNext w:val="0"/>
              <w:keepLines w:val="0"/>
              <w:pageBreakBefore w:val="0"/>
              <w:widowControl w:val="0"/>
              <w:kinsoku/>
              <w:wordWrap/>
              <w:overflowPunct/>
              <w:topLinePunct w:val="0"/>
              <w:autoSpaceDE/>
              <w:autoSpaceDN/>
              <w:bidi w:val="0"/>
              <w:adjustRightInd/>
              <w:snapToGrid/>
              <w:spacing w:line="240" w:lineRule="auto"/>
              <w:ind w:left="121" w:right="109" w:firstLine="3"/>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1、证书须在有效期内；</w:t>
            </w:r>
          </w:p>
          <w:p w14:paraId="4550F98A">
            <w:pPr>
              <w:pStyle w:val="32"/>
              <w:keepNext w:val="0"/>
              <w:keepLines w:val="0"/>
              <w:pageBreakBefore w:val="0"/>
              <w:widowControl w:val="0"/>
              <w:kinsoku/>
              <w:wordWrap/>
              <w:overflowPunct/>
              <w:topLinePunct w:val="0"/>
              <w:autoSpaceDE/>
              <w:autoSpaceDN/>
              <w:bidi w:val="0"/>
              <w:adjustRightInd/>
              <w:snapToGrid/>
              <w:spacing w:line="240" w:lineRule="auto"/>
              <w:ind w:left="121" w:right="109" w:firstLine="3"/>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2、人员证书的执业机构与投标人一致；</w:t>
            </w:r>
          </w:p>
          <w:p w14:paraId="2D7B8624">
            <w:pPr>
              <w:pStyle w:val="32"/>
              <w:keepNext w:val="0"/>
              <w:keepLines w:val="0"/>
              <w:pageBreakBefore w:val="0"/>
              <w:widowControl w:val="0"/>
              <w:kinsoku/>
              <w:wordWrap/>
              <w:overflowPunct/>
              <w:topLinePunct w:val="0"/>
              <w:autoSpaceDE/>
              <w:autoSpaceDN/>
              <w:bidi w:val="0"/>
              <w:adjustRightInd/>
              <w:snapToGrid/>
              <w:spacing w:line="240" w:lineRule="auto"/>
              <w:ind w:left="121" w:right="109" w:firstLine="3"/>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3、人员需提供近</w:t>
            </w:r>
            <w:r>
              <w:rPr>
                <w:rFonts w:hint="eastAsia" w:cs="宋体"/>
                <w:b w:val="0"/>
                <w:bCs w:val="0"/>
                <w:color w:val="auto"/>
                <w:kern w:val="2"/>
                <w:sz w:val="22"/>
                <w:szCs w:val="22"/>
                <w:highlight w:val="none"/>
                <w:lang w:val="en-US" w:eastAsia="zh-CN" w:bidi="ar-SA"/>
                <w14:ligatures w14:val="none"/>
              </w:rPr>
              <w:t>3</w:t>
            </w:r>
            <w:r>
              <w:rPr>
                <w:rFonts w:hint="eastAsia" w:ascii="宋体" w:hAnsi="宋体" w:eastAsia="宋体" w:cs="宋体"/>
                <w:b w:val="0"/>
                <w:bCs w:val="0"/>
                <w:color w:val="auto"/>
                <w:kern w:val="2"/>
                <w:sz w:val="22"/>
                <w:szCs w:val="22"/>
                <w:highlight w:val="none"/>
                <w:lang w:val="en-US" w:eastAsia="zh-CN" w:bidi="ar-SA"/>
                <w14:ligatures w14:val="none"/>
              </w:rPr>
              <w:t>个月内任意一个月的</w:t>
            </w:r>
            <w:r>
              <w:rPr>
                <w:rFonts w:hint="eastAsia" w:ascii="宋体" w:hAnsi="宋体" w:cs="Arial"/>
                <w:bCs/>
                <w:snapToGrid w:val="0"/>
                <w:color w:val="auto"/>
                <w:sz w:val="22"/>
                <w:szCs w:val="22"/>
                <w:highlight w:val="none"/>
              </w:rPr>
              <w:t>社保证明材料</w:t>
            </w:r>
            <w:r>
              <w:rPr>
                <w:rFonts w:hint="eastAsia" w:ascii="宋体" w:hAnsi="宋体" w:eastAsia="宋体" w:cs="宋体"/>
                <w:b w:val="0"/>
                <w:bCs w:val="0"/>
                <w:color w:val="auto"/>
                <w:kern w:val="2"/>
                <w:sz w:val="22"/>
                <w:szCs w:val="22"/>
                <w:highlight w:val="none"/>
                <w:lang w:val="en-US" w:eastAsia="zh-CN" w:bidi="ar-SA"/>
                <w14:ligatures w14:val="none"/>
              </w:rPr>
              <w:t>，退休返聘人员需提供劳务合同或雇佣合同及退休证明材料。否则不得分。</w:t>
            </w:r>
          </w:p>
          <w:p w14:paraId="504C5063">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240" w:lineRule="auto"/>
              <w:ind w:left="0" w:leftChars="0" w:right="0" w:rightChars="0"/>
              <w:jc w:val="left"/>
              <w:textAlignment w:val="auto"/>
              <w:rPr>
                <w:rFonts w:hint="default"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投标文件需附人员注册证书等证明材料扫描件，加盖公章，扫描件必须清晰可见。不满足以上要求，不得分。</w:t>
            </w:r>
          </w:p>
        </w:tc>
        <w:tc>
          <w:tcPr>
            <w:tcW w:w="924" w:type="dxa"/>
            <w:noWrap w:val="0"/>
            <w:vAlign w:val="center"/>
          </w:tcPr>
          <w:p w14:paraId="576962E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12</w:t>
            </w:r>
          </w:p>
        </w:tc>
      </w:tr>
      <w:tr w14:paraId="75E9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935" w:type="dxa"/>
            <w:noWrap w:val="0"/>
            <w:vAlign w:val="center"/>
          </w:tcPr>
          <w:p w14:paraId="22362AC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3</w:t>
            </w:r>
          </w:p>
        </w:tc>
        <w:tc>
          <w:tcPr>
            <w:tcW w:w="1300" w:type="dxa"/>
            <w:noWrap w:val="0"/>
            <w:vAlign w:val="center"/>
          </w:tcPr>
          <w:p w14:paraId="0470D7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2"/>
                <w:szCs w:val="22"/>
                <w:highlight w:val="none"/>
                <w:lang w:val="en-US" w:eastAsia="zh-CN" w:bidi="ar-SA"/>
                <w14:ligatures w14:val="none"/>
              </w:rPr>
            </w:pPr>
            <w:r>
              <w:rPr>
                <w:spacing w:val="2"/>
                <w:sz w:val="20"/>
                <w:szCs w:val="20"/>
              </w:rPr>
              <w:t>服务方</w:t>
            </w:r>
            <w:r>
              <w:rPr>
                <w:sz w:val="20"/>
                <w:szCs w:val="20"/>
              </w:rPr>
              <w:t>案</w:t>
            </w:r>
          </w:p>
        </w:tc>
        <w:tc>
          <w:tcPr>
            <w:tcW w:w="7028" w:type="dxa"/>
            <w:noWrap w:val="0"/>
            <w:vAlign w:val="center"/>
          </w:tcPr>
          <w:p w14:paraId="6A673BE5">
            <w:pPr>
              <w:pStyle w:val="32"/>
              <w:keepNext w:val="0"/>
              <w:keepLines w:val="0"/>
              <w:pageBreakBefore w:val="0"/>
              <w:kinsoku/>
              <w:wordWrap/>
              <w:overflowPunct/>
              <w:topLinePunct w:val="0"/>
              <w:autoSpaceDE/>
              <w:autoSpaceDN/>
              <w:bidi w:val="0"/>
              <w:adjustRightInd/>
              <w:snapToGrid/>
              <w:spacing w:before="60" w:line="240" w:lineRule="auto"/>
              <w:ind w:left="114" w:hanging="1"/>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cs="宋体"/>
                <w:b w:val="0"/>
                <w:bCs w:val="0"/>
                <w:color w:val="auto"/>
                <w:kern w:val="2"/>
                <w:sz w:val="22"/>
                <w:szCs w:val="22"/>
                <w:highlight w:val="none"/>
                <w:lang w:val="en-US" w:eastAsia="zh-CN" w:bidi="ar-SA"/>
                <w14:ligatures w14:val="none"/>
              </w:rPr>
              <w:t>根据</w:t>
            </w:r>
            <w:bookmarkStart w:id="3" w:name="_GoBack"/>
            <w:bookmarkEnd w:id="3"/>
            <w:r>
              <w:rPr>
                <w:rFonts w:hint="eastAsia" w:ascii="宋体" w:hAnsi="宋体" w:eastAsia="宋体" w:cs="宋体"/>
                <w:b w:val="0"/>
                <w:bCs w:val="0"/>
                <w:color w:val="auto"/>
                <w:kern w:val="2"/>
                <w:sz w:val="22"/>
                <w:szCs w:val="22"/>
                <w:highlight w:val="none"/>
                <w:lang w:val="en-US" w:eastAsia="zh-CN" w:bidi="ar-SA"/>
                <w14:ligatures w14:val="none"/>
              </w:rPr>
              <w:t>项目特点对本项目制定有针对性的服务方案包括但不限于：（1）服务目标与范围；（2）项目实施方案；（3）人员分工与计划；（4）紧急任务应急响应方案；（5）重点和难点分析。</w:t>
            </w:r>
          </w:p>
          <w:p w14:paraId="4CA26FC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以上相关方案每有一项内容完整详细，条理清晰且符合采购实际需求得 5 分，满分 25 分。每缺一项扣5 分，每有一项内容不完整不具体的扣 1 分，每项扣完 5 分为止（不完整不具体是指：存在不适用项目实际情况的情形、不利于项目实施、凭空编造、逻辑漏洞、前后不一、科学原理错误、规范及标准不准确、方案标题与实际内容不符以及不可能实现的夸大情形、内容不完整或涉及内容无重点，缺少关键节点、套用其他项目方案、未充分体现项目特点或与本项目实际需求不匹 配、语言错误或存在歧义、该方面内容体现不完备等）。</w:t>
            </w:r>
          </w:p>
        </w:tc>
        <w:tc>
          <w:tcPr>
            <w:tcW w:w="924" w:type="dxa"/>
            <w:noWrap w:val="0"/>
            <w:vAlign w:val="center"/>
          </w:tcPr>
          <w:p w14:paraId="0356E82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25</w:t>
            </w:r>
          </w:p>
        </w:tc>
      </w:tr>
      <w:tr w14:paraId="1387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935" w:type="dxa"/>
            <w:noWrap w:val="0"/>
            <w:vAlign w:val="center"/>
          </w:tcPr>
          <w:p w14:paraId="4A199512">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4</w:t>
            </w:r>
          </w:p>
        </w:tc>
        <w:tc>
          <w:tcPr>
            <w:tcW w:w="1300" w:type="dxa"/>
            <w:noWrap w:val="0"/>
            <w:vAlign w:val="center"/>
          </w:tcPr>
          <w:p w14:paraId="634DEA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2"/>
                <w:szCs w:val="22"/>
                <w:highlight w:val="none"/>
                <w:lang w:val="en-US" w:eastAsia="zh-CN" w:bidi="ar-SA"/>
                <w14:ligatures w14:val="none"/>
              </w:rPr>
            </w:pPr>
            <w:r>
              <w:rPr>
                <w:spacing w:val="2"/>
                <w:sz w:val="20"/>
                <w:szCs w:val="20"/>
              </w:rPr>
              <w:t>服务质</w:t>
            </w:r>
            <w:r>
              <w:rPr>
                <w:spacing w:val="5"/>
                <w:sz w:val="20"/>
                <w:szCs w:val="20"/>
              </w:rPr>
              <w:t>量控制</w:t>
            </w:r>
            <w:r>
              <w:rPr>
                <w:spacing w:val="15"/>
                <w:w w:val="121"/>
                <w:sz w:val="20"/>
                <w:szCs w:val="20"/>
              </w:rPr>
              <w:t>措施</w:t>
            </w:r>
          </w:p>
        </w:tc>
        <w:tc>
          <w:tcPr>
            <w:tcW w:w="7028" w:type="dxa"/>
            <w:noWrap w:val="0"/>
            <w:vAlign w:val="center"/>
          </w:tcPr>
          <w:p w14:paraId="18958E11">
            <w:pPr>
              <w:pStyle w:val="32"/>
              <w:keepNext w:val="0"/>
              <w:keepLines w:val="0"/>
              <w:pageBreakBefore w:val="0"/>
              <w:kinsoku/>
              <w:wordWrap/>
              <w:overflowPunct/>
              <w:topLinePunct w:val="0"/>
              <w:autoSpaceDE/>
              <w:autoSpaceDN/>
              <w:bidi w:val="0"/>
              <w:adjustRightInd/>
              <w:snapToGrid/>
              <w:spacing w:before="66" w:line="240" w:lineRule="auto"/>
              <w:ind w:left="116" w:right="137" w:hanging="2"/>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服务质量保证措施包括但不限于：（1） 内部质量控制体系；（2）工作质量控制措施；（3）服务质量保障措施。</w:t>
            </w:r>
          </w:p>
          <w:p w14:paraId="7D0526DF">
            <w:pPr>
              <w:pStyle w:val="32"/>
              <w:keepNext w:val="0"/>
              <w:keepLines w:val="0"/>
              <w:pageBreakBefore w:val="0"/>
              <w:kinsoku/>
              <w:wordWrap/>
              <w:overflowPunct/>
              <w:topLinePunct w:val="0"/>
              <w:autoSpaceDE/>
              <w:autoSpaceDN/>
              <w:bidi w:val="0"/>
              <w:adjustRightInd/>
              <w:snapToGrid/>
              <w:spacing w:before="18" w:line="240" w:lineRule="auto"/>
              <w:ind w:left="114" w:right="87" w:firstLine="23"/>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以上相关方案每有一项内容完整详细，条理清晰且符合采购实际需求得 5 分，满分 15 分。每缺一项扣 5 分，每有一项内容不完整不具体的扣 1 分，每项扣完 5 分为止（不完整不具体是指：存在不适用项目实际情况的情形、不利于项目实施、凭空编造、逻辑漏洞、前后不一、科学原理错误、规范及标准不准确、方案标题与实际内容不符以及不可能实现的夸大情形、内容不完整或涉及内容无重点，</w:t>
            </w:r>
          </w:p>
          <w:p w14:paraId="247FE4C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缺少关键节点、套用其他项目方案、未充分体现项目特点或与本项目实际需求不匹配、语言错误或存在歧义、该方面内容体现不完备等）。</w:t>
            </w:r>
          </w:p>
        </w:tc>
        <w:tc>
          <w:tcPr>
            <w:tcW w:w="924" w:type="dxa"/>
            <w:noWrap w:val="0"/>
            <w:vAlign w:val="center"/>
          </w:tcPr>
          <w:p w14:paraId="07BAD57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15</w:t>
            </w:r>
          </w:p>
        </w:tc>
      </w:tr>
      <w:tr w14:paraId="4810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935" w:type="dxa"/>
            <w:noWrap w:val="0"/>
            <w:vAlign w:val="center"/>
          </w:tcPr>
          <w:p w14:paraId="03BF212E">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5</w:t>
            </w:r>
          </w:p>
        </w:tc>
        <w:tc>
          <w:tcPr>
            <w:tcW w:w="1300" w:type="dxa"/>
            <w:shd w:val="clear" w:color="auto" w:fill="auto"/>
            <w:noWrap w:val="0"/>
            <w:vAlign w:val="center"/>
          </w:tcPr>
          <w:p w14:paraId="2C874E96">
            <w:pPr>
              <w:keepNext w:val="0"/>
              <w:keepLines w:val="0"/>
              <w:pageBreakBefore w:val="0"/>
              <w:kinsoku/>
              <w:wordWrap/>
              <w:overflowPunct/>
              <w:topLinePunct w:val="0"/>
              <w:autoSpaceDE/>
              <w:autoSpaceDN/>
              <w:bidi w:val="0"/>
              <w:adjustRightInd/>
              <w:snapToGrid/>
              <w:spacing w:line="240" w:lineRule="auto"/>
              <w:jc w:val="center"/>
              <w:textAlignment w:val="auto"/>
              <w:rPr>
                <w:rFonts w:ascii="Arial"/>
                <w:sz w:val="21"/>
              </w:rPr>
            </w:pPr>
          </w:p>
          <w:p w14:paraId="02E4F777">
            <w:pPr>
              <w:pStyle w:val="32"/>
              <w:keepNext w:val="0"/>
              <w:keepLines w:val="0"/>
              <w:pageBreakBefore w:val="0"/>
              <w:kinsoku/>
              <w:wordWrap/>
              <w:overflowPunct/>
              <w:topLinePunct w:val="0"/>
              <w:autoSpaceDE/>
              <w:autoSpaceDN/>
              <w:bidi w:val="0"/>
              <w:adjustRightInd/>
              <w:snapToGrid/>
              <w:spacing w:before="65" w:line="240" w:lineRule="auto"/>
              <w:ind w:left="270" w:firstLine="208" w:firstLineChars="100"/>
              <w:jc w:val="both"/>
              <w:textAlignment w:val="auto"/>
              <w:rPr>
                <w:spacing w:val="4"/>
                <w:sz w:val="20"/>
                <w:szCs w:val="20"/>
              </w:rPr>
            </w:pPr>
          </w:p>
          <w:p w14:paraId="08CA5167">
            <w:pPr>
              <w:pStyle w:val="32"/>
              <w:keepNext w:val="0"/>
              <w:keepLines w:val="0"/>
              <w:pageBreakBefore w:val="0"/>
              <w:kinsoku/>
              <w:wordWrap/>
              <w:overflowPunct/>
              <w:topLinePunct w:val="0"/>
              <w:autoSpaceDE/>
              <w:autoSpaceDN/>
              <w:bidi w:val="0"/>
              <w:adjustRightInd/>
              <w:snapToGrid/>
              <w:spacing w:before="65" w:line="240" w:lineRule="auto"/>
              <w:ind w:left="270" w:firstLine="208" w:firstLineChars="100"/>
              <w:jc w:val="both"/>
              <w:textAlignment w:val="auto"/>
              <w:rPr>
                <w:sz w:val="20"/>
                <w:szCs w:val="20"/>
              </w:rPr>
            </w:pPr>
            <w:r>
              <w:rPr>
                <w:spacing w:val="4"/>
                <w:sz w:val="20"/>
                <w:szCs w:val="20"/>
              </w:rPr>
              <w:t>相关</w:t>
            </w:r>
          </w:p>
          <w:p w14:paraId="0DE92BCC">
            <w:pPr>
              <w:pStyle w:val="32"/>
              <w:keepNext w:val="0"/>
              <w:keepLines w:val="0"/>
              <w:pageBreakBefore w:val="0"/>
              <w:kinsoku/>
              <w:wordWrap/>
              <w:overflowPunct/>
              <w:topLinePunct w:val="0"/>
              <w:autoSpaceDE/>
              <w:autoSpaceDN/>
              <w:bidi w:val="0"/>
              <w:adjustRightInd/>
              <w:snapToGrid/>
              <w:spacing w:before="90" w:line="240" w:lineRule="auto"/>
              <w:ind w:left="160"/>
              <w:jc w:val="center"/>
              <w:textAlignment w:val="auto"/>
              <w:rPr>
                <w:sz w:val="20"/>
                <w:szCs w:val="20"/>
              </w:rPr>
            </w:pPr>
            <w:r>
              <w:rPr>
                <w:spacing w:val="5"/>
                <w:sz w:val="20"/>
                <w:szCs w:val="20"/>
              </w:rPr>
              <w:t>管理制</w:t>
            </w:r>
          </w:p>
          <w:p w14:paraId="1BF79F3F">
            <w:pPr>
              <w:pStyle w:val="32"/>
              <w:keepNext w:val="0"/>
              <w:keepLines w:val="0"/>
              <w:pageBreakBefore w:val="0"/>
              <w:kinsoku/>
              <w:wordWrap/>
              <w:overflowPunct/>
              <w:topLinePunct w:val="0"/>
              <w:autoSpaceDE/>
              <w:autoSpaceDN/>
              <w:bidi w:val="0"/>
              <w:adjustRightInd/>
              <w:snapToGrid/>
              <w:spacing w:before="94" w:line="240" w:lineRule="auto"/>
              <w:ind w:left="363" w:leftChars="0"/>
              <w:jc w:val="center"/>
              <w:textAlignment w:val="auto"/>
              <w:rPr>
                <w:rFonts w:hint="eastAsia" w:ascii="宋体" w:hAnsi="宋体" w:eastAsia="宋体" w:cs="宋体"/>
                <w:kern w:val="2"/>
                <w:sz w:val="20"/>
                <w:szCs w:val="20"/>
                <w:lang w:val="en-US" w:eastAsia="zh-CN" w:bidi="ar-SA"/>
              </w:rPr>
            </w:pPr>
            <w:r>
              <w:rPr>
                <w:spacing w:val="1"/>
                <w:sz w:val="20"/>
                <w:szCs w:val="20"/>
              </w:rPr>
              <w:t>度</w:t>
            </w:r>
          </w:p>
        </w:tc>
        <w:tc>
          <w:tcPr>
            <w:tcW w:w="7028" w:type="dxa"/>
            <w:noWrap w:val="0"/>
            <w:vAlign w:val="center"/>
          </w:tcPr>
          <w:p w14:paraId="7193705F">
            <w:pPr>
              <w:pStyle w:val="32"/>
              <w:keepNext w:val="0"/>
              <w:keepLines w:val="0"/>
              <w:pageBreakBefore w:val="0"/>
              <w:kinsoku/>
              <w:wordWrap/>
              <w:overflowPunct/>
              <w:topLinePunct w:val="0"/>
              <w:autoSpaceDE/>
              <w:autoSpaceDN/>
              <w:bidi w:val="0"/>
              <w:adjustRightInd/>
              <w:snapToGrid/>
              <w:spacing w:before="150" w:line="240" w:lineRule="auto"/>
              <w:ind w:left="114" w:right="360"/>
              <w:jc w:val="both"/>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根据供应商对本项目的理解，制定相关管理制度包括但不限于（1）人员管理制度；（2）考核制度；（3）档案管理制度等</w:t>
            </w:r>
          </w:p>
          <w:p w14:paraId="76B8B2D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上述三个方面相关管理制度合理可行，能够体现投标人内部制度健全的得12分，每缺一项扣 4分，每有一处内容不完整不具体的扣1分，扣完为止（不完整不具体是指：存在不适用项目实际情况的情形、不利于项目实施、凭空编造、逻辑漏洞、前后不一、科学原理错误、规范及标准不准确、方案标题与实际内容不符以及不可能实现的夸大情形、内容不完整或涉及内容无重点，缺少关键节点、套用其他项目方案、未充分体现项目特点或与本项目实际需求不匹配、语言错误或存在歧义、该方面内容体现不完备等）。</w:t>
            </w:r>
          </w:p>
        </w:tc>
        <w:tc>
          <w:tcPr>
            <w:tcW w:w="924" w:type="dxa"/>
            <w:noWrap w:val="0"/>
            <w:vAlign w:val="center"/>
          </w:tcPr>
          <w:p w14:paraId="135023A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12</w:t>
            </w:r>
          </w:p>
        </w:tc>
      </w:tr>
      <w:tr w14:paraId="4CF8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935" w:type="dxa"/>
            <w:noWrap w:val="0"/>
            <w:vAlign w:val="center"/>
          </w:tcPr>
          <w:p w14:paraId="51C2229C">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6</w:t>
            </w:r>
          </w:p>
        </w:tc>
        <w:tc>
          <w:tcPr>
            <w:tcW w:w="1300" w:type="dxa"/>
            <w:shd w:val="clear" w:color="auto" w:fill="auto"/>
            <w:noWrap w:val="0"/>
            <w:vAlign w:val="center"/>
          </w:tcPr>
          <w:p w14:paraId="6D3F8E1D">
            <w:pPr>
              <w:keepNext w:val="0"/>
              <w:keepLines w:val="0"/>
              <w:pageBreakBefore w:val="0"/>
              <w:kinsoku/>
              <w:wordWrap/>
              <w:overflowPunct/>
              <w:topLinePunct w:val="0"/>
              <w:autoSpaceDE/>
              <w:autoSpaceDN/>
              <w:bidi w:val="0"/>
              <w:adjustRightInd/>
              <w:snapToGrid/>
              <w:spacing w:line="240" w:lineRule="auto"/>
              <w:jc w:val="center"/>
              <w:textAlignment w:val="auto"/>
              <w:rPr>
                <w:rFonts w:ascii="Arial"/>
                <w:sz w:val="21"/>
              </w:rPr>
            </w:pPr>
          </w:p>
          <w:p w14:paraId="69DDC749">
            <w:pPr>
              <w:pStyle w:val="32"/>
              <w:keepNext w:val="0"/>
              <w:keepLines w:val="0"/>
              <w:pageBreakBefore w:val="0"/>
              <w:kinsoku/>
              <w:wordWrap/>
              <w:overflowPunct/>
              <w:topLinePunct w:val="0"/>
              <w:autoSpaceDE/>
              <w:autoSpaceDN/>
              <w:bidi w:val="0"/>
              <w:adjustRightInd/>
              <w:snapToGrid/>
              <w:spacing w:before="65" w:line="240" w:lineRule="auto"/>
              <w:ind w:left="171" w:leftChars="0" w:right="156" w:rightChars="0" w:firstLine="5" w:firstLineChars="0"/>
              <w:jc w:val="center"/>
              <w:textAlignment w:val="auto"/>
              <w:rPr>
                <w:rFonts w:hint="default" w:ascii="宋体" w:hAnsi="宋体" w:eastAsia="宋体" w:cs="宋体"/>
                <w:kern w:val="2"/>
                <w:sz w:val="20"/>
                <w:szCs w:val="20"/>
                <w:lang w:val="en-US" w:eastAsia="zh-CN" w:bidi="ar-SA"/>
              </w:rPr>
            </w:pPr>
            <w:r>
              <w:rPr>
                <w:rFonts w:hint="eastAsia"/>
                <w:spacing w:val="1"/>
                <w:sz w:val="20"/>
                <w:szCs w:val="20"/>
                <w:lang w:val="en-US" w:eastAsia="zh-CN"/>
              </w:rPr>
              <w:t>安全与保密措施</w:t>
            </w:r>
          </w:p>
        </w:tc>
        <w:tc>
          <w:tcPr>
            <w:tcW w:w="7028" w:type="dxa"/>
            <w:noWrap w:val="0"/>
            <w:vAlign w:val="center"/>
          </w:tcPr>
          <w:p w14:paraId="0BD383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根据供应商编制的安全与保密措施，,符合本项目保密要求的得 4 分；每有一处内容不完整不具体的扣 1 分，扣完为止（不完整不具体是指：存在不适用项目实际情况的情形、不利于项目实施、凭空编造、逻辑漏洞、前后不一、科学原理错误、规范及标准不准确、方案标题与实际内容不符以及不可能实现的夸大情形、内容不完整或涉及内容无重点，缺少关键节点、套用其他项目方案、未充分体现项目特点或与本项目实际需求不匹配、语言错误或存在歧义、该方面内容体现不完备等）。</w:t>
            </w:r>
          </w:p>
        </w:tc>
        <w:tc>
          <w:tcPr>
            <w:tcW w:w="924" w:type="dxa"/>
            <w:noWrap w:val="0"/>
            <w:vAlign w:val="center"/>
          </w:tcPr>
          <w:p w14:paraId="391F00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4</w:t>
            </w:r>
          </w:p>
        </w:tc>
      </w:tr>
      <w:tr w14:paraId="5B315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935" w:type="dxa"/>
            <w:noWrap w:val="0"/>
            <w:vAlign w:val="center"/>
          </w:tcPr>
          <w:p w14:paraId="75F9A794">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eastAsia="宋体" w:cs="宋体"/>
                <w:color w:val="auto"/>
                <w:kern w:val="2"/>
                <w:sz w:val="22"/>
                <w:szCs w:val="22"/>
                <w:highlight w:val="none"/>
                <w:lang w:val="en-US" w:eastAsia="zh-CN" w:bidi="ar-SA"/>
                <w14:ligatures w14:val="none"/>
              </w:rPr>
            </w:pPr>
            <w:r>
              <w:rPr>
                <w:rFonts w:hint="eastAsia" w:ascii="宋体" w:hAnsi="宋体" w:eastAsia="宋体" w:cs="宋体"/>
                <w:color w:val="auto"/>
                <w:kern w:val="2"/>
                <w:sz w:val="22"/>
                <w:szCs w:val="22"/>
                <w:highlight w:val="none"/>
                <w:lang w:val="en-US" w:eastAsia="zh-CN" w:bidi="ar-SA"/>
                <w14:ligatures w14:val="none"/>
              </w:rPr>
              <w:t>7</w:t>
            </w:r>
          </w:p>
        </w:tc>
        <w:tc>
          <w:tcPr>
            <w:tcW w:w="1300" w:type="dxa"/>
            <w:shd w:val="clear" w:color="auto" w:fill="auto"/>
            <w:noWrap w:val="0"/>
            <w:vAlign w:val="center"/>
          </w:tcPr>
          <w:p w14:paraId="3B933A0B">
            <w:pPr>
              <w:pStyle w:val="32"/>
              <w:keepNext w:val="0"/>
              <w:keepLines w:val="0"/>
              <w:pageBreakBefore w:val="0"/>
              <w:kinsoku/>
              <w:wordWrap/>
              <w:overflowPunct/>
              <w:topLinePunct w:val="0"/>
              <w:autoSpaceDE/>
              <w:autoSpaceDN/>
              <w:bidi w:val="0"/>
              <w:adjustRightInd/>
              <w:snapToGrid/>
              <w:spacing w:before="65" w:line="240" w:lineRule="auto"/>
              <w:ind w:left="368" w:leftChars="0" w:right="154" w:rightChars="0" w:hanging="194" w:firstLineChars="0"/>
              <w:jc w:val="center"/>
              <w:textAlignment w:val="auto"/>
              <w:rPr>
                <w:rFonts w:hint="eastAsia" w:ascii="宋体" w:hAnsi="宋体" w:eastAsia="宋体" w:cs="宋体"/>
                <w:kern w:val="2"/>
                <w:sz w:val="20"/>
                <w:szCs w:val="20"/>
                <w:lang w:val="en-US" w:eastAsia="zh-CN" w:bidi="ar-SA"/>
              </w:rPr>
            </w:pPr>
            <w:r>
              <w:rPr>
                <w:spacing w:val="2"/>
                <w:sz w:val="20"/>
                <w:szCs w:val="20"/>
              </w:rPr>
              <w:t>服务承</w:t>
            </w:r>
            <w:r>
              <w:rPr>
                <w:sz w:val="20"/>
                <w:szCs w:val="20"/>
              </w:rPr>
              <w:t>诺</w:t>
            </w:r>
          </w:p>
        </w:tc>
        <w:tc>
          <w:tcPr>
            <w:tcW w:w="7028" w:type="dxa"/>
            <w:noWrap w:val="0"/>
            <w:vAlign w:val="center"/>
          </w:tcPr>
          <w:p w14:paraId="245CB4B9">
            <w:pPr>
              <w:pStyle w:val="32"/>
              <w:keepNext w:val="0"/>
              <w:keepLines w:val="0"/>
              <w:pageBreakBefore w:val="0"/>
              <w:kinsoku/>
              <w:wordWrap/>
              <w:overflowPunct/>
              <w:topLinePunct w:val="0"/>
              <w:autoSpaceDE/>
              <w:autoSpaceDN/>
              <w:bidi w:val="0"/>
              <w:adjustRightInd/>
              <w:snapToGrid/>
              <w:spacing w:before="148" w:line="240" w:lineRule="auto"/>
              <w:ind w:left="114" w:right="234" w:firstLine="10"/>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（1）根据供应商提供的对成果文件后续服务工作的解释、答疑及相应的技术咨询工作及安排。</w:t>
            </w:r>
          </w:p>
          <w:p w14:paraId="6D584564">
            <w:pPr>
              <w:pStyle w:val="32"/>
              <w:keepNext w:val="0"/>
              <w:keepLines w:val="0"/>
              <w:pageBreakBefore w:val="0"/>
              <w:kinsoku/>
              <w:wordWrap/>
              <w:overflowPunct/>
              <w:topLinePunct w:val="0"/>
              <w:autoSpaceDE/>
              <w:autoSpaceDN/>
              <w:bidi w:val="0"/>
              <w:adjustRightInd/>
              <w:snapToGrid/>
              <w:spacing w:before="112" w:line="240" w:lineRule="auto"/>
              <w:ind w:left="114" w:right="90" w:firstLine="10"/>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（2）在满足招标文件基本要求的基础上，根据服务承诺细致程度，包括售后服务内容、服务响应时间、解决问题时间的承诺。</w:t>
            </w:r>
          </w:p>
          <w:p w14:paraId="09DF3B5F">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val="0"/>
                <w:color w:val="auto"/>
                <w:kern w:val="2"/>
                <w:sz w:val="22"/>
                <w:szCs w:val="22"/>
                <w:highlight w:val="none"/>
                <w:lang w:val="en-US" w:eastAsia="zh-CN" w:bidi="ar-SA"/>
                <w14:ligatures w14:val="none"/>
              </w:rPr>
            </w:pPr>
            <w:r>
              <w:rPr>
                <w:rFonts w:hint="eastAsia" w:ascii="宋体" w:hAnsi="宋体" w:eastAsia="宋体" w:cs="宋体"/>
                <w:b w:val="0"/>
                <w:bCs w:val="0"/>
                <w:color w:val="auto"/>
                <w:kern w:val="2"/>
                <w:sz w:val="22"/>
                <w:szCs w:val="22"/>
                <w:highlight w:val="none"/>
                <w:lang w:val="en-US" w:eastAsia="zh-CN" w:bidi="ar-SA"/>
                <w14:ligatures w14:val="none"/>
              </w:rPr>
              <w:t>上述两个方面内容完整、与项目需求吻合、思路清晰、层次细化，有具体详细的阐述且符合项目要求的得10分；每缺少一项内容的扣5分，每有一处内容不完整不具体的扣1分，扣完为止（不完整不具体是指：存在不适用项目实际情况的情形、不利于项目实施、凭空编造、逻辑漏洞、前后不一、科学原理错误、规范及标准不准确、方案标题与实际内容不符以及不可能实现的夸大情形、内容不完整或涉及内容无重点，缺少关键节点、套用其他项目方案、未充分体现项目特点或与本项目实际需求不匹配、语言错误或存在歧义、该方面内容体现不完备等）。</w:t>
            </w:r>
          </w:p>
        </w:tc>
        <w:tc>
          <w:tcPr>
            <w:tcW w:w="924" w:type="dxa"/>
            <w:noWrap w:val="0"/>
            <w:vAlign w:val="center"/>
          </w:tcPr>
          <w:p w14:paraId="49BADB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宋体" w:hAnsi="宋体" w:cs="宋体"/>
                <w:color w:val="auto"/>
                <w:kern w:val="2"/>
                <w:sz w:val="22"/>
                <w:szCs w:val="22"/>
                <w:highlight w:val="none"/>
                <w:lang w:val="en-US" w:eastAsia="zh-CN" w:bidi="ar-SA"/>
                <w14:ligatures w14:val="none"/>
              </w:rPr>
            </w:pPr>
            <w:r>
              <w:rPr>
                <w:rFonts w:hint="eastAsia" w:ascii="宋体" w:hAnsi="宋体" w:cs="宋体"/>
                <w:color w:val="auto"/>
                <w:kern w:val="2"/>
                <w:sz w:val="22"/>
                <w:szCs w:val="22"/>
                <w:highlight w:val="none"/>
                <w:lang w:val="en-US" w:eastAsia="zh-CN" w:bidi="ar-SA"/>
                <w14:ligatures w14:val="none"/>
              </w:rPr>
              <w:t>10</w:t>
            </w:r>
          </w:p>
        </w:tc>
      </w:tr>
    </w:tbl>
    <w:p w14:paraId="64E84651">
      <w:pPr>
        <w:numPr>
          <w:ilvl w:val="0"/>
          <w:numId w:val="0"/>
        </w:numPr>
        <w:rPr>
          <w:rFonts w:hint="eastAsia" w:ascii="宋体" w:hAnsi="宋体" w:eastAsia="宋体" w:cs="宋体"/>
          <w:b/>
          <w:bCs/>
          <w:sz w:val="22"/>
          <w:szCs w:val="22"/>
        </w:rPr>
      </w:pPr>
    </w:p>
    <w:p w14:paraId="3F98C222">
      <w:pPr>
        <w:rPr>
          <w:rFonts w:hint="eastAsia" w:asciiTheme="minorEastAsia" w:hAnsiTheme="minorEastAsia" w:eastAsiaTheme="minorEastAsia" w:cstheme="minorEastAsia"/>
          <w:b/>
          <w:bCs/>
          <w:spacing w:val="-4"/>
          <w:sz w:val="24"/>
          <w:szCs w:val="24"/>
          <w:highlight w:val="none"/>
          <w:lang w:val="en-US" w:eastAsia="zh-CN"/>
        </w:rPr>
      </w:pPr>
      <w:r>
        <w:rPr>
          <w:rFonts w:hint="eastAsia" w:asciiTheme="minorEastAsia" w:hAnsiTheme="minorEastAsia" w:eastAsiaTheme="minorEastAsia" w:cstheme="minorEastAsia"/>
          <w:b/>
          <w:bCs/>
          <w:spacing w:val="-4"/>
          <w:sz w:val="24"/>
          <w:szCs w:val="24"/>
          <w:highlight w:val="none"/>
          <w:lang w:val="en-US" w:eastAsia="zh-CN"/>
        </w:rPr>
        <w:br w:type="page"/>
      </w:r>
    </w:p>
    <w:p w14:paraId="248A6989">
      <w:pPr>
        <w:numPr>
          <w:ilvl w:val="0"/>
          <w:numId w:val="0"/>
        </w:numPr>
        <w:rPr>
          <w:rFonts w:hint="eastAsia" w:ascii="宋体" w:hAnsi="宋体" w:eastAsia="宋体" w:cs="宋体"/>
          <w:b/>
          <w:bCs/>
          <w:sz w:val="24"/>
          <w:szCs w:val="24"/>
        </w:rPr>
      </w:pPr>
      <w:r>
        <w:rPr>
          <w:rFonts w:hint="eastAsia" w:asciiTheme="minorEastAsia" w:hAnsiTheme="minorEastAsia" w:eastAsiaTheme="minorEastAsia" w:cstheme="minorEastAsia"/>
          <w:b/>
          <w:bCs/>
          <w:spacing w:val="-4"/>
          <w:sz w:val="24"/>
          <w:szCs w:val="24"/>
          <w:highlight w:val="none"/>
          <w:lang w:val="en-US" w:eastAsia="zh-CN"/>
        </w:rPr>
        <w:t>2、</w:t>
      </w:r>
      <w:r>
        <w:rPr>
          <w:rFonts w:hint="eastAsia" w:ascii="宋体" w:hAnsi="宋体" w:eastAsia="宋体" w:cs="宋体"/>
          <w:b/>
          <w:bCs/>
          <w:sz w:val="24"/>
          <w:szCs w:val="24"/>
          <w:lang w:val="en-US" w:eastAsia="zh-CN"/>
        </w:rPr>
        <w:t>价格</w:t>
      </w:r>
      <w:r>
        <w:rPr>
          <w:rFonts w:hint="eastAsia" w:ascii="宋体" w:hAnsi="宋体" w:eastAsia="宋体" w:cs="宋体"/>
          <w:b/>
          <w:bCs/>
          <w:sz w:val="24"/>
          <w:szCs w:val="24"/>
        </w:rPr>
        <w:t>评分：</w:t>
      </w:r>
      <w:r>
        <w:rPr>
          <w:rFonts w:hint="eastAsia" w:ascii="宋体" w:hAnsi="宋体" w:eastAsia="宋体" w:cs="宋体"/>
          <w:b/>
          <w:bCs/>
          <w:sz w:val="24"/>
          <w:szCs w:val="24"/>
          <w:lang w:val="en-US" w:eastAsia="zh-CN"/>
        </w:rPr>
        <w:t>满分</w:t>
      </w:r>
      <w:r>
        <w:rPr>
          <w:rFonts w:hint="eastAsia" w:ascii="宋体" w:hAnsi="宋体" w:cs="宋体"/>
          <w:b/>
          <w:bCs/>
          <w:sz w:val="24"/>
          <w:szCs w:val="24"/>
          <w:lang w:val="en-US" w:eastAsia="zh-CN"/>
        </w:rPr>
        <w:t>20分</w:t>
      </w:r>
    </w:p>
    <w:p w14:paraId="1FD9813C">
      <w:pPr>
        <w:tabs>
          <w:tab w:val="left" w:pos="774"/>
        </w:tabs>
        <w:autoSpaceDE w:val="0"/>
        <w:autoSpaceDN w:val="0"/>
        <w:spacing w:before="240" w:line="276" w:lineRule="auto"/>
        <w:ind w:left="774" w:hanging="576"/>
        <w:jc w:val="center"/>
        <w:outlineLvl w:val="2"/>
        <w:rPr>
          <w:rFonts w:hint="eastAsia" w:ascii="宋体" w:hAnsi="宋体" w:eastAsia="宋体" w:cs="宋体"/>
          <w:b/>
          <w:color w:val="auto"/>
          <w:sz w:val="28"/>
          <w:szCs w:val="28"/>
          <w:highlight w:val="none"/>
          <w:lang w:val="zh-CN"/>
        </w:rPr>
      </w:pPr>
      <w:bookmarkStart w:id="1" w:name="_Toc11964"/>
      <w:bookmarkStart w:id="2" w:name="_Toc8618"/>
      <w:r>
        <w:rPr>
          <w:rFonts w:hint="eastAsia" w:ascii="宋体" w:hAnsi="宋体" w:eastAsia="宋体" w:cs="宋体"/>
          <w:b/>
          <w:color w:val="auto"/>
          <w:sz w:val="28"/>
          <w:szCs w:val="28"/>
          <w:highlight w:val="none"/>
          <w:lang w:val="zh-CN"/>
        </w:rPr>
        <w:t>报价一览表</w:t>
      </w:r>
      <w:bookmarkEnd w:id="1"/>
      <w:bookmarkEnd w:id="2"/>
    </w:p>
    <w:p w14:paraId="0E00C5C0">
      <w:pPr>
        <w:spacing w:line="360" w:lineRule="auto"/>
        <w:rPr>
          <w:rFonts w:hint="eastAsia" w:ascii="宋体" w:hAnsi="宋体" w:eastAsia="宋体" w:cs="宋体"/>
          <w:b w:val="0"/>
          <w:bCs w:val="0"/>
          <w:color w:val="auto"/>
          <w:sz w:val="22"/>
          <w:szCs w:val="18"/>
          <w:highlight w:val="none"/>
        </w:rPr>
      </w:pPr>
      <w:r>
        <w:rPr>
          <w:rFonts w:hint="eastAsia" w:ascii="宋体" w:hAnsi="宋体" w:eastAsia="宋体" w:cs="宋体"/>
          <w:b w:val="0"/>
          <w:bCs w:val="0"/>
          <w:color w:val="auto"/>
          <w:sz w:val="24"/>
          <w:szCs w:val="24"/>
          <w:highlight w:val="none"/>
        </w:rPr>
        <w:t>项目名称：</w:t>
      </w:r>
      <w:r>
        <w:rPr>
          <w:rFonts w:hint="eastAsia" w:ascii="宋体" w:hAnsi="宋体" w:eastAsia="宋体" w:cs="宋体"/>
          <w:sz w:val="24"/>
          <w:szCs w:val="24"/>
          <w:highlight w:val="none"/>
        </w:rPr>
        <w:t>温州市中医院</w:t>
      </w:r>
      <w:r>
        <w:rPr>
          <w:rFonts w:hint="eastAsia" w:ascii="宋体" w:hAnsi="宋体" w:cs="宋体"/>
          <w:sz w:val="24"/>
          <w:szCs w:val="24"/>
          <w:highlight w:val="none"/>
          <w:lang w:val="en-US" w:eastAsia="zh-CN"/>
        </w:rPr>
        <w:t>资产评估服务采购项目</w:t>
      </w:r>
      <w:r>
        <w:rPr>
          <w:rFonts w:hint="eastAsia" w:ascii="宋体" w:hAnsi="宋体" w:eastAsia="宋体" w:cs="宋体"/>
          <w:b w:val="0"/>
          <w:bCs w:val="0"/>
          <w:color w:val="auto"/>
          <w:sz w:val="22"/>
          <w:szCs w:val="18"/>
          <w:highlight w:val="none"/>
        </w:rPr>
        <w:t xml:space="preserve">                            </w:t>
      </w:r>
    </w:p>
    <w:tbl>
      <w:tblPr>
        <w:tblStyle w:val="1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2405"/>
        <w:gridCol w:w="3333"/>
        <w:gridCol w:w="1935"/>
        <w:gridCol w:w="1279"/>
      </w:tblGrid>
      <w:tr w14:paraId="02E0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356" w:type="pct"/>
            <w:noWrap w:val="0"/>
            <w:vAlign w:val="center"/>
          </w:tcPr>
          <w:p w14:paraId="0D56CB66">
            <w:pPr>
              <w:spacing w:line="380" w:lineRule="exact"/>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序号</w:t>
            </w:r>
          </w:p>
        </w:tc>
        <w:tc>
          <w:tcPr>
            <w:tcW w:w="1247" w:type="pct"/>
            <w:noWrap w:val="0"/>
            <w:vAlign w:val="center"/>
          </w:tcPr>
          <w:p w14:paraId="25BFB437">
            <w:pPr>
              <w:spacing w:line="380" w:lineRule="exact"/>
              <w:jc w:val="center"/>
              <w:rPr>
                <w:rFonts w:hint="eastAsia" w:ascii="宋体" w:hAnsi="宋体" w:eastAsia="宋体" w:cs="宋体"/>
                <w:color w:val="auto"/>
                <w:sz w:val="22"/>
                <w:highlight w:val="none"/>
              </w:rPr>
            </w:pPr>
            <w:r>
              <w:rPr>
                <w:rFonts w:hint="eastAsia" w:ascii="宋体" w:hAnsi="宋体" w:eastAsia="宋体" w:cs="宋体"/>
                <w:bCs/>
                <w:color w:val="auto"/>
                <w:sz w:val="22"/>
                <w:szCs w:val="22"/>
                <w:highlight w:val="none"/>
              </w:rPr>
              <w:t>项目名称</w:t>
            </w:r>
          </w:p>
        </w:tc>
        <w:tc>
          <w:tcPr>
            <w:tcW w:w="1728" w:type="pct"/>
            <w:noWrap w:val="0"/>
            <w:vAlign w:val="center"/>
          </w:tcPr>
          <w:p w14:paraId="02584399">
            <w:pPr>
              <w:spacing w:line="380" w:lineRule="exact"/>
              <w:jc w:val="center"/>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收费标准</w:t>
            </w:r>
          </w:p>
        </w:tc>
        <w:tc>
          <w:tcPr>
            <w:tcW w:w="1003" w:type="pct"/>
            <w:noWrap w:val="0"/>
            <w:vAlign w:val="center"/>
          </w:tcPr>
          <w:p w14:paraId="06CAF957">
            <w:pPr>
              <w:spacing w:line="380" w:lineRule="exact"/>
              <w:jc w:val="center"/>
              <w:rPr>
                <w:rFonts w:hint="eastAsia" w:ascii="宋体" w:hAnsi="宋体" w:eastAsia="宋体" w:cs="宋体"/>
                <w:color w:val="auto"/>
                <w:sz w:val="22"/>
                <w:highlight w:val="none"/>
                <w:lang w:eastAsia="zh-CN"/>
              </w:rPr>
            </w:pPr>
            <w:r>
              <w:rPr>
                <w:rFonts w:hint="eastAsia" w:ascii="宋体" w:hAnsi="宋体" w:eastAsia="宋体" w:cs="宋体"/>
                <w:bCs/>
                <w:color w:val="auto"/>
                <w:sz w:val="22"/>
                <w:szCs w:val="22"/>
                <w:highlight w:val="none"/>
              </w:rPr>
              <w:t>报价</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w:t>
            </w:r>
            <w:r>
              <w:rPr>
                <w:rFonts w:hint="eastAsia" w:ascii="宋体" w:hAnsi="宋体" w:eastAsia="宋体" w:cs="宋体"/>
                <w:bCs/>
                <w:color w:val="auto"/>
                <w:sz w:val="22"/>
                <w:szCs w:val="22"/>
                <w:highlight w:val="none"/>
                <w:lang w:eastAsia="zh-CN"/>
              </w:rPr>
              <w:t>）</w:t>
            </w:r>
          </w:p>
        </w:tc>
        <w:tc>
          <w:tcPr>
            <w:tcW w:w="663" w:type="pct"/>
            <w:noWrap w:val="0"/>
            <w:vAlign w:val="center"/>
          </w:tcPr>
          <w:p w14:paraId="6674FA88">
            <w:pPr>
              <w:spacing w:line="380" w:lineRule="exact"/>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备注</w:t>
            </w:r>
          </w:p>
        </w:tc>
      </w:tr>
      <w:tr w14:paraId="7283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356" w:type="pct"/>
            <w:noWrap w:val="0"/>
            <w:vAlign w:val="center"/>
          </w:tcPr>
          <w:p w14:paraId="3827C14C">
            <w:pPr>
              <w:spacing w:line="380" w:lineRule="exact"/>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w:t>
            </w:r>
          </w:p>
        </w:tc>
        <w:tc>
          <w:tcPr>
            <w:tcW w:w="1247" w:type="pct"/>
            <w:noWrap w:val="0"/>
            <w:vAlign w:val="center"/>
          </w:tcPr>
          <w:p w14:paraId="4405B0A3">
            <w:pPr>
              <w:spacing w:line="380" w:lineRule="exact"/>
              <w:jc w:val="center"/>
              <w:rPr>
                <w:rFonts w:hint="eastAsia" w:ascii="宋体" w:hAnsi="宋体" w:eastAsia="宋体" w:cs="宋体"/>
                <w:color w:val="auto"/>
                <w:sz w:val="22"/>
                <w:highlight w:val="none"/>
              </w:rPr>
            </w:pPr>
            <w:r>
              <w:rPr>
                <w:rFonts w:hint="eastAsia" w:ascii="宋体" w:hAnsi="宋体" w:eastAsia="宋体" w:cs="宋体"/>
                <w:sz w:val="24"/>
                <w:szCs w:val="24"/>
                <w:highlight w:val="none"/>
              </w:rPr>
              <w:t>温州市中医院</w:t>
            </w:r>
            <w:r>
              <w:rPr>
                <w:rFonts w:hint="eastAsia" w:ascii="宋体" w:hAnsi="宋体" w:cs="宋体"/>
                <w:sz w:val="24"/>
                <w:szCs w:val="24"/>
                <w:highlight w:val="none"/>
                <w:lang w:val="en-US" w:eastAsia="zh-CN"/>
              </w:rPr>
              <w:t>资产评估服务采购项目</w:t>
            </w:r>
          </w:p>
        </w:tc>
        <w:tc>
          <w:tcPr>
            <w:tcW w:w="1728" w:type="pct"/>
            <w:noWrap w:val="0"/>
            <w:vAlign w:val="center"/>
          </w:tcPr>
          <w:p w14:paraId="3829B6CE">
            <w:pPr>
              <w:spacing w:line="380" w:lineRule="exact"/>
              <w:rPr>
                <w:rFonts w:hint="eastAsia" w:ascii="宋体" w:hAnsi="宋体" w:eastAsia="宋体" w:cs="宋体"/>
                <w:color w:val="auto"/>
                <w:sz w:val="22"/>
                <w:highlight w:val="none"/>
                <w:lang w:val="en-US" w:eastAsia="zh-CN"/>
              </w:rPr>
            </w:pPr>
            <w:r>
              <w:rPr>
                <w:rFonts w:hint="eastAsia" w:ascii="宋体" w:hAnsi="宋体" w:cs="宋体"/>
                <w:sz w:val="24"/>
                <w:szCs w:val="24"/>
                <w:highlight w:val="none"/>
                <w:vertAlign w:val="baseline"/>
                <w:lang w:val="en-US" w:eastAsia="zh-CN"/>
              </w:rPr>
              <w:t>浙江省物价局关于制定资产评估收费标准的通知（浙价服[2011]90号）的标准，按差额定率累进计费方式计价</w:t>
            </w:r>
          </w:p>
        </w:tc>
        <w:tc>
          <w:tcPr>
            <w:tcW w:w="1003" w:type="pct"/>
            <w:noWrap w:val="0"/>
            <w:vAlign w:val="center"/>
          </w:tcPr>
          <w:p w14:paraId="44A29A7E">
            <w:pPr>
              <w:spacing w:line="38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折扣率：</w:t>
            </w:r>
            <w:r>
              <w:rPr>
                <w:rFonts w:hint="eastAsia" w:ascii="宋体" w:hAnsi="宋体" w:eastAsia="宋体" w:cs="宋体"/>
                <w:color w:val="auto"/>
                <w:sz w:val="22"/>
                <w:highlight w:val="none"/>
                <w:u w:val="single"/>
                <w:lang w:val="en-US" w:eastAsia="zh-CN"/>
              </w:rPr>
              <w:t xml:space="preserve">    </w:t>
            </w:r>
            <w:r>
              <w:rPr>
                <w:rFonts w:hint="eastAsia" w:ascii="宋体" w:hAnsi="宋体" w:eastAsia="宋体" w:cs="宋体"/>
                <w:color w:val="auto"/>
                <w:sz w:val="22"/>
                <w:highlight w:val="none"/>
                <w:lang w:val="en-US" w:eastAsia="zh-CN"/>
              </w:rPr>
              <w:t>%</w:t>
            </w:r>
          </w:p>
        </w:tc>
        <w:tc>
          <w:tcPr>
            <w:tcW w:w="663" w:type="pct"/>
            <w:noWrap w:val="0"/>
            <w:vAlign w:val="center"/>
          </w:tcPr>
          <w:p w14:paraId="26294AB8">
            <w:pPr>
              <w:spacing w:line="380" w:lineRule="exact"/>
              <w:jc w:val="center"/>
              <w:rPr>
                <w:rFonts w:hint="default" w:ascii="宋体" w:hAnsi="宋体" w:eastAsia="宋体" w:cs="宋体"/>
                <w:color w:val="auto"/>
                <w:sz w:val="22"/>
                <w:highlight w:val="none"/>
                <w:lang w:val="en-US" w:eastAsia="zh-CN"/>
              </w:rPr>
            </w:pPr>
          </w:p>
        </w:tc>
      </w:tr>
    </w:tbl>
    <w:p w14:paraId="56BA281E">
      <w:pPr>
        <w:spacing w:line="450" w:lineRule="exact"/>
        <w:ind w:firstLine="541" w:firstLineChars="245"/>
        <w:rPr>
          <w:rFonts w:hint="eastAsia" w:ascii="宋体" w:hAnsi="宋体" w:eastAsia="宋体" w:cs="宋体"/>
          <w:b/>
          <w:color w:val="auto"/>
          <w:sz w:val="22"/>
          <w:highlight w:val="none"/>
        </w:rPr>
      </w:pPr>
    </w:p>
    <w:p w14:paraId="70D0CC4A">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w:t>
      </w:r>
    </w:p>
    <w:p w14:paraId="4319AC82">
      <w:pPr>
        <w:spacing w:line="360" w:lineRule="auto"/>
        <w:ind w:firstLine="482" w:firstLineChars="200"/>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每单评估费=按评估收费标准</w:t>
      </w:r>
      <w:r>
        <w:rPr>
          <w:rFonts w:hint="eastAsia" w:ascii="宋体" w:hAnsi="宋体" w:cs="宋体"/>
          <w:b/>
          <w:color w:val="auto"/>
          <w:sz w:val="24"/>
          <w:szCs w:val="24"/>
          <w:highlight w:val="none"/>
          <w:lang w:val="en-US" w:eastAsia="zh-CN"/>
        </w:rPr>
        <w:t>计算</w:t>
      </w:r>
      <w:r>
        <w:rPr>
          <w:rFonts w:hint="eastAsia" w:ascii="宋体" w:hAnsi="宋体" w:eastAsia="宋体" w:cs="宋体"/>
          <w:b/>
          <w:color w:val="auto"/>
          <w:sz w:val="24"/>
          <w:szCs w:val="24"/>
          <w:highlight w:val="none"/>
          <w:lang w:val="en-US" w:eastAsia="zh-CN"/>
        </w:rPr>
        <w:t>应付评估费</w:t>
      </w:r>
      <w:r>
        <w:rPr>
          <w:rFonts w:hint="eastAsia" w:ascii="宋体" w:hAnsi="宋体" w:cs="宋体"/>
          <w:b/>
          <w:color w:val="auto"/>
          <w:sz w:val="24"/>
          <w:szCs w:val="24"/>
          <w:highlight w:val="none"/>
          <w:lang w:val="en-US" w:eastAsia="zh-CN"/>
        </w:rPr>
        <w:t>（不足1500元时按1500元计）</w:t>
      </w:r>
      <w:r>
        <w:rPr>
          <w:rFonts w:hint="eastAsia" w:ascii="宋体" w:hAnsi="宋体" w:eastAsia="宋体" w:cs="宋体"/>
          <w:b/>
          <w:color w:val="auto"/>
          <w:sz w:val="24"/>
          <w:szCs w:val="24"/>
          <w:highlight w:val="none"/>
          <w:lang w:val="en-US" w:eastAsia="zh-CN"/>
        </w:rPr>
        <w:t>*（1-折扣率）。</w:t>
      </w:r>
    </w:p>
    <w:p w14:paraId="1A220383">
      <w:pPr>
        <w:pStyle w:val="3"/>
        <w:spacing w:line="360" w:lineRule="auto"/>
        <w:ind w:firstLine="480" w:firstLineChars="200"/>
        <w:rPr>
          <w:rFonts w:hint="default"/>
          <w:b w:val="0"/>
          <w:bCs/>
          <w:sz w:val="24"/>
          <w:szCs w:val="24"/>
          <w:lang w:val="en-US" w:eastAsia="zh-CN"/>
        </w:rPr>
      </w:pPr>
      <w:r>
        <w:rPr>
          <w:rFonts w:hint="eastAsia"/>
          <w:b w:val="0"/>
          <w:bCs/>
          <w:sz w:val="24"/>
          <w:szCs w:val="24"/>
          <w:lang w:val="en-US" w:eastAsia="zh-CN"/>
        </w:rPr>
        <w:t>2、评估费完成评估工作的全部费用。</w:t>
      </w:r>
    </w:p>
    <w:p w14:paraId="1575B9CB">
      <w:pPr>
        <w:pStyle w:val="3"/>
        <w:spacing w:line="36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、不提供此表格将被视为没有实质性响应文件</w:t>
      </w:r>
      <w:r>
        <w:rPr>
          <w:rFonts w:hint="eastAsia" w:ascii="宋体" w:hAnsi="宋体" w:eastAsia="宋体" w:cs="宋体"/>
          <w:b w:val="0"/>
          <w:bCs/>
          <w:color w:val="auto"/>
          <w:sz w:val="24"/>
          <w:szCs w:val="24"/>
          <w:highlight w:val="none"/>
          <w:lang w:eastAsia="zh-CN"/>
        </w:rPr>
        <w:t>。</w:t>
      </w:r>
    </w:p>
    <w:p w14:paraId="51ABEA78">
      <w:pPr>
        <w:ind w:firstLine="480" w:firstLineChars="200"/>
        <w:rPr>
          <w:rFonts w:hint="default"/>
          <w:b w:val="0"/>
          <w:bCs/>
          <w:sz w:val="24"/>
          <w:szCs w:val="24"/>
          <w:lang w:val="en-US" w:eastAsia="zh-CN"/>
        </w:rPr>
      </w:pPr>
      <w:r>
        <w:rPr>
          <w:rFonts w:hint="eastAsia" w:ascii="宋体" w:hAnsi="宋体" w:cs="宋体"/>
          <w:b w:val="0"/>
          <w:bCs/>
          <w:color w:val="auto"/>
          <w:sz w:val="24"/>
          <w:szCs w:val="24"/>
          <w:highlight w:val="none"/>
          <w:lang w:val="en-US" w:eastAsia="zh-CN"/>
        </w:rPr>
        <w:t>4、折扣率低于50%按无效标处理。</w:t>
      </w:r>
    </w:p>
    <w:p w14:paraId="6888F546">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4B7F2D82">
      <w:pPr>
        <w:spacing w:line="460" w:lineRule="exact"/>
        <w:ind w:firstLine="4400" w:firstLineChars="2000"/>
        <w:rPr>
          <w:rFonts w:hint="eastAsia" w:ascii="宋体" w:hAnsi="宋体" w:eastAsia="宋体" w:cs="宋体"/>
          <w:color w:val="auto"/>
          <w:sz w:val="22"/>
          <w:szCs w:val="22"/>
          <w:highlight w:val="none"/>
        </w:rPr>
      </w:pPr>
    </w:p>
    <w:p w14:paraId="317200D7">
      <w:pPr>
        <w:spacing w:line="460" w:lineRule="exact"/>
        <w:ind w:firstLine="4400" w:firstLineChars="2000"/>
        <w:rPr>
          <w:rFonts w:hint="eastAsia" w:ascii="宋体" w:hAnsi="宋体" w:eastAsia="宋体" w:cs="宋体"/>
          <w:color w:val="auto"/>
          <w:sz w:val="22"/>
          <w:szCs w:val="22"/>
          <w:highlight w:val="none"/>
        </w:rPr>
      </w:pPr>
    </w:p>
    <w:p w14:paraId="3A527555">
      <w:pPr>
        <w:spacing w:line="460" w:lineRule="exact"/>
        <w:ind w:firstLine="4400" w:firstLineChars="2000"/>
        <w:rPr>
          <w:rFonts w:hint="eastAsia" w:ascii="宋体" w:hAnsi="宋体" w:eastAsia="宋体" w:cs="宋体"/>
          <w:color w:val="auto"/>
          <w:sz w:val="22"/>
          <w:szCs w:val="22"/>
          <w:highlight w:val="none"/>
        </w:rPr>
      </w:pPr>
    </w:p>
    <w:p w14:paraId="47F798DE">
      <w:pPr>
        <w:spacing w:line="460" w:lineRule="exact"/>
        <w:ind w:firstLine="4400" w:firstLineChars="2000"/>
        <w:rPr>
          <w:rFonts w:hint="eastAsia" w:ascii="宋体" w:hAnsi="宋体" w:eastAsia="宋体" w:cs="宋体"/>
          <w:color w:val="auto"/>
          <w:sz w:val="22"/>
          <w:szCs w:val="22"/>
          <w:highlight w:val="none"/>
        </w:rPr>
      </w:pPr>
    </w:p>
    <w:p w14:paraId="742EDA1B">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0C012270">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供应商全称（盖章）：</w:t>
      </w:r>
    </w:p>
    <w:p w14:paraId="60C0496A">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供应商代表（签字）：</w:t>
      </w:r>
    </w:p>
    <w:p w14:paraId="5FF797B2">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日  期：   </w:t>
      </w:r>
    </w:p>
    <w:p w14:paraId="6ACDF332">
      <w:pPr>
        <w:pStyle w:val="3"/>
        <w:rPr>
          <w:rFonts w:hint="eastAsia"/>
        </w:rPr>
      </w:pPr>
    </w:p>
    <w:p w14:paraId="67EFF304">
      <w:pPr>
        <w:spacing w:line="380" w:lineRule="exact"/>
        <w:rPr>
          <w:rFonts w:hint="eastAsia"/>
          <w:highlight w:val="none"/>
        </w:rPr>
      </w:pPr>
    </w:p>
    <w:sectPr>
      <w:footerReference r:id="rId3" w:type="default"/>
      <w:pgSz w:w="11906" w:h="16838"/>
      <w:pgMar w:top="850" w:right="1236" w:bottom="85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9EE22">
    <w:pPr>
      <w:pStyle w:val="10"/>
      <w:jc w:val="cente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14:paraId="51007EC1">
                <w:pPr>
                  <w:pStyle w:val="10"/>
                  <w:jc w:val="center"/>
                </w:pPr>
                <w:r>
                  <w:fldChar w:fldCharType="begin"/>
                </w:r>
                <w:r>
                  <w:instrText xml:space="preserve">PAGE   \* MERGEFORMAT</w:instrText>
                </w:r>
                <w:r>
                  <w:fldChar w:fldCharType="separate"/>
                </w:r>
                <w:r>
                  <w:rPr>
                    <w:lang w:val="zh-CN"/>
                  </w:rPr>
                  <w:t>40</w:t>
                </w:r>
                <w:r>
                  <w:rPr>
                    <w:lang w:val="zh-CN"/>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5F8E"/>
    <w:multiLevelType w:val="singleLevel"/>
    <w:tmpl w:val="92395F8E"/>
    <w:lvl w:ilvl="0" w:tentative="0">
      <w:start w:val="3"/>
      <w:numFmt w:val="decimal"/>
      <w:suff w:val="nothing"/>
      <w:lvlText w:val="%1、"/>
      <w:lvlJc w:val="left"/>
    </w:lvl>
  </w:abstractNum>
  <w:abstractNum w:abstractNumId="1">
    <w:nsid w:val="C08BF673"/>
    <w:multiLevelType w:val="singleLevel"/>
    <w:tmpl w:val="C08BF673"/>
    <w:lvl w:ilvl="0" w:tentative="0">
      <w:start w:val="1"/>
      <w:numFmt w:val="chineseCounting"/>
      <w:suff w:val="nothing"/>
      <w:lvlText w:val="%1、"/>
      <w:lvlJc w:val="left"/>
      <w:rPr>
        <w:rFonts w:hint="eastAsia"/>
      </w:rPr>
    </w:lvl>
  </w:abstractNum>
  <w:abstractNum w:abstractNumId="2">
    <w:nsid w:val="5D497C9E"/>
    <w:multiLevelType w:val="multilevel"/>
    <w:tmpl w:val="5D497C9E"/>
    <w:lvl w:ilvl="0" w:tentative="0">
      <w:start w:val="1"/>
      <w:numFmt w:val="chineseCountingThousand"/>
      <w:suff w:val="nothing"/>
      <w:lvlText w:val="第%1章"/>
      <w:lvlJc w:val="left"/>
      <w:pPr>
        <w:ind w:left="0" w:firstLine="0"/>
      </w:pPr>
      <w:rPr>
        <w:rFonts w:hint="default" w:ascii="Times New Roman" w:hAnsi="Times New Roman" w:eastAsia="黑体"/>
        <w:b/>
        <w:i w:val="0"/>
        <w:sz w:val="32"/>
        <w:szCs w:val="32"/>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pStyle w:val="2"/>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2IzN2FlZGQyNmExMDc1YTc1OWIxYmFlNmE1NTFhMTUifQ=="/>
  </w:docVars>
  <w:rsids>
    <w:rsidRoot w:val="442D7AA8"/>
    <w:rsid w:val="000838A3"/>
    <w:rsid w:val="0029760C"/>
    <w:rsid w:val="003D41C7"/>
    <w:rsid w:val="003E091A"/>
    <w:rsid w:val="00537F7B"/>
    <w:rsid w:val="005D6C7D"/>
    <w:rsid w:val="0077449E"/>
    <w:rsid w:val="009C732C"/>
    <w:rsid w:val="00A81427"/>
    <w:rsid w:val="00BD504C"/>
    <w:rsid w:val="00DB7EDC"/>
    <w:rsid w:val="00FA6B75"/>
    <w:rsid w:val="03BC4EA5"/>
    <w:rsid w:val="03C84B20"/>
    <w:rsid w:val="04B15D87"/>
    <w:rsid w:val="04BF0E2D"/>
    <w:rsid w:val="04FC263C"/>
    <w:rsid w:val="058519D7"/>
    <w:rsid w:val="061D51A5"/>
    <w:rsid w:val="061E2864"/>
    <w:rsid w:val="076646E5"/>
    <w:rsid w:val="07986998"/>
    <w:rsid w:val="084B5379"/>
    <w:rsid w:val="08620BAA"/>
    <w:rsid w:val="08F913E5"/>
    <w:rsid w:val="091E5277"/>
    <w:rsid w:val="097D7782"/>
    <w:rsid w:val="09920CE1"/>
    <w:rsid w:val="09CB578A"/>
    <w:rsid w:val="0BA15CEB"/>
    <w:rsid w:val="0C1D374F"/>
    <w:rsid w:val="0CA81A28"/>
    <w:rsid w:val="0F427144"/>
    <w:rsid w:val="0F9C6A6C"/>
    <w:rsid w:val="1124087B"/>
    <w:rsid w:val="11D03062"/>
    <w:rsid w:val="125104AB"/>
    <w:rsid w:val="127E35D2"/>
    <w:rsid w:val="1323618E"/>
    <w:rsid w:val="13922B04"/>
    <w:rsid w:val="15F0193F"/>
    <w:rsid w:val="16586A57"/>
    <w:rsid w:val="16AC4F3A"/>
    <w:rsid w:val="16EF2001"/>
    <w:rsid w:val="17972177"/>
    <w:rsid w:val="17B96491"/>
    <w:rsid w:val="19006747"/>
    <w:rsid w:val="1A6902E3"/>
    <w:rsid w:val="1B951E05"/>
    <w:rsid w:val="1C0A168B"/>
    <w:rsid w:val="1C68304A"/>
    <w:rsid w:val="1C8C20A0"/>
    <w:rsid w:val="1DEA1774"/>
    <w:rsid w:val="1E727C26"/>
    <w:rsid w:val="1ED557B3"/>
    <w:rsid w:val="1F0548A5"/>
    <w:rsid w:val="1F4D1794"/>
    <w:rsid w:val="203F5CE6"/>
    <w:rsid w:val="20A43E5C"/>
    <w:rsid w:val="20C836D6"/>
    <w:rsid w:val="23FA0237"/>
    <w:rsid w:val="252A6495"/>
    <w:rsid w:val="25DC4098"/>
    <w:rsid w:val="26614AE7"/>
    <w:rsid w:val="26A36964"/>
    <w:rsid w:val="27A63845"/>
    <w:rsid w:val="2C0B329E"/>
    <w:rsid w:val="2DCF6290"/>
    <w:rsid w:val="2EE23DA1"/>
    <w:rsid w:val="2FC46A81"/>
    <w:rsid w:val="32E87DD1"/>
    <w:rsid w:val="333746BC"/>
    <w:rsid w:val="33F15215"/>
    <w:rsid w:val="35584BB1"/>
    <w:rsid w:val="35DC779C"/>
    <w:rsid w:val="36F20F59"/>
    <w:rsid w:val="36FF0897"/>
    <w:rsid w:val="37F53C76"/>
    <w:rsid w:val="38620F4A"/>
    <w:rsid w:val="395D6E46"/>
    <w:rsid w:val="3A0D6176"/>
    <w:rsid w:val="3A5C534F"/>
    <w:rsid w:val="3AA307AA"/>
    <w:rsid w:val="3B3C0996"/>
    <w:rsid w:val="3D4A148F"/>
    <w:rsid w:val="3D766728"/>
    <w:rsid w:val="3F351791"/>
    <w:rsid w:val="414C270F"/>
    <w:rsid w:val="41D82FF7"/>
    <w:rsid w:val="42417305"/>
    <w:rsid w:val="43AB1C34"/>
    <w:rsid w:val="43BD2D6E"/>
    <w:rsid w:val="43F47C2B"/>
    <w:rsid w:val="442D7AA8"/>
    <w:rsid w:val="456D5B99"/>
    <w:rsid w:val="45B222C8"/>
    <w:rsid w:val="464C44CA"/>
    <w:rsid w:val="46AB0BAA"/>
    <w:rsid w:val="4864401C"/>
    <w:rsid w:val="48645AFB"/>
    <w:rsid w:val="49E05655"/>
    <w:rsid w:val="4A1C10DF"/>
    <w:rsid w:val="4A9B7985"/>
    <w:rsid w:val="4AFE12BB"/>
    <w:rsid w:val="4B2C08F7"/>
    <w:rsid w:val="4B86017E"/>
    <w:rsid w:val="4BB26B7D"/>
    <w:rsid w:val="4C393C27"/>
    <w:rsid w:val="4EAB72E4"/>
    <w:rsid w:val="4EDB63EB"/>
    <w:rsid w:val="4F835253"/>
    <w:rsid w:val="50430A48"/>
    <w:rsid w:val="50CF01D2"/>
    <w:rsid w:val="50D4246D"/>
    <w:rsid w:val="51E24360"/>
    <w:rsid w:val="52957526"/>
    <w:rsid w:val="539C47DE"/>
    <w:rsid w:val="54A656ED"/>
    <w:rsid w:val="55B04499"/>
    <w:rsid w:val="564451BE"/>
    <w:rsid w:val="56576C9F"/>
    <w:rsid w:val="57A36574"/>
    <w:rsid w:val="57CA4468"/>
    <w:rsid w:val="58D72375"/>
    <w:rsid w:val="592D3875"/>
    <w:rsid w:val="596D4A2C"/>
    <w:rsid w:val="59863BF8"/>
    <w:rsid w:val="59A27E58"/>
    <w:rsid w:val="5A1D1FAE"/>
    <w:rsid w:val="5A7367E0"/>
    <w:rsid w:val="5AA12BDF"/>
    <w:rsid w:val="5BF233C2"/>
    <w:rsid w:val="5D7A552B"/>
    <w:rsid w:val="5D924A61"/>
    <w:rsid w:val="5DAF6DF6"/>
    <w:rsid w:val="5E6F3AB2"/>
    <w:rsid w:val="5EB32163"/>
    <w:rsid w:val="5EEC01A1"/>
    <w:rsid w:val="5FAF0970"/>
    <w:rsid w:val="5FF67529"/>
    <w:rsid w:val="61E865CA"/>
    <w:rsid w:val="62C456BC"/>
    <w:rsid w:val="63750765"/>
    <w:rsid w:val="64F466B7"/>
    <w:rsid w:val="654C0859"/>
    <w:rsid w:val="65896C70"/>
    <w:rsid w:val="65B0017A"/>
    <w:rsid w:val="669F17AA"/>
    <w:rsid w:val="675C68F7"/>
    <w:rsid w:val="677734BF"/>
    <w:rsid w:val="698C35ED"/>
    <w:rsid w:val="6AD77E43"/>
    <w:rsid w:val="6D072008"/>
    <w:rsid w:val="6F377216"/>
    <w:rsid w:val="6FA3415F"/>
    <w:rsid w:val="712E3A4E"/>
    <w:rsid w:val="71BA3A22"/>
    <w:rsid w:val="71CD3E62"/>
    <w:rsid w:val="724D0AFE"/>
    <w:rsid w:val="727B337A"/>
    <w:rsid w:val="72B648F6"/>
    <w:rsid w:val="72E83474"/>
    <w:rsid w:val="72F62F44"/>
    <w:rsid w:val="74DD0860"/>
    <w:rsid w:val="75A35A24"/>
    <w:rsid w:val="77A47413"/>
    <w:rsid w:val="78362761"/>
    <w:rsid w:val="78BC52C2"/>
    <w:rsid w:val="79C72A21"/>
    <w:rsid w:val="79D00993"/>
    <w:rsid w:val="79F966D5"/>
    <w:rsid w:val="7A8D0632"/>
    <w:rsid w:val="7D311748"/>
    <w:rsid w:val="7D531607"/>
    <w:rsid w:val="7DBF4FA6"/>
    <w:rsid w:val="7E036272"/>
    <w:rsid w:val="7E7A2C7B"/>
    <w:rsid w:val="7EEE556E"/>
    <w:rsid w:val="7EFA0DDF"/>
    <w:rsid w:val="7F0817C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9"/>
    <w:pPr>
      <w:keepNext/>
      <w:keepLines/>
      <w:tabs>
        <w:tab w:val="left" w:pos="840"/>
      </w:tabs>
      <w:adjustRightInd w:val="0"/>
      <w:snapToGrid w:val="0"/>
      <w:spacing w:line="360" w:lineRule="auto"/>
      <w:outlineLvl w:val="0"/>
    </w:pPr>
    <w:rPr>
      <w:rFonts w:ascii="宋体"/>
      <w:b/>
      <w:kern w:val="44"/>
      <w:sz w:val="24"/>
    </w:rPr>
  </w:style>
  <w:style w:type="paragraph" w:styleId="2">
    <w:name w:val="heading 4"/>
    <w:basedOn w:val="1"/>
    <w:next w:val="1"/>
    <w:autoRedefine/>
    <w:qFormat/>
    <w:uiPriority w:val="0"/>
    <w:pPr>
      <w:keepNext/>
      <w:keepLines/>
      <w:numPr>
        <w:ilvl w:val="3"/>
        <w:numId w:val="1"/>
      </w:numPr>
      <w:spacing w:line="540" w:lineRule="atLeast"/>
      <w:outlineLvl w:val="3"/>
    </w:pPr>
    <w:rPr>
      <w:sz w:val="28"/>
      <w:szCs w:val="28"/>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ind w:firstLine="420"/>
    </w:pPr>
    <w:rPr>
      <w:szCs w:val="20"/>
    </w:rPr>
  </w:style>
  <w:style w:type="paragraph" w:styleId="5">
    <w:name w:val="Body Text"/>
    <w:basedOn w:val="1"/>
    <w:next w:val="6"/>
    <w:autoRedefine/>
    <w:qFormat/>
    <w:uiPriority w:val="0"/>
    <w:pPr>
      <w:spacing w:after="120" w:afterLines="0"/>
    </w:pPr>
  </w:style>
  <w:style w:type="paragraph" w:styleId="6">
    <w:name w:val="Body Text First Indent"/>
    <w:basedOn w:val="5"/>
    <w:autoRedefine/>
    <w:qFormat/>
    <w:uiPriority w:val="0"/>
    <w:pPr>
      <w:ind w:firstLine="420" w:firstLineChars="100"/>
    </w:pPr>
    <w:rPr>
      <w:b/>
      <w:bCs/>
      <w:szCs w:val="24"/>
    </w:rPr>
  </w:style>
  <w:style w:type="paragraph" w:styleId="7">
    <w:name w:val="Body Text Indent"/>
    <w:basedOn w:val="1"/>
    <w:autoRedefine/>
    <w:qFormat/>
    <w:uiPriority w:val="0"/>
    <w:pPr>
      <w:spacing w:line="200" w:lineRule="exact"/>
      <w:ind w:firstLine="301"/>
    </w:pPr>
    <w:rPr>
      <w:rFonts w:ascii="宋体" w:hAnsi="Courier New"/>
      <w:spacing w:val="-4"/>
      <w:sz w:val="18"/>
      <w:szCs w:val="20"/>
      <w14:ligatures w14:val="none"/>
    </w:rPr>
  </w:style>
  <w:style w:type="paragraph" w:styleId="8">
    <w:name w:val="Plain Text"/>
    <w:basedOn w:val="1"/>
    <w:next w:val="9"/>
    <w:autoRedefine/>
    <w:qFormat/>
    <w:uiPriority w:val="0"/>
    <w:pPr>
      <w:spacing w:beforeLines="50" w:afterLines="50" w:line="400" w:lineRule="exact"/>
    </w:pPr>
    <w:rPr>
      <w:rFonts w:ascii="宋体" w:hAnsi="Courier New"/>
      <w:sz w:val="24"/>
    </w:rPr>
  </w:style>
  <w:style w:type="paragraph" w:styleId="9">
    <w:name w:val="toc 2"/>
    <w:basedOn w:val="1"/>
    <w:next w:val="1"/>
    <w:autoRedefine/>
    <w:qFormat/>
    <w:uiPriority w:val="0"/>
    <w:pPr>
      <w:ind w:left="420" w:leftChars="200"/>
    </w:pPr>
  </w:style>
  <w:style w:type="paragraph" w:styleId="10">
    <w:name w:val="footer"/>
    <w:basedOn w:val="1"/>
    <w:link w:val="28"/>
    <w:autoRedefine/>
    <w:qFormat/>
    <w:uiPriority w:val="0"/>
    <w:pPr>
      <w:tabs>
        <w:tab w:val="center" w:pos="4153"/>
        <w:tab w:val="right" w:pos="8306"/>
      </w:tabs>
      <w:snapToGrid w:val="0"/>
      <w:jc w:val="left"/>
    </w:pPr>
    <w:rPr>
      <w:sz w:val="18"/>
      <w:szCs w:val="18"/>
    </w:rPr>
  </w:style>
  <w:style w:type="paragraph" w:styleId="11">
    <w:name w:val="header"/>
    <w:basedOn w:val="1"/>
    <w:link w:val="27"/>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qFormat/>
    <w:uiPriority w:val="39"/>
    <w:pPr>
      <w:spacing w:before="120" w:after="120" w:line="360" w:lineRule="auto"/>
      <w:jc w:val="left"/>
    </w:pPr>
    <w:rPr>
      <w:b/>
      <w:bCs/>
      <w:caps/>
      <w:sz w:val="24"/>
      <w:szCs w:val="20"/>
    </w:rPr>
  </w:style>
  <w:style w:type="paragraph" w:styleId="13">
    <w:name w:val="toc 6"/>
    <w:basedOn w:val="1"/>
    <w:next w:val="1"/>
    <w:autoRedefine/>
    <w:qFormat/>
    <w:uiPriority w:val="0"/>
    <w:pPr>
      <w:ind w:left="2100" w:leftChars="1000"/>
    </w:pPr>
  </w:style>
  <w:style w:type="paragraph" w:styleId="14">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paragraph" w:styleId="15">
    <w:name w:val="Title"/>
    <w:basedOn w:val="1"/>
    <w:next w:val="1"/>
    <w:autoRedefine/>
    <w:qFormat/>
    <w:uiPriority w:val="0"/>
    <w:pPr>
      <w:jc w:val="center"/>
    </w:pPr>
    <w:rPr>
      <w:rFonts w:ascii="Arial" w:hAnsi="Arial" w:eastAsia="宋体"/>
      <w:b/>
      <w:kern w:val="0"/>
      <w:sz w:val="36"/>
      <w:szCs w:val="20"/>
      <w:lang w:eastAsia="en-US"/>
      <w14:ligatures w14:val="none"/>
    </w:rPr>
  </w:style>
  <w:style w:type="paragraph" w:styleId="16">
    <w:name w:val="Body Text First Indent 2"/>
    <w:basedOn w:val="7"/>
    <w:autoRedefine/>
    <w:qFormat/>
    <w:uiPriority w:val="0"/>
    <w:pPr>
      <w:spacing w:after="120"/>
      <w:ind w:left="420" w:leftChars="200" w:firstLine="420"/>
    </w:pPr>
    <w:rPr>
      <w:rFonts w:cs="宋体"/>
      <w:sz w:val="21"/>
      <w:szCs w:val="21"/>
    </w:rPr>
  </w:style>
  <w:style w:type="table" w:styleId="18">
    <w:name w:val="Table Grid"/>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22"/>
    <w:rPr>
      <w:b/>
    </w:rPr>
  </w:style>
  <w:style w:type="character" w:styleId="21">
    <w:name w:val="page number"/>
    <w:autoRedefine/>
    <w:qFormat/>
    <w:uiPriority w:val="0"/>
  </w:style>
  <w:style w:type="paragraph" w:customStyle="1" w:styleId="22">
    <w:name w:val="BodyText1I"/>
    <w:basedOn w:val="23"/>
    <w:autoRedefine/>
    <w:qFormat/>
    <w:uiPriority w:val="0"/>
    <w:pPr>
      <w:ind w:firstLine="420" w:firstLineChars="100"/>
    </w:pPr>
  </w:style>
  <w:style w:type="paragraph" w:customStyle="1" w:styleId="23">
    <w:name w:val="BodyText"/>
    <w:basedOn w:val="1"/>
    <w:autoRedefine/>
    <w:qFormat/>
    <w:uiPriority w:val="0"/>
    <w:pPr>
      <w:spacing w:after="120"/>
    </w:pPr>
  </w:style>
  <w:style w:type="paragraph" w:customStyle="1" w:styleId="24">
    <w:name w:val="表格文字"/>
    <w:basedOn w:val="1"/>
    <w:next w:val="25"/>
    <w:autoRedefine/>
    <w:qFormat/>
    <w:uiPriority w:val="0"/>
    <w:pPr>
      <w:autoSpaceDE w:val="0"/>
      <w:autoSpaceDN w:val="0"/>
      <w:adjustRightInd w:val="0"/>
      <w:spacing w:line="420" w:lineRule="atLeast"/>
      <w:jc w:val="left"/>
      <w:textAlignment w:val="baseline"/>
    </w:pPr>
    <w:rPr>
      <w:rFonts w:hAnsi="宋体" w:cs="宋体"/>
      <w:kern w:val="0"/>
      <w:sz w:val="22"/>
      <w:lang w:val="zh-CN" w:bidi="zh-CN"/>
    </w:rPr>
  </w:style>
  <w:style w:type="paragraph" w:customStyle="1" w:styleId="25">
    <w:name w:val="正文文本1"/>
    <w:next w:val="26"/>
    <w:autoRedefine/>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宋体" w:hAnsi="宋体" w:eastAsia="宋体" w:cs="宋体"/>
      <w:color w:val="000000"/>
      <w:spacing w:val="0"/>
      <w:w w:val="100"/>
      <w:kern w:val="0"/>
      <w:position w:val="0"/>
      <w:sz w:val="24"/>
      <w:szCs w:val="24"/>
      <w:u w:val="none" w:color="000000"/>
      <w:shd w:val="clear" w:color="auto" w:fill="auto"/>
      <w:vertAlign w:val="baseline"/>
      <w:lang w:val="zh-TW" w:eastAsia="zh-TW"/>
    </w:rPr>
  </w:style>
  <w:style w:type="paragraph" w:customStyle="1" w:styleId="26">
    <w:name w:val="正文 A"/>
    <w:next w:val="24"/>
    <w:autoRedefine/>
    <w:qFormat/>
    <w:uiPriority w:val="0"/>
    <w:pPr>
      <w:keepNext w:val="0"/>
      <w:keepLines w:val="0"/>
      <w:pageBreakBefore w:val="0"/>
      <w:framePr w:wrap="auto"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宋体" w:hAnsi="宋体" w:eastAsia="宋体" w:cs="宋体"/>
      <w:color w:val="000000"/>
      <w:spacing w:val="0"/>
      <w:w w:val="100"/>
      <w:kern w:val="0"/>
      <w:position w:val="0"/>
      <w:sz w:val="22"/>
      <w:szCs w:val="22"/>
      <w:u w:val="none" w:color="000000"/>
      <w:shd w:val="clear" w:color="auto" w:fill="auto"/>
      <w:vertAlign w:val="baseline"/>
      <w:lang w:val="zh-TW" w:eastAsia="zh-TW"/>
    </w:rPr>
  </w:style>
  <w:style w:type="character" w:customStyle="1" w:styleId="27">
    <w:name w:val="页眉 Char"/>
    <w:basedOn w:val="19"/>
    <w:link w:val="11"/>
    <w:autoRedefine/>
    <w:qFormat/>
    <w:uiPriority w:val="0"/>
    <w:rPr>
      <w:kern w:val="2"/>
      <w:sz w:val="18"/>
      <w:szCs w:val="18"/>
    </w:rPr>
  </w:style>
  <w:style w:type="character" w:customStyle="1" w:styleId="28">
    <w:name w:val="页脚 Char"/>
    <w:basedOn w:val="19"/>
    <w:link w:val="10"/>
    <w:autoRedefine/>
    <w:qFormat/>
    <w:uiPriority w:val="0"/>
    <w:rPr>
      <w:kern w:val="2"/>
      <w:sz w:val="18"/>
      <w:szCs w:val="18"/>
    </w:rPr>
  </w:style>
  <w:style w:type="paragraph" w:styleId="29">
    <w:name w:val="List Paragraph"/>
    <w:basedOn w:val="1"/>
    <w:autoRedefine/>
    <w:qFormat/>
    <w:uiPriority w:val="0"/>
    <w:pPr>
      <w:ind w:firstLine="420" w:firstLineChars="200"/>
    </w:pPr>
    <w:rPr>
      <w:rFonts w:ascii="Calibri" w:hAnsi="Calibri"/>
      <w:szCs w:val="22"/>
    </w:rPr>
  </w:style>
  <w:style w:type="paragraph" w:customStyle="1" w:styleId="30">
    <w:name w:val="列出段落1"/>
    <w:basedOn w:val="1"/>
    <w:autoRedefine/>
    <w:qFormat/>
    <w:uiPriority w:val="0"/>
    <w:pPr>
      <w:widowControl/>
      <w:spacing w:after="160" w:line="360" w:lineRule="auto"/>
      <w:ind w:left="720"/>
      <w:contextualSpacing/>
      <w:jc w:val="left"/>
    </w:pPr>
    <w:rPr>
      <w:szCs w:val="22"/>
    </w:rPr>
  </w:style>
  <w:style w:type="paragraph" w:customStyle="1" w:styleId="31">
    <w:name w:val="Body Text First Indent 21"/>
    <w:basedOn w:val="1"/>
    <w:autoRedefine/>
    <w:qFormat/>
    <w:uiPriority w:val="0"/>
    <w:pPr>
      <w:autoSpaceDE w:val="0"/>
      <w:autoSpaceDN w:val="0"/>
      <w:adjustRightInd w:val="0"/>
      <w:spacing w:after="120"/>
      <w:ind w:left="420" w:leftChars="200" w:firstLine="420"/>
    </w:pPr>
    <w:rPr>
      <w:rFonts w:ascii="宋体" w:hAnsi="宋体" w:cs="宋体"/>
      <w:sz w:val="24"/>
      <w:szCs w:val="21"/>
    </w:rPr>
  </w:style>
  <w:style w:type="paragraph" w:customStyle="1" w:styleId="32">
    <w:name w:val="Table Text"/>
    <w:basedOn w:val="1"/>
    <w:semiHidden/>
    <w:qFormat/>
    <w:uiPriority w:val="0"/>
    <w:rPr>
      <w:rFonts w:ascii="宋体" w:hAnsi="宋体" w:eastAsia="宋体" w:cs="宋体"/>
      <w:sz w:val="24"/>
      <w:szCs w:val="24"/>
      <w:lang w:val="en-US" w:eastAsia="en-US" w:bidi="ar-SA"/>
    </w:rPr>
  </w:style>
  <w:style w:type="table" w:customStyle="1" w:styleId="3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3626</Words>
  <Characters>3709</Characters>
  <Lines>17</Lines>
  <Paragraphs>4</Paragraphs>
  <TotalTime>0</TotalTime>
  <ScaleCrop>false</ScaleCrop>
  <LinksUpToDate>false</LinksUpToDate>
  <CharactersWithSpaces>3803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2019-08-15T01:42:00Z</dcterms:created>
  <dc:creator>小米</dc:creator>
  <cp:lastModifiedBy>15957778420</cp:lastModifiedBy>
  <dcterms:modified xsi:type="dcterms:W3CDTF">2026-05-18T08:07:11Z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BDC350B777C44DFDACB8FBB696258D1E</vt:lpwstr>
  </property>
  <property fmtid="{D5CDD505-2E9C-101B-9397-08002B2CF9AE}" pid="4" name="KSOTemplateDocerSaveRecord">
    <vt:lpwstr>eyJoZGlkIjoiMjBhZDY0MjgzZjY4OWMyYzg3ZjZjZTcyMzZmMDEwYjIiLCJ1c2VySWQiOiI2ODQ4MTUwMTQifQ==</vt:lpwstr>
  </property>
</Properties>
</file>