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8"/>
          <w:rFonts w:hint="eastAsia" w:asciiTheme="minorEastAsia" w:hAnsiTheme="minorEastAsia" w:eastAsiaTheme="minorEastAsia" w:cstheme="minorEastAsia"/>
          <w:b/>
          <w:bCs/>
          <w:sz w:val="32"/>
          <w:szCs w:val="32"/>
          <w:lang w:val="en-US" w:eastAsia="zh-CN"/>
        </w:rPr>
      </w:pPr>
      <w:r>
        <w:rPr>
          <w:rStyle w:val="18"/>
          <w:rFonts w:hint="eastAsia" w:asciiTheme="minorEastAsia" w:hAnsiTheme="minorEastAsia" w:eastAsiaTheme="minorEastAsia" w:cstheme="minorEastAsia"/>
          <w:b/>
          <w:bCs/>
          <w:sz w:val="36"/>
          <w:szCs w:val="36"/>
          <w:lang w:val="en-US" w:eastAsia="zh-CN"/>
        </w:rPr>
        <w:t>温州市中医院关于</w:t>
      </w:r>
      <w:r>
        <w:rPr>
          <w:rStyle w:val="18"/>
          <w:rFonts w:hint="eastAsia" w:asciiTheme="minorEastAsia" w:hAnsiTheme="minorEastAsia" w:cstheme="minorEastAsia"/>
          <w:b/>
          <w:bCs/>
          <w:sz w:val="36"/>
          <w:szCs w:val="36"/>
          <w:lang w:val="en-US" w:eastAsia="zh-CN"/>
        </w:rPr>
        <w:t>麻醉机</w:t>
      </w:r>
      <w:r>
        <w:rPr>
          <w:rStyle w:val="18"/>
          <w:rFonts w:hint="eastAsia" w:asciiTheme="minorEastAsia" w:hAnsiTheme="minorEastAsia" w:eastAsiaTheme="minorEastAsia" w:cstheme="minorEastAsia"/>
          <w:b/>
          <w:bCs/>
          <w:sz w:val="36"/>
          <w:szCs w:val="36"/>
          <w:lang w:val="en-US" w:eastAsia="zh-CN"/>
        </w:rPr>
        <w:t>的</w:t>
      </w:r>
      <w:r>
        <w:rPr>
          <w:rStyle w:val="18"/>
          <w:rFonts w:hint="eastAsia" w:asciiTheme="minorEastAsia" w:hAnsiTheme="minorEastAsia" w:cstheme="minorEastAsia"/>
          <w:b/>
          <w:bCs/>
          <w:sz w:val="36"/>
          <w:szCs w:val="36"/>
          <w:lang w:val="en-US" w:eastAsia="zh-CN"/>
        </w:rPr>
        <w:t>遴选</w:t>
      </w:r>
    </w:p>
    <w:p>
      <w:pPr>
        <w:numPr>
          <w:ilvl w:val="0"/>
          <w:numId w:val="1"/>
        </w:numPr>
        <w:jc w:val="both"/>
        <w:rPr>
          <w:rStyle w:val="18"/>
          <w:rFonts w:hint="eastAsia" w:asciiTheme="minorEastAsia" w:hAnsiTheme="minorEastAsia" w:eastAsiaTheme="minorEastAsia" w:cstheme="minorEastAsia"/>
          <w:b/>
          <w:bCs/>
          <w:sz w:val="32"/>
          <w:szCs w:val="32"/>
        </w:rPr>
      </w:pPr>
      <w:r>
        <w:rPr>
          <w:rStyle w:val="18"/>
          <w:rFonts w:hint="eastAsia" w:asciiTheme="minorEastAsia" w:hAnsiTheme="minorEastAsia" w:eastAsiaTheme="minorEastAsia" w:cstheme="minorEastAsia"/>
          <w:b/>
          <w:bCs/>
          <w:sz w:val="32"/>
          <w:szCs w:val="32"/>
        </w:rPr>
        <w:t>项目基本情况</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项目名称:麻醉机</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2026-sb-cg-005</w:t>
            </w:r>
            <w:bookmarkStart w:id="0" w:name="_GoBack"/>
            <w:bookmarkEnd w:id="0"/>
            <w:r>
              <w:rPr>
                <w:rFonts w:hint="eastAsia" w:asciiTheme="minorEastAsia" w:hAnsiTheme="minorEastAsia" w:cstheme="minorEastAsia"/>
                <w:color w:val="auto"/>
                <w:sz w:val="24"/>
                <w:szCs w:val="24"/>
                <w:vertAlign w:val="baseline"/>
                <w:lang w:val="en-US" w:eastAsia="zh-CN"/>
              </w:rPr>
              <w:t xml:space="preserve">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国产或进口</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麻醉机</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8"/>
          <w:rFonts w:hint="eastAsia" w:asciiTheme="minorEastAsia" w:hAnsiTheme="minorEastAsia" w:eastAsiaTheme="minorEastAsia" w:cstheme="minorEastAsia"/>
          <w:b/>
          <w:bCs/>
          <w:sz w:val="32"/>
          <w:szCs w:val="32"/>
          <w:lang w:val="en-US" w:eastAsia="zh-CN"/>
        </w:rPr>
      </w:pPr>
      <w:r>
        <w:rPr>
          <w:rStyle w:val="18"/>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2"/>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8"/>
          <w:rFonts w:hint="eastAsia" w:asciiTheme="minorEastAsia" w:hAnsiTheme="minorEastAsia" w:eastAsiaTheme="minorEastAsia" w:cstheme="minorEastAsia"/>
          <w:b/>
          <w:bCs/>
          <w:kern w:val="2"/>
          <w:sz w:val="32"/>
          <w:szCs w:val="32"/>
          <w:lang w:val="en-US" w:eastAsia="zh-CN" w:bidi="ar-SA"/>
        </w:rPr>
      </w:pPr>
      <w:r>
        <w:rPr>
          <w:rStyle w:val="18"/>
          <w:rFonts w:hint="eastAsia" w:asciiTheme="minorEastAsia" w:hAnsiTheme="minorEastAsia" w:eastAsiaTheme="minorEastAsia" w:cstheme="minorEastAsia"/>
          <w:b/>
          <w:bCs/>
          <w:kern w:val="2"/>
          <w:sz w:val="32"/>
          <w:szCs w:val="32"/>
          <w:lang w:val="en-US" w:eastAsia="zh-CN" w:bidi="ar-SA"/>
        </w:rPr>
        <w:t>获取</w:t>
      </w:r>
      <w:r>
        <w:rPr>
          <w:rStyle w:val="18"/>
          <w:rFonts w:hint="eastAsia" w:asciiTheme="minorEastAsia" w:hAnsiTheme="minorEastAsia" w:cstheme="minorEastAsia"/>
          <w:b/>
          <w:bCs/>
          <w:kern w:val="2"/>
          <w:sz w:val="32"/>
          <w:szCs w:val="32"/>
          <w:lang w:val="en-US" w:eastAsia="zh-CN" w:bidi="ar-SA"/>
        </w:rPr>
        <w:t>遴选</w:t>
      </w:r>
      <w:r>
        <w:rPr>
          <w:rStyle w:val="18"/>
          <w:rFonts w:hint="eastAsia" w:asciiTheme="minorEastAsia" w:hAnsiTheme="minorEastAsia" w:eastAsiaTheme="minorEastAsia" w:cstheme="minorEastAsia"/>
          <w:b/>
          <w:bCs/>
          <w:kern w:val="2"/>
          <w:sz w:val="32"/>
          <w:szCs w:val="32"/>
          <w:lang w:val="en-US" w:eastAsia="zh-CN" w:bidi="ar-SA"/>
        </w:rPr>
        <w:t>文件</w:t>
      </w:r>
    </w:p>
    <w:p>
      <w:pPr>
        <w:pStyle w:val="12"/>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2"/>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8"/>
          <w:rFonts w:hint="eastAsia" w:asciiTheme="minorEastAsia" w:hAnsiTheme="minorEastAsia" w:eastAsiaTheme="minorEastAsia" w:cstheme="minorEastAsia"/>
          <w:b/>
          <w:bCs/>
          <w:kern w:val="2"/>
          <w:sz w:val="32"/>
          <w:szCs w:val="32"/>
          <w:lang w:val="en-US" w:eastAsia="zh-CN" w:bidi="ar-SA"/>
        </w:rPr>
      </w:pPr>
      <w:r>
        <w:rPr>
          <w:rStyle w:val="18"/>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21</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21</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2"/>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8"/>
          <w:rFonts w:hint="eastAsia" w:asciiTheme="minorEastAsia" w:hAnsiTheme="minorEastAsia" w:eastAsiaTheme="minorEastAsia" w:cstheme="minorEastAsia"/>
          <w:b/>
          <w:bCs/>
          <w:kern w:val="2"/>
          <w:sz w:val="32"/>
          <w:szCs w:val="32"/>
          <w:lang w:val="en-US" w:eastAsia="zh-CN" w:bidi="ar-SA"/>
        </w:rPr>
      </w:pPr>
      <w:r>
        <w:rPr>
          <w:rStyle w:val="18"/>
          <w:rFonts w:hint="eastAsia" w:asciiTheme="minorEastAsia" w:hAnsiTheme="minorEastAsia" w:eastAsiaTheme="minorEastAsia" w:cstheme="minorEastAsia"/>
          <w:b/>
          <w:bCs/>
          <w:kern w:val="2"/>
          <w:sz w:val="32"/>
          <w:szCs w:val="32"/>
          <w:lang w:val="en-US" w:eastAsia="zh-CN" w:bidi="ar-SA"/>
        </w:rPr>
        <w:t>公告期限 </w:t>
      </w:r>
    </w:p>
    <w:p>
      <w:pPr>
        <w:pStyle w:val="12"/>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8"/>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2"/>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8"/>
          <w:rFonts w:hint="eastAsia" w:asciiTheme="minorEastAsia" w:hAnsiTheme="minorEastAsia" w:eastAsiaTheme="minorEastAsia" w:cstheme="minorEastAsia"/>
          <w:b/>
          <w:bCs/>
          <w:kern w:val="2"/>
          <w:sz w:val="32"/>
          <w:szCs w:val="32"/>
          <w:lang w:val="en-US" w:eastAsia="zh-CN" w:bidi="ar-SA"/>
        </w:rPr>
      </w:pPr>
      <w:r>
        <w:rPr>
          <w:rStyle w:val="18"/>
          <w:rFonts w:hint="eastAsia" w:asciiTheme="minorEastAsia" w:hAnsiTheme="minorEastAsia" w:eastAsiaTheme="minorEastAsia" w:cstheme="minorEastAsia"/>
          <w:b/>
          <w:bCs/>
          <w:kern w:val="2"/>
          <w:sz w:val="32"/>
          <w:szCs w:val="32"/>
          <w:lang w:val="en-US" w:eastAsia="zh-CN" w:bidi="ar-SA"/>
        </w:rPr>
        <w:t>商务、技术参数偏离表</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31"/>
              <w:jc w:val="center"/>
              <w:rPr>
                <w:rStyle w:val="30"/>
                <w:rFonts w:ascii="Times New Roman" w:hAnsi="Times New Roman"/>
                <w:bCs w:val="0"/>
                <w:sz w:val="24"/>
                <w:szCs w:val="24"/>
              </w:rPr>
            </w:pPr>
            <w:r>
              <w:rPr>
                <w:rStyle w:val="30"/>
                <w:rFonts w:ascii="Times New Roman" w:hAnsi="宋体"/>
                <w:bCs w:val="0"/>
                <w:sz w:val="24"/>
                <w:szCs w:val="24"/>
              </w:rPr>
              <w:t>序号</w:t>
            </w:r>
          </w:p>
        </w:tc>
        <w:tc>
          <w:tcPr>
            <w:tcW w:w="3620" w:type="pct"/>
            <w:shd w:val="clear" w:color="auto" w:fill="CCCCCC"/>
            <w:noWrap w:val="0"/>
            <w:vAlign w:val="center"/>
          </w:tcPr>
          <w:p>
            <w:pPr>
              <w:pStyle w:val="31"/>
              <w:jc w:val="center"/>
              <w:rPr>
                <w:rStyle w:val="30"/>
                <w:rFonts w:ascii="Times New Roman" w:hAnsi="Times New Roman"/>
                <w:bCs w:val="0"/>
                <w:sz w:val="24"/>
                <w:szCs w:val="24"/>
              </w:rPr>
            </w:pPr>
            <w:r>
              <w:rPr>
                <w:rStyle w:val="30"/>
                <w:rFonts w:ascii="Times New Roman" w:hAnsi="宋体"/>
                <w:bCs w:val="0"/>
                <w:sz w:val="24"/>
                <w:szCs w:val="24"/>
              </w:rPr>
              <w:t>招标要求</w:t>
            </w:r>
          </w:p>
        </w:tc>
        <w:tc>
          <w:tcPr>
            <w:tcW w:w="676" w:type="pct"/>
            <w:shd w:val="clear" w:color="auto" w:fill="CCCCCC"/>
            <w:noWrap w:val="0"/>
            <w:vAlign w:val="center"/>
          </w:tcPr>
          <w:p>
            <w:pPr>
              <w:pStyle w:val="31"/>
              <w:jc w:val="center"/>
              <w:rPr>
                <w:rStyle w:val="30"/>
                <w:rFonts w:ascii="Times New Roman" w:hAnsi="Times New Roman"/>
                <w:bCs w:val="0"/>
                <w:sz w:val="24"/>
                <w:szCs w:val="24"/>
              </w:rPr>
            </w:pPr>
            <w:r>
              <w:rPr>
                <w:rStyle w:val="30"/>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2"/>
                <w:szCs w:val="22"/>
                <w:highlight w:val="none"/>
              </w:rPr>
              <w:t>一</w:t>
            </w:r>
          </w:p>
        </w:tc>
        <w:tc>
          <w:tcPr>
            <w:tcW w:w="3620"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技术参数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新宋体" w:cs="宋体"/>
                <w:b w:val="0"/>
                <w:bCs w:val="0"/>
                <w:kern w:val="2"/>
                <w:sz w:val="22"/>
                <w:szCs w:val="22"/>
                <w:highlight w:val="none"/>
                <w:lang w:val="en-US" w:eastAsia="zh-CN" w:bidi="ar-SA"/>
              </w:rPr>
            </w:pPr>
            <w:r>
              <w:rPr>
                <w:rFonts w:hint="eastAsia" w:ascii="宋体" w:hAnsi="宋体" w:eastAsia="宋体" w:cs="宋体"/>
                <w:b w:val="0"/>
                <w:bCs w:val="0"/>
                <w:sz w:val="22"/>
                <w:szCs w:val="22"/>
              </w:rPr>
              <w:t>1</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配置需求：全能麻醉系统：</w:t>
            </w:r>
            <w:r>
              <w:rPr>
                <w:rFonts w:hint="eastAsia" w:ascii="宋体" w:hAnsi="宋体" w:eastAsia="宋体" w:cs="宋体"/>
                <w:b w:val="0"/>
                <w:bCs w:val="0"/>
                <w:sz w:val="22"/>
                <w:szCs w:val="22"/>
                <w:lang w:val="en-US" w:eastAsia="zh-CN"/>
              </w:rPr>
              <w:t>1</w:t>
            </w:r>
            <w:r>
              <w:rPr>
                <w:rFonts w:hint="eastAsia" w:ascii="宋体" w:hAnsi="宋体" w:eastAsia="宋体" w:cs="宋体"/>
                <w:b w:val="0"/>
                <w:bCs w:val="0"/>
                <w:sz w:val="22"/>
                <w:szCs w:val="22"/>
              </w:rPr>
              <w:t>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spacing w:line="360" w:lineRule="auto"/>
              <w:jc w:val="center"/>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w:t>
            </w:r>
          </w:p>
        </w:tc>
        <w:tc>
          <w:tcPr>
            <w:tcW w:w="3620" w:type="pct"/>
            <w:noWrap w:val="0"/>
            <w:vAlign w:val="top"/>
          </w:tcPr>
          <w:p>
            <w:pPr>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技术规格：</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2.1</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工作条件及基本配件</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pStyle w:val="5"/>
              <w:adjustRightInd w:val="0"/>
              <w:ind w:left="720" w:leftChars="0" w:hanging="720" w:firstLineChars="0"/>
              <w:jc w:val="center"/>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2.1.1</w:t>
            </w:r>
          </w:p>
        </w:tc>
        <w:tc>
          <w:tcPr>
            <w:tcW w:w="3620" w:type="pct"/>
            <w:shd w:val="clear" w:color="auto" w:fill="auto"/>
            <w:noWrap w:val="0"/>
            <w:vAlign w:val="top"/>
          </w:tcPr>
          <w:p>
            <w:pPr>
              <w:pStyle w:val="5"/>
              <w:adjustRightInd w:val="0"/>
              <w:ind w:left="720" w:leftChars="0" w:hanging="720" w:firstLineChars="0"/>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工作环境，温度：10℃ -40℃，湿度：15%-95%</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2.1.2</w:t>
            </w:r>
          </w:p>
        </w:tc>
        <w:tc>
          <w:tcPr>
            <w:tcW w:w="3620" w:type="pct"/>
            <w:shd w:val="clear" w:color="auto" w:fill="auto"/>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电源：220V-240V，50/60Hz</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default"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2.1.3</w:t>
            </w:r>
          </w:p>
        </w:tc>
        <w:tc>
          <w:tcPr>
            <w:tcW w:w="3620" w:type="pct"/>
            <w:shd w:val="clear" w:color="auto" w:fill="auto"/>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标配一节锂电子(非铅酸)后备电池，后备电池使用时间≥</w:t>
            </w:r>
            <w:r>
              <w:rPr>
                <w:rFonts w:hint="eastAsia" w:ascii="宋体" w:hAnsi="宋体" w:eastAsia="宋体" w:cs="宋体"/>
                <w:b w:val="0"/>
                <w:bCs w:val="0"/>
                <w:sz w:val="22"/>
                <w:szCs w:val="22"/>
                <w:lang w:val="en-US" w:eastAsia="zh-CN"/>
              </w:rPr>
              <w:t>120</w:t>
            </w:r>
            <w:r>
              <w:rPr>
                <w:rFonts w:hint="eastAsia" w:ascii="宋体" w:hAnsi="宋体" w:eastAsia="宋体" w:cs="宋体"/>
                <w:b w:val="0"/>
                <w:bCs w:val="0"/>
                <w:sz w:val="22"/>
                <w:szCs w:val="22"/>
              </w:rPr>
              <w:t>分钟（新电池）；可选双节后备电池，双节后备电池使用时间≥</w:t>
            </w:r>
            <w:r>
              <w:rPr>
                <w:rFonts w:hint="eastAsia" w:ascii="宋体" w:hAnsi="宋体" w:eastAsia="宋体" w:cs="宋体"/>
                <w:b w:val="0"/>
                <w:bCs w:val="0"/>
                <w:sz w:val="22"/>
                <w:szCs w:val="22"/>
                <w:lang w:val="en-US" w:eastAsia="zh-CN"/>
              </w:rPr>
              <w:t>240</w:t>
            </w:r>
            <w:r>
              <w:rPr>
                <w:rFonts w:hint="eastAsia" w:ascii="宋体" w:hAnsi="宋体" w:eastAsia="宋体" w:cs="宋体"/>
                <w:b w:val="0"/>
                <w:bCs w:val="0"/>
                <w:sz w:val="22"/>
                <w:szCs w:val="22"/>
              </w:rPr>
              <w:t>分钟（新电池）</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default"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2.1.4</w:t>
            </w:r>
          </w:p>
        </w:tc>
        <w:tc>
          <w:tcPr>
            <w:tcW w:w="3620" w:type="pct"/>
            <w:shd w:val="clear" w:color="auto" w:fill="auto"/>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标配</w:t>
            </w:r>
            <w:r>
              <w:rPr>
                <w:rFonts w:hint="eastAsia" w:ascii="宋体" w:hAnsi="宋体" w:eastAsia="宋体" w:cs="宋体"/>
                <w:b w:val="0"/>
                <w:bCs w:val="0"/>
                <w:sz w:val="22"/>
                <w:szCs w:val="22"/>
                <w:lang w:val="en-US" w:eastAsia="zh-CN"/>
              </w:rPr>
              <w:t>3</w:t>
            </w:r>
            <w:r>
              <w:rPr>
                <w:rFonts w:hint="eastAsia" w:ascii="宋体" w:hAnsi="宋体" w:eastAsia="宋体" w:cs="宋体"/>
                <w:b w:val="0"/>
                <w:bCs w:val="0"/>
                <w:sz w:val="22"/>
                <w:szCs w:val="22"/>
              </w:rPr>
              <w:t>个辅助电源接口</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2.1.5</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接口：1个LAN接口支持网络和软件升级, 1个 RS-232 接口，1 个视频信号接口，2个USB接口；可选配基于无线网卡的网路接口</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2.1.6</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机架：4个独立脚轮刹车，带工作台侧栏杆推车，可选配折叠辅助工作台，可选配3个抽屉</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2.1.</w:t>
            </w:r>
            <w:r>
              <w:rPr>
                <w:rFonts w:hint="eastAsia" w:ascii="宋体" w:hAnsi="宋体" w:eastAsia="宋体" w:cs="宋体"/>
                <w:b w:val="0"/>
                <w:bCs w:val="0"/>
                <w:sz w:val="22"/>
                <w:szCs w:val="22"/>
                <w:lang w:val="en-US" w:eastAsia="zh-CN"/>
              </w:rPr>
              <w:t>7</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适合内窥镜手术模式：具备工作台照明光，且亮度可调，能够在黑暗环境中提供麻醉机工作台面照明</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2.1.</w:t>
            </w:r>
            <w:r>
              <w:rPr>
                <w:rFonts w:hint="eastAsia" w:ascii="宋体" w:hAnsi="宋体" w:eastAsia="宋体" w:cs="宋体"/>
                <w:b w:val="0"/>
                <w:bCs w:val="0"/>
                <w:sz w:val="22"/>
                <w:szCs w:val="22"/>
                <w:lang w:val="en-US" w:eastAsia="zh-CN"/>
              </w:rPr>
              <w:t>8</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非待机状态转动关机旋钮，主机具备10秒延迟关机功能，以避免误操作保证病人安全</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2.1.</w:t>
            </w:r>
            <w:r>
              <w:rPr>
                <w:rFonts w:hint="eastAsia" w:ascii="宋体" w:hAnsi="宋体" w:eastAsia="宋体" w:cs="宋体"/>
                <w:b w:val="0"/>
                <w:bCs w:val="0"/>
                <w:sz w:val="22"/>
                <w:szCs w:val="22"/>
                <w:lang w:val="en-US" w:eastAsia="zh-CN"/>
              </w:rPr>
              <w:t>9</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用于对成人、儿童和新生儿的吸入麻醉及呼吸管理</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2.2</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气源</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default"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2.2.1</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标配氧气、空气两气源，可选氧气、空气和笑气三气源</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ind w:left="550" w:leftChars="0" w:hanging="550" w:hangingChars="250"/>
              <w:jc w:val="center"/>
              <w:rPr>
                <w:rFonts w:hint="default"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2.2.2</w:t>
            </w:r>
          </w:p>
        </w:tc>
        <w:tc>
          <w:tcPr>
            <w:tcW w:w="3620" w:type="pct"/>
            <w:noWrap w:val="0"/>
            <w:vAlign w:val="top"/>
          </w:tcPr>
          <w:p>
            <w:pPr>
              <w:adjustRightInd w:val="0"/>
              <w:spacing w:line="360" w:lineRule="auto"/>
              <w:ind w:left="550" w:leftChars="0" w:hanging="550" w:hangingChars="250"/>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具备氧笑联动系统，保证接入氧气和笑气时氧浓度不低于25%</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default"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2.2.3</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快速充氧范围25 - 75 L/min</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numPr>
                <w:ilvl w:val="1"/>
                <w:numId w:val="0"/>
              </w:numPr>
              <w:adjustRightInd w:val="0"/>
              <w:spacing w:line="360" w:lineRule="auto"/>
              <w:ind w:left="360" w:leftChars="0" w:hanging="360" w:firstLineChars="0"/>
              <w:jc w:val="center"/>
              <w:rPr>
                <w:rFonts w:hint="default"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lang w:val="en-US" w:eastAsia="zh-CN" w:bidi="ar-SA"/>
              </w:rPr>
              <w:t>2.3</w:t>
            </w:r>
          </w:p>
        </w:tc>
        <w:tc>
          <w:tcPr>
            <w:tcW w:w="3620" w:type="pct"/>
            <w:noWrap w:val="0"/>
            <w:vAlign w:val="top"/>
          </w:tcPr>
          <w:p>
            <w:pPr>
              <w:numPr>
                <w:ilvl w:val="1"/>
                <w:numId w:val="0"/>
              </w:numPr>
              <w:adjustRightInd w:val="0"/>
              <w:spacing w:line="360" w:lineRule="auto"/>
              <w:ind w:left="360" w:leftChars="0" w:hanging="360" w:firstLineChars="0"/>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流量计</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default"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color w:val="000000" w:themeColor="text1"/>
                <w:sz w:val="22"/>
                <w:szCs w:val="22"/>
                <w14:textFill>
                  <w14:solidFill>
                    <w14:schemeClr w14:val="tx1"/>
                  </w14:solidFill>
                </w14:textFill>
              </w:rPr>
              <w:t>2.3.1</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双管机械流量计，空气范围： 0L/min～15L/min，氧气范围： 0L/min～15L/min，笑气范围： 0L/min～10L/min</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2.3.</w:t>
            </w:r>
            <w:r>
              <w:rPr>
                <w:rFonts w:hint="eastAsia" w:ascii="宋体" w:hAnsi="宋体" w:cs="宋体"/>
                <w:b w:val="0"/>
                <w:bCs w:val="0"/>
                <w:sz w:val="22"/>
                <w:szCs w:val="22"/>
                <w:lang w:val="en-US" w:eastAsia="zh-CN"/>
              </w:rPr>
              <w:t>2</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具备辅助吸氧流量计</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default"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2.3</w:t>
            </w:r>
            <w:r>
              <w:rPr>
                <w:rFonts w:hint="eastAsia" w:ascii="宋体" w:hAnsi="宋体" w:cs="宋体"/>
                <w:b w:val="0"/>
                <w:bCs w:val="0"/>
                <w:sz w:val="22"/>
                <w:szCs w:val="22"/>
                <w:lang w:val="en-US" w:eastAsia="zh-CN"/>
              </w:rPr>
              <w:t>.3</w:t>
            </w:r>
            <w:r>
              <w:rPr>
                <w:rFonts w:hint="eastAsia" w:ascii="宋体" w:hAnsi="宋体" w:eastAsia="宋体" w:cs="宋体"/>
                <w:b w:val="0"/>
                <w:bCs w:val="0"/>
                <w:sz w:val="22"/>
                <w:szCs w:val="22"/>
                <w:lang w:val="en-US" w:eastAsia="zh-CN"/>
              </w:rPr>
              <w:t>★</w:t>
            </w:r>
          </w:p>
        </w:tc>
        <w:tc>
          <w:tcPr>
            <w:tcW w:w="3620" w:type="pct"/>
            <w:noWrap w:val="0"/>
            <w:vAlign w:val="top"/>
          </w:tcPr>
          <w:p>
            <w:pPr>
              <w:adjustRightInd w:val="0"/>
              <w:spacing w:line="360" w:lineRule="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sz w:val="22"/>
                <w:szCs w:val="22"/>
              </w:rPr>
              <w:t>可选配高流量给氧功能，流量范围 0-60 L/min</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ind w:left="198" w:leftChars="0" w:hanging="198" w:firstLineChars="0"/>
              <w:jc w:val="center"/>
              <w:rPr>
                <w:rFonts w:hint="eastAsia" w:eastAsia="宋体"/>
                <w:b w:val="0"/>
                <w:bCs w:val="0"/>
                <w:color w:val="000000"/>
                <w:sz w:val="22"/>
                <w:szCs w:val="22"/>
                <w:lang w:eastAsia="zh-CN"/>
              </w:rPr>
            </w:pPr>
            <w:r>
              <w:rPr>
                <w:rFonts w:hint="eastAsia" w:ascii="宋体" w:hAnsi="宋体" w:eastAsia="宋体" w:cs="宋体"/>
                <w:b w:val="0"/>
                <w:bCs w:val="0"/>
                <w:sz w:val="22"/>
                <w:szCs w:val="22"/>
              </w:rPr>
              <w:t>2.4</w:t>
            </w:r>
          </w:p>
        </w:tc>
        <w:tc>
          <w:tcPr>
            <w:tcW w:w="3620" w:type="pct"/>
            <w:noWrap w:val="0"/>
            <w:vAlign w:val="top"/>
          </w:tcPr>
          <w:p>
            <w:pPr>
              <w:adjustRightInd w:val="0"/>
              <w:spacing w:line="360" w:lineRule="auto"/>
              <w:ind w:left="198" w:leftChars="0" w:hanging="198" w:firstLineChars="0"/>
              <w:rPr>
                <w:b w:val="0"/>
                <w:bCs w:val="0"/>
                <w:color w:val="000000"/>
                <w:sz w:val="22"/>
                <w:szCs w:val="22"/>
              </w:rPr>
            </w:pPr>
            <w:r>
              <w:rPr>
                <w:rFonts w:hint="eastAsia" w:ascii="宋体" w:hAnsi="宋体" w:eastAsia="宋体" w:cs="宋体"/>
                <w:b w:val="0"/>
                <w:bCs w:val="0"/>
                <w:sz w:val="22"/>
                <w:szCs w:val="22"/>
              </w:rPr>
              <w:t>挥发罐</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b w:val="0"/>
                <w:bCs w:val="0"/>
                <w:color w:val="FF0000"/>
                <w:sz w:val="22"/>
                <w:szCs w:val="22"/>
                <w:highlight w:val="none"/>
              </w:rPr>
            </w:pPr>
            <w:r>
              <w:rPr>
                <w:rFonts w:hint="eastAsia" w:ascii="宋体" w:hAnsi="宋体" w:eastAsia="宋体" w:cs="宋体"/>
                <w:b w:val="0"/>
                <w:bCs w:val="0"/>
                <w:sz w:val="22"/>
                <w:szCs w:val="22"/>
              </w:rPr>
              <w:t>2.4.1</w:t>
            </w:r>
          </w:p>
        </w:tc>
        <w:tc>
          <w:tcPr>
            <w:tcW w:w="3620" w:type="pct"/>
            <w:noWrap w:val="0"/>
            <w:vAlign w:val="top"/>
          </w:tcPr>
          <w:p>
            <w:pPr>
              <w:adjustRightInd w:val="0"/>
              <w:spacing w:line="360" w:lineRule="auto"/>
              <w:rPr>
                <w:rFonts w:hint="default" w:eastAsia="宋体"/>
                <w:b w:val="0"/>
                <w:bCs w:val="0"/>
                <w:color w:val="FF0000"/>
                <w:sz w:val="22"/>
                <w:szCs w:val="22"/>
                <w:highlight w:val="none"/>
                <w:lang w:val="en-US" w:eastAsia="zh-CN"/>
              </w:rPr>
            </w:pPr>
            <w:r>
              <w:rPr>
                <w:rFonts w:hint="eastAsia" w:ascii="宋体" w:hAnsi="宋体" w:eastAsia="宋体" w:cs="宋体"/>
                <w:b w:val="0"/>
                <w:bCs w:val="0"/>
                <w:sz w:val="22"/>
                <w:szCs w:val="22"/>
              </w:rPr>
              <w:t>标配双麻醉罐位</w:t>
            </w:r>
          </w:p>
        </w:tc>
        <w:tc>
          <w:tcPr>
            <w:tcW w:w="676" w:type="pct"/>
            <w:noWrap w:val="0"/>
            <w:vAlign w:val="center"/>
          </w:tcPr>
          <w:p>
            <w:pPr>
              <w:pStyle w:val="25"/>
              <w:ind w:firstLine="0" w:firstLineChars="0"/>
              <w:jc w:val="left"/>
              <w:rPr>
                <w:rStyle w:val="30"/>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b w:val="0"/>
                <w:bCs w:val="0"/>
                <w:sz w:val="22"/>
                <w:szCs w:val="22"/>
              </w:rPr>
            </w:pPr>
            <w:r>
              <w:rPr>
                <w:rFonts w:hint="eastAsia" w:ascii="宋体" w:hAnsi="宋体" w:eastAsia="宋体" w:cs="宋体"/>
                <w:b w:val="0"/>
                <w:bCs w:val="0"/>
                <w:sz w:val="22"/>
                <w:szCs w:val="22"/>
              </w:rPr>
              <w:t>2.4.2</w:t>
            </w:r>
          </w:p>
        </w:tc>
        <w:tc>
          <w:tcPr>
            <w:tcW w:w="3620" w:type="pct"/>
            <w:noWrap w:val="0"/>
            <w:vAlign w:val="top"/>
          </w:tcPr>
          <w:p>
            <w:pPr>
              <w:adjustRightInd w:val="0"/>
              <w:spacing w:line="360" w:lineRule="auto"/>
              <w:rPr>
                <w:b w:val="0"/>
                <w:bCs w:val="0"/>
                <w:sz w:val="22"/>
                <w:szCs w:val="22"/>
              </w:rPr>
            </w:pPr>
            <w:r>
              <w:rPr>
                <w:rFonts w:hint="eastAsia" w:ascii="宋体" w:hAnsi="宋体" w:eastAsia="宋体" w:cs="宋体"/>
                <w:b w:val="0"/>
                <w:bCs w:val="0"/>
                <w:sz w:val="22"/>
                <w:szCs w:val="22"/>
              </w:rPr>
              <w:t>可选配第三个麻醉罐位</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pStyle w:val="8"/>
              <w:spacing w:line="360" w:lineRule="auto"/>
              <w:jc w:val="center"/>
              <w:rPr>
                <w:b w:val="0"/>
                <w:bCs w:val="0"/>
                <w:sz w:val="22"/>
                <w:szCs w:val="22"/>
              </w:rPr>
            </w:pPr>
            <w:r>
              <w:rPr>
                <w:rFonts w:hint="eastAsia" w:ascii="宋体" w:hAnsi="宋体" w:eastAsia="宋体" w:cs="宋体"/>
                <w:b w:val="0"/>
                <w:bCs w:val="0"/>
                <w:sz w:val="22"/>
                <w:szCs w:val="22"/>
              </w:rPr>
              <w:t>2.4.3</w:t>
            </w:r>
            <w:r>
              <w:rPr>
                <w:rFonts w:hint="eastAsia" w:ascii="宋体" w:hAnsi="宋体" w:eastAsia="宋体" w:cs="宋体"/>
                <w:b w:val="0"/>
                <w:bCs w:val="0"/>
                <w:sz w:val="22"/>
                <w:szCs w:val="22"/>
                <w:lang w:val="en-US" w:eastAsia="zh-CN"/>
              </w:rPr>
              <w:t>★</w:t>
            </w:r>
          </w:p>
        </w:tc>
        <w:tc>
          <w:tcPr>
            <w:tcW w:w="3620" w:type="pct"/>
            <w:noWrap w:val="0"/>
            <w:vAlign w:val="top"/>
          </w:tcPr>
          <w:p>
            <w:pPr>
              <w:pStyle w:val="8"/>
              <w:spacing w:line="360" w:lineRule="auto"/>
              <w:rPr>
                <w:b w:val="0"/>
                <w:bCs w:val="0"/>
                <w:sz w:val="22"/>
                <w:szCs w:val="22"/>
              </w:rPr>
            </w:pPr>
            <w:r>
              <w:rPr>
                <w:rFonts w:hint="eastAsia" w:ascii="宋体" w:hAnsi="宋体" w:eastAsia="宋体" w:cs="宋体"/>
                <w:b w:val="0"/>
                <w:bCs w:val="0"/>
                <w:sz w:val="22"/>
                <w:szCs w:val="22"/>
              </w:rPr>
              <w:t>标配一个高品质七氟醚挥发罐，挥发罐和主机同品牌，非其他品牌代工贴牌（非OEM）产品，挥发罐通过CE和FDA认证，具备压力、流速和温度补偿</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Times New Roman"/>
                <w:b w:val="0"/>
                <w:bCs w:val="0"/>
                <w:sz w:val="22"/>
                <w:szCs w:val="22"/>
                <w:highlight w:val="none"/>
                <w:lang w:val="en-US" w:eastAsia="zh-CN"/>
              </w:rPr>
            </w:pPr>
            <w:r>
              <w:rPr>
                <w:rFonts w:hint="eastAsia" w:ascii="宋体" w:hAnsi="宋体" w:eastAsia="宋体" w:cs="宋体"/>
                <w:b w:val="0"/>
                <w:bCs w:val="0"/>
                <w:sz w:val="22"/>
                <w:szCs w:val="22"/>
              </w:rPr>
              <w:t xml:space="preserve">2.4.4 </w:t>
            </w:r>
            <w:r>
              <w:rPr>
                <w:rFonts w:hint="eastAsia" w:ascii="宋体" w:hAnsi="宋体" w:eastAsia="宋体" w:cs="宋体"/>
                <w:b w:val="0"/>
                <w:bCs w:val="0"/>
                <w:sz w:val="22"/>
                <w:szCs w:val="22"/>
                <w:lang w:val="en-US" w:eastAsia="zh-CN"/>
              </w:rPr>
              <w:t>▲</w:t>
            </w:r>
          </w:p>
        </w:tc>
        <w:tc>
          <w:tcPr>
            <w:tcW w:w="3620" w:type="pct"/>
            <w:noWrap w:val="0"/>
            <w:vAlign w:val="top"/>
          </w:tcPr>
          <w:p>
            <w:pPr>
              <w:rPr>
                <w:rFonts w:hint="eastAsia" w:ascii="宋体" w:hAnsi="宋体" w:cs="宋体"/>
                <w:b w:val="0"/>
                <w:bCs w:val="0"/>
                <w:i w:val="0"/>
                <w:iCs w:val="0"/>
                <w:color w:val="000000"/>
                <w:kern w:val="0"/>
                <w:sz w:val="22"/>
                <w:szCs w:val="22"/>
                <w:u w:val="none"/>
                <w:lang w:val="en-US" w:eastAsia="zh-CN" w:bidi="ar"/>
              </w:rPr>
            </w:pPr>
            <w:r>
              <w:rPr>
                <w:rFonts w:hint="eastAsia" w:ascii="宋体" w:hAnsi="宋体" w:eastAsia="宋体" w:cs="宋体"/>
                <w:b w:val="0"/>
                <w:bCs w:val="0"/>
                <w:sz w:val="22"/>
                <w:szCs w:val="22"/>
              </w:rPr>
              <w:t>可选配同品牌地氟醚挥发罐，挥发罐和主机同品牌</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default" w:cs="Times New Roman"/>
                <w:b w:val="0"/>
                <w:bCs w:val="0"/>
                <w:sz w:val="22"/>
                <w:szCs w:val="22"/>
                <w:highlight w:val="none"/>
                <w:lang w:val="en-US" w:eastAsia="zh-CN"/>
              </w:rPr>
            </w:pPr>
            <w:r>
              <w:rPr>
                <w:rFonts w:hint="eastAsia" w:ascii="宋体" w:hAnsi="宋体" w:eastAsia="宋体" w:cs="宋体"/>
                <w:b w:val="0"/>
                <w:bCs w:val="0"/>
                <w:sz w:val="22"/>
                <w:szCs w:val="22"/>
              </w:rPr>
              <w:t>2.5</w:t>
            </w:r>
          </w:p>
        </w:tc>
        <w:tc>
          <w:tcPr>
            <w:tcW w:w="3620" w:type="pct"/>
            <w:noWrap w:val="0"/>
            <w:vAlign w:val="top"/>
          </w:tcPr>
          <w:p>
            <w:pPr>
              <w:adjustRightInd w:val="0"/>
              <w:spacing w:line="360" w:lineRule="auto"/>
              <w:rPr>
                <w:rFonts w:hint="eastAsia" w:ascii="宋体" w:hAnsi="宋体" w:cs="宋体"/>
                <w:b w:val="0"/>
                <w:bCs w:val="0"/>
                <w:i w:val="0"/>
                <w:iCs w:val="0"/>
                <w:color w:val="000000"/>
                <w:kern w:val="0"/>
                <w:sz w:val="22"/>
                <w:szCs w:val="22"/>
                <w:u w:val="none"/>
                <w:lang w:val="en-US" w:eastAsia="zh-CN" w:bidi="ar"/>
              </w:rPr>
            </w:pPr>
            <w:r>
              <w:rPr>
                <w:rFonts w:hint="eastAsia" w:ascii="宋体" w:hAnsi="宋体" w:eastAsia="宋体" w:cs="宋体"/>
                <w:b w:val="0"/>
                <w:bCs w:val="0"/>
                <w:sz w:val="22"/>
                <w:szCs w:val="22"/>
              </w:rPr>
              <w:t>呼吸回路</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pStyle w:val="8"/>
              <w:spacing w:line="360" w:lineRule="auto"/>
              <w:jc w:val="center"/>
              <w:rPr>
                <w:rFonts w:hint="default" w:ascii="宋体" w:hAnsi="宋体" w:cs="Times New Roman"/>
                <w:b w:val="0"/>
                <w:bCs w:val="0"/>
                <w:sz w:val="22"/>
                <w:szCs w:val="22"/>
                <w:highlight w:val="none"/>
                <w:lang w:val="en-US" w:eastAsia="zh-CN"/>
              </w:rPr>
            </w:pPr>
            <w:r>
              <w:rPr>
                <w:rFonts w:hint="eastAsia" w:ascii="宋体" w:hAnsi="宋体" w:eastAsia="宋体" w:cs="宋体"/>
                <w:b w:val="0"/>
                <w:bCs w:val="0"/>
                <w:sz w:val="22"/>
                <w:szCs w:val="22"/>
              </w:rPr>
              <w:t>2.5.1</w:t>
            </w:r>
          </w:p>
        </w:tc>
        <w:tc>
          <w:tcPr>
            <w:tcW w:w="3620" w:type="pct"/>
            <w:noWrap w:val="0"/>
            <w:vAlign w:val="top"/>
          </w:tcPr>
          <w:p>
            <w:pPr>
              <w:pStyle w:val="8"/>
              <w:spacing w:line="360" w:lineRule="auto"/>
              <w:rPr>
                <w:rFonts w:hint="eastAsia" w:ascii="新宋体" w:hAnsi="新宋体" w:eastAsia="新宋体" w:cs="新宋体"/>
                <w:b w:val="0"/>
                <w:bCs w:val="0"/>
                <w:color w:val="000000"/>
                <w:sz w:val="22"/>
                <w:szCs w:val="22"/>
                <w:lang w:eastAsia="zh-CN"/>
              </w:rPr>
            </w:pPr>
            <w:r>
              <w:rPr>
                <w:rFonts w:hint="eastAsia" w:ascii="宋体" w:hAnsi="宋体" w:eastAsia="宋体" w:cs="宋体"/>
                <w:b w:val="0"/>
                <w:bCs w:val="0"/>
                <w:sz w:val="22"/>
                <w:szCs w:val="22"/>
              </w:rPr>
              <w:t>一体化集成回路，具有可观测的吸气呼气单向阀，机械气道压力表以及手动/机控切换开关</w:t>
            </w:r>
          </w:p>
        </w:tc>
        <w:tc>
          <w:tcPr>
            <w:tcW w:w="676" w:type="pct"/>
            <w:noWrap w:val="0"/>
            <w:vAlign w:val="center"/>
          </w:tcPr>
          <w:p>
            <w:pPr>
              <w:pStyle w:val="25"/>
              <w:ind w:firstLine="0" w:firstLineChars="0"/>
              <w:jc w:val="left"/>
              <w:rPr>
                <w:rStyle w:val="30"/>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pStyle w:val="8"/>
              <w:spacing w:line="360" w:lineRule="auto"/>
              <w:jc w:val="center"/>
              <w:rPr>
                <w:rFonts w:hint="default" w:ascii="宋体" w:hAnsi="宋体" w:cs="Times New Roman"/>
                <w:b w:val="0"/>
                <w:bCs w:val="0"/>
                <w:sz w:val="22"/>
                <w:szCs w:val="22"/>
                <w:highlight w:val="none"/>
                <w:lang w:val="en-US" w:eastAsia="zh-CN"/>
              </w:rPr>
            </w:pPr>
            <w:r>
              <w:rPr>
                <w:rFonts w:hint="eastAsia" w:ascii="宋体" w:hAnsi="宋体" w:eastAsia="宋体" w:cs="宋体"/>
                <w:b w:val="0"/>
                <w:bCs w:val="0"/>
                <w:sz w:val="22"/>
                <w:szCs w:val="22"/>
              </w:rPr>
              <w:t>2.5.2</w:t>
            </w:r>
          </w:p>
        </w:tc>
        <w:tc>
          <w:tcPr>
            <w:tcW w:w="3620" w:type="pct"/>
            <w:noWrap w:val="0"/>
            <w:vAlign w:val="top"/>
          </w:tcPr>
          <w:p>
            <w:pPr>
              <w:pStyle w:val="8"/>
              <w:spacing w:line="360" w:lineRule="auto"/>
              <w:rPr>
                <w:rFonts w:hint="eastAsia" w:ascii="新宋体" w:hAnsi="新宋体" w:eastAsia="新宋体" w:cs="新宋体"/>
                <w:b w:val="0"/>
                <w:bCs w:val="0"/>
                <w:color w:val="000000"/>
                <w:sz w:val="22"/>
                <w:szCs w:val="22"/>
                <w:lang w:eastAsia="zh-CN"/>
              </w:rPr>
            </w:pPr>
            <w:r>
              <w:rPr>
                <w:rFonts w:hint="eastAsia" w:ascii="宋体" w:hAnsi="宋体" w:eastAsia="宋体" w:cs="宋体"/>
                <w:b w:val="0"/>
                <w:bCs w:val="0"/>
                <w:sz w:val="22"/>
                <w:szCs w:val="22"/>
              </w:rPr>
              <w:t>回路部件可以耐受134℃高温高压消毒以避免院内交叉感染(包括流量传感器)</w:t>
            </w:r>
          </w:p>
        </w:tc>
        <w:tc>
          <w:tcPr>
            <w:tcW w:w="676" w:type="pct"/>
            <w:noWrap w:val="0"/>
            <w:vAlign w:val="center"/>
          </w:tcPr>
          <w:p>
            <w:pPr>
              <w:pStyle w:val="25"/>
              <w:ind w:firstLine="0" w:firstLineChars="0"/>
              <w:jc w:val="left"/>
              <w:rPr>
                <w:rStyle w:val="30"/>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spacing w:line="360" w:lineRule="auto"/>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sz w:val="22"/>
                <w:szCs w:val="22"/>
              </w:rPr>
              <w:t>2.5.3</w:t>
            </w:r>
            <w:r>
              <w:rPr>
                <w:rFonts w:hint="eastAsia" w:ascii="宋体" w:hAnsi="宋体" w:eastAsia="宋体" w:cs="宋体"/>
                <w:b w:val="0"/>
                <w:bCs w:val="0"/>
                <w:sz w:val="22"/>
                <w:szCs w:val="22"/>
                <w:lang w:val="en-US" w:eastAsia="zh-CN"/>
              </w:rPr>
              <w:t>★</w:t>
            </w:r>
          </w:p>
        </w:tc>
        <w:tc>
          <w:tcPr>
            <w:tcW w:w="3620" w:type="pct"/>
            <w:noWrap w:val="0"/>
            <w:vAlign w:val="top"/>
          </w:tcPr>
          <w:p>
            <w:pPr>
              <w:spacing w:line="360" w:lineRule="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sz w:val="22"/>
                <w:szCs w:val="22"/>
              </w:rPr>
              <w:t>二氧化碳吸收罐，容积≥1500ml</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2.5.4</w:t>
            </w:r>
            <w:r>
              <w:rPr>
                <w:rFonts w:hint="eastAsia" w:ascii="宋体" w:hAnsi="宋体" w:eastAsia="宋体" w:cs="宋体"/>
                <w:b w:val="0"/>
                <w:bCs w:val="0"/>
                <w:sz w:val="22"/>
                <w:szCs w:val="22"/>
                <w:lang w:val="en-US" w:eastAsia="zh-CN"/>
              </w:rPr>
              <w:t>★</w:t>
            </w:r>
          </w:p>
        </w:tc>
        <w:tc>
          <w:tcPr>
            <w:tcW w:w="3620" w:type="pct"/>
            <w:noWrap w:val="0"/>
            <w:vAlign w:val="top"/>
          </w:tcPr>
          <w:p>
            <w:pPr>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内置双流量传感器，分别在吸入端，呼出端，流量传感器用户无需工具可自行校准</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2.5.5</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可选配共同新鲜气体输出口（ACGO），输出口无需改装可直接连接特殊的开放式回路，如Bain回路、T管等。也可不选ACGO，以防止误操作</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2.5.6</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具有回路整体加温功能，保证回路不受积水影响，保证流量传感器精准及向病人提供温暖气体，避免对呼吸道的刺激</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2.5.7</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可选配CO2旁路功能，在机械通气过程中，更换钠石灰罐无需选择确认，无需关停机械通气，可方便直接更换</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2.5.8</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具备智能回路识别报警系统，当钠石灰罐未安装到位时，机器能智能识别，并报警提示。</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2.5.9</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呼吸系统泄漏量≤50mL/min（在3.0kPa压力条件下）</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numPr>
                <w:ilvl w:val="1"/>
                <w:numId w:val="0"/>
              </w:numPr>
              <w:adjustRightInd w:val="0"/>
              <w:spacing w:line="360" w:lineRule="auto"/>
              <w:ind w:left="360" w:leftChars="0" w:hanging="360" w:firstLineChars="0"/>
              <w:jc w:val="center"/>
              <w:rPr>
                <w:rFonts w:hint="eastAsia" w:ascii="宋体" w:hAnsi="宋体" w:eastAsia="宋体" w:cs="宋体"/>
                <w:b w:val="0"/>
                <w:bCs w:val="0"/>
                <w:kern w:val="2"/>
                <w:sz w:val="22"/>
                <w:szCs w:val="22"/>
                <w:lang w:val="en-US" w:eastAsia="zh-CN" w:bidi="ar-SA"/>
              </w:rPr>
            </w:pPr>
            <w:r>
              <w:rPr>
                <w:rFonts w:hint="default" w:ascii="宋体" w:hAnsi="宋体" w:eastAsia="宋体" w:cs="宋体"/>
                <w:b w:val="0"/>
                <w:bCs w:val="0"/>
                <w:kern w:val="2"/>
                <w:sz w:val="22"/>
                <w:szCs w:val="22"/>
                <w:lang w:val="en-US" w:eastAsia="zh-CN" w:bidi="ar-SA"/>
              </w:rPr>
              <w:t>2.6</w:t>
            </w:r>
          </w:p>
        </w:tc>
        <w:tc>
          <w:tcPr>
            <w:tcW w:w="3620" w:type="pct"/>
            <w:noWrap w:val="0"/>
            <w:vAlign w:val="top"/>
          </w:tcPr>
          <w:p>
            <w:pPr>
              <w:numPr>
                <w:ilvl w:val="1"/>
                <w:numId w:val="0"/>
              </w:numPr>
              <w:adjustRightInd w:val="0"/>
              <w:spacing w:line="360" w:lineRule="auto"/>
              <w:ind w:left="360" w:leftChars="0" w:hanging="360" w:firstLineChars="0"/>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呼吸机</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pStyle w:val="8"/>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2.6.1</w:t>
            </w:r>
          </w:p>
        </w:tc>
        <w:tc>
          <w:tcPr>
            <w:tcW w:w="3620" w:type="pct"/>
            <w:noWrap w:val="0"/>
            <w:vAlign w:val="top"/>
          </w:tcPr>
          <w:p>
            <w:pPr>
              <w:pStyle w:val="8"/>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气动电控呼吸机，全中文操作和显示</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themeColor="text1"/>
                <w:sz w:val="22"/>
                <w:szCs w:val="22"/>
                <w14:textFill>
                  <w14:solidFill>
                    <w14:schemeClr w14:val="tx1"/>
                  </w14:solidFill>
                </w14:textFill>
              </w:rPr>
              <w:t>2.6.2</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themeColor="text1"/>
                <w:sz w:val="22"/>
                <w:szCs w:val="22"/>
                <w14:textFill>
                  <w14:solidFill>
                    <w14:schemeClr w14:val="tx1"/>
                  </w14:solidFill>
                </w14:textFill>
              </w:rPr>
              <w:t>提供辅助/控制通气，标配通气模式：VCV、PCV</w:t>
            </w:r>
            <w:r>
              <w:rPr>
                <w:rFonts w:hint="eastAsia" w:ascii="宋体" w:hAnsi="宋体" w:eastAsia="宋体" w:cs="宋体"/>
                <w:b w:val="0"/>
                <w:bCs w:val="0"/>
                <w:sz w:val="22"/>
                <w:szCs w:val="22"/>
              </w:rPr>
              <w:t>，可选配/升级PS模式、SIMV（SIMV-VC、SIMV-PC）模式</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themeColor="text1"/>
                <w:sz w:val="22"/>
                <w:szCs w:val="22"/>
                <w14:textFill>
                  <w14:solidFill>
                    <w14:schemeClr w14:val="tx1"/>
                  </w14:solidFill>
                </w14:textFill>
              </w:rPr>
              <w:t>2.6.3</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themeColor="text1"/>
                <w:sz w:val="22"/>
                <w:szCs w:val="22"/>
                <w14:textFill>
                  <w14:solidFill>
                    <w14:schemeClr w14:val="tx1"/>
                  </w14:solidFill>
                </w14:textFill>
              </w:rPr>
              <w:t>可根据病人理想体重自动关联潮气量，调节潮气量时可显示潮气量/理想体重</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pStyle w:val="8"/>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themeColor="text1"/>
                <w:sz w:val="22"/>
                <w:szCs w:val="22"/>
                <w14:textFill>
                  <w14:solidFill>
                    <w14:schemeClr w14:val="tx1"/>
                  </w14:solidFill>
                </w14:textFill>
              </w:rPr>
              <w:t>2.6.4</w:t>
            </w:r>
          </w:p>
        </w:tc>
        <w:tc>
          <w:tcPr>
            <w:tcW w:w="3620" w:type="pct"/>
            <w:noWrap w:val="0"/>
            <w:vAlign w:val="top"/>
          </w:tcPr>
          <w:p>
            <w:pPr>
              <w:pStyle w:val="8"/>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themeColor="text1"/>
                <w:sz w:val="22"/>
                <w:szCs w:val="22"/>
                <w14:textFill>
                  <w14:solidFill>
                    <w14:schemeClr w14:val="tx1"/>
                  </w14:solidFill>
                </w14:textFill>
              </w:rPr>
              <w:t>潮气量设置范围：10ml-1500ml</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sz w:val="22"/>
                <w:szCs w:val="22"/>
              </w:rPr>
              <w:t>2.6.5</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sz w:val="22"/>
                <w:szCs w:val="22"/>
              </w:rPr>
              <w:t>吸气压力设置范围：3-80 cmH2O</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sz w:val="22"/>
                <w:szCs w:val="22"/>
              </w:rPr>
              <w:t>2.6.6</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sz w:val="22"/>
                <w:szCs w:val="22"/>
              </w:rPr>
              <w:t>支持压力：0，3cmH2O～60cmH2O</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sz w:val="22"/>
                <w:szCs w:val="22"/>
              </w:rPr>
              <w:t>2.6.7</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sz w:val="22"/>
                <w:szCs w:val="22"/>
              </w:rPr>
              <w:t>呼吸频率：2-100次/分钟</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sz w:val="22"/>
                <w:szCs w:val="22"/>
              </w:rPr>
              <w:t>2.6.8</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sz w:val="22"/>
                <w:szCs w:val="22"/>
              </w:rPr>
              <w:t>吸呼比：4:1到1:10</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b w:val="0"/>
                <w:bCs w:val="0"/>
                <w:sz w:val="22"/>
                <w:szCs w:val="22"/>
              </w:rPr>
            </w:pPr>
            <w:r>
              <w:rPr>
                <w:rFonts w:hint="eastAsia" w:ascii="宋体" w:hAnsi="宋体" w:eastAsia="宋体" w:cs="宋体"/>
                <w:b w:val="0"/>
                <w:bCs w:val="0"/>
                <w:color w:val="000000"/>
                <w:sz w:val="22"/>
                <w:szCs w:val="22"/>
              </w:rPr>
              <w:t>2.6.9</w:t>
            </w:r>
          </w:p>
        </w:tc>
        <w:tc>
          <w:tcPr>
            <w:tcW w:w="3620" w:type="pct"/>
            <w:noWrap w:val="0"/>
            <w:vAlign w:val="top"/>
          </w:tcPr>
          <w:p>
            <w:pPr>
              <w:adjustRightInd w:val="0"/>
              <w:spacing w:line="360" w:lineRule="auto"/>
              <w:rPr>
                <w:b w:val="0"/>
                <w:bCs w:val="0"/>
                <w:sz w:val="22"/>
                <w:szCs w:val="22"/>
              </w:rPr>
            </w:pPr>
            <w:r>
              <w:rPr>
                <w:rFonts w:hint="eastAsia" w:ascii="宋体" w:hAnsi="宋体" w:eastAsia="宋体" w:cs="宋体"/>
                <w:b w:val="0"/>
                <w:bCs w:val="0"/>
                <w:color w:val="000000"/>
                <w:sz w:val="22"/>
                <w:szCs w:val="22"/>
              </w:rPr>
              <w:t>压力限制范围：10-100 cmH2O</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b w:val="0"/>
                <w:bCs w:val="0"/>
                <w:sz w:val="22"/>
                <w:szCs w:val="22"/>
              </w:rPr>
            </w:pPr>
            <w:r>
              <w:rPr>
                <w:rFonts w:hint="eastAsia" w:ascii="宋体" w:hAnsi="宋体" w:eastAsia="宋体" w:cs="宋体"/>
                <w:b w:val="0"/>
                <w:bCs w:val="0"/>
                <w:color w:val="000000"/>
                <w:sz w:val="22"/>
                <w:szCs w:val="22"/>
              </w:rPr>
              <w:t>2.6.10</w:t>
            </w:r>
          </w:p>
        </w:tc>
        <w:tc>
          <w:tcPr>
            <w:tcW w:w="3620" w:type="pct"/>
            <w:noWrap w:val="0"/>
            <w:vAlign w:val="top"/>
          </w:tcPr>
          <w:p>
            <w:pPr>
              <w:adjustRightInd w:val="0"/>
              <w:spacing w:line="360" w:lineRule="auto"/>
              <w:rPr>
                <w:b w:val="0"/>
                <w:bCs w:val="0"/>
                <w:sz w:val="22"/>
                <w:szCs w:val="22"/>
              </w:rPr>
            </w:pPr>
            <w:r>
              <w:rPr>
                <w:rFonts w:hint="eastAsia" w:ascii="宋体" w:hAnsi="宋体" w:eastAsia="宋体" w:cs="宋体"/>
                <w:b w:val="0"/>
                <w:bCs w:val="0"/>
                <w:color w:val="000000"/>
                <w:sz w:val="22"/>
                <w:szCs w:val="22"/>
              </w:rPr>
              <w:t>电子PEEP，显示屏设置，范围：OFF，2-50 cmH2O</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Times New Roman"/>
                <w:b w:val="0"/>
                <w:bCs w:val="0"/>
                <w:sz w:val="22"/>
                <w:szCs w:val="22"/>
                <w:highlight w:val="none"/>
                <w:lang w:val="en-US" w:eastAsia="zh-CN"/>
              </w:rPr>
            </w:pPr>
            <w:r>
              <w:rPr>
                <w:rFonts w:hint="eastAsia" w:ascii="宋体" w:hAnsi="宋体" w:eastAsia="宋体" w:cs="宋体"/>
                <w:b w:val="0"/>
                <w:bCs w:val="0"/>
                <w:color w:val="000000"/>
                <w:sz w:val="22"/>
                <w:szCs w:val="22"/>
              </w:rPr>
              <w:t>2.6.11</w:t>
            </w:r>
          </w:p>
        </w:tc>
        <w:tc>
          <w:tcPr>
            <w:tcW w:w="3620" w:type="pct"/>
            <w:noWrap w:val="0"/>
            <w:vAlign w:val="top"/>
          </w:tcPr>
          <w:p>
            <w:pPr>
              <w:adjustRightInd w:val="0"/>
              <w:spacing w:line="360" w:lineRule="auto"/>
              <w:rPr>
                <w:rFonts w:hint="eastAsia" w:ascii="宋体" w:hAnsi="宋体" w:cs="宋体"/>
                <w:b w:val="0"/>
                <w:bCs w:val="0"/>
                <w:i w:val="0"/>
                <w:iCs w:val="0"/>
                <w:color w:val="000000"/>
                <w:kern w:val="0"/>
                <w:sz w:val="22"/>
                <w:szCs w:val="22"/>
                <w:u w:val="none"/>
                <w:lang w:val="en-US" w:eastAsia="zh-CN" w:bidi="ar"/>
              </w:rPr>
            </w:pPr>
            <w:r>
              <w:rPr>
                <w:rFonts w:hint="eastAsia" w:ascii="宋体" w:hAnsi="宋体" w:eastAsia="宋体" w:cs="宋体"/>
                <w:b w:val="0"/>
                <w:bCs w:val="0"/>
                <w:color w:val="000000"/>
                <w:sz w:val="22"/>
                <w:szCs w:val="22"/>
              </w:rPr>
              <w:t xml:space="preserve">吸气暂停：OFF，5%-60% </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default" w:cs="Times New Roman"/>
                <w:b w:val="0"/>
                <w:bCs w:val="0"/>
                <w:sz w:val="22"/>
                <w:szCs w:val="22"/>
                <w:highlight w:val="none"/>
                <w:lang w:val="en-US" w:eastAsia="zh-CN"/>
              </w:rPr>
            </w:pPr>
            <w:r>
              <w:rPr>
                <w:rFonts w:hint="eastAsia" w:ascii="宋体" w:hAnsi="宋体" w:eastAsia="宋体" w:cs="宋体"/>
                <w:b w:val="0"/>
                <w:bCs w:val="0"/>
                <w:color w:val="000000" w:themeColor="text1"/>
                <w:sz w:val="22"/>
                <w:szCs w:val="22"/>
                <w14:textFill>
                  <w14:solidFill>
                    <w14:schemeClr w14:val="tx1"/>
                  </w14:solidFill>
                </w14:textFill>
              </w:rPr>
              <w:t>2.6.12</w:t>
            </w:r>
          </w:p>
        </w:tc>
        <w:tc>
          <w:tcPr>
            <w:tcW w:w="3620" w:type="pct"/>
            <w:noWrap w:val="0"/>
            <w:vAlign w:val="top"/>
          </w:tcPr>
          <w:p>
            <w:pPr>
              <w:adjustRightInd w:val="0"/>
              <w:spacing w:line="360" w:lineRule="auto"/>
              <w:rPr>
                <w:rFonts w:hint="eastAsia" w:ascii="宋体" w:hAnsi="宋体" w:cs="宋体"/>
                <w:b w:val="0"/>
                <w:bCs w:val="0"/>
                <w:i w:val="0"/>
                <w:iCs w:val="0"/>
                <w:color w:val="000000"/>
                <w:kern w:val="0"/>
                <w:sz w:val="22"/>
                <w:szCs w:val="22"/>
                <w:u w:val="none"/>
                <w:lang w:val="en-US" w:eastAsia="zh-CN" w:bidi="ar"/>
              </w:rPr>
            </w:pPr>
            <w:r>
              <w:rPr>
                <w:rFonts w:hint="eastAsia" w:ascii="宋体" w:hAnsi="宋体" w:eastAsia="宋体" w:cs="宋体"/>
                <w:b w:val="0"/>
                <w:bCs w:val="0"/>
                <w:color w:val="000000" w:themeColor="text1"/>
                <w:sz w:val="22"/>
                <w:szCs w:val="22"/>
                <w14:textFill>
                  <w14:solidFill>
                    <w14:schemeClr w14:val="tx1"/>
                  </w14:solidFill>
                </w14:textFill>
              </w:rPr>
              <w:t>呼吸机吸气阀峰值流速：180 L/min</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default" w:ascii="宋体" w:hAnsi="宋体" w:cs="Times New Roman"/>
                <w:b w:val="0"/>
                <w:bCs w:val="0"/>
                <w:sz w:val="22"/>
                <w:szCs w:val="22"/>
                <w:highlight w:val="none"/>
                <w:lang w:val="en-US" w:eastAsia="zh-CN"/>
              </w:rPr>
            </w:pPr>
            <w:r>
              <w:rPr>
                <w:rFonts w:hint="eastAsia" w:ascii="宋体" w:hAnsi="宋体" w:eastAsia="宋体" w:cs="宋体"/>
                <w:b w:val="0"/>
                <w:bCs w:val="0"/>
                <w:sz w:val="22"/>
                <w:szCs w:val="22"/>
              </w:rPr>
              <w:t>2.6.13</w:t>
            </w:r>
            <w:r>
              <w:rPr>
                <w:rFonts w:hint="eastAsia" w:ascii="宋体" w:hAnsi="宋体" w:eastAsia="宋体" w:cs="宋体"/>
                <w:b w:val="0"/>
                <w:bCs w:val="0"/>
                <w:sz w:val="22"/>
                <w:szCs w:val="22"/>
                <w:lang w:val="en-US" w:eastAsia="zh-CN"/>
              </w:rPr>
              <w:t>★</w:t>
            </w:r>
          </w:p>
        </w:tc>
        <w:tc>
          <w:tcPr>
            <w:tcW w:w="3620" w:type="pct"/>
            <w:noWrap w:val="0"/>
            <w:vAlign w:val="top"/>
          </w:tcPr>
          <w:p>
            <w:pPr>
              <w:adjustRightInd w:val="0"/>
              <w:spacing w:line="360" w:lineRule="auto"/>
              <w:rPr>
                <w:rFonts w:hint="eastAsia" w:ascii="新宋体" w:hAnsi="新宋体" w:eastAsia="新宋体" w:cs="新宋体"/>
                <w:b w:val="0"/>
                <w:bCs w:val="0"/>
                <w:color w:val="000000"/>
                <w:sz w:val="22"/>
                <w:szCs w:val="22"/>
                <w:lang w:eastAsia="zh-CN"/>
              </w:rPr>
            </w:pPr>
            <w:r>
              <w:rPr>
                <w:rFonts w:hint="eastAsia" w:ascii="宋体" w:hAnsi="宋体" w:eastAsia="宋体" w:cs="宋体"/>
                <w:b w:val="0"/>
                <w:bCs w:val="0"/>
                <w:sz w:val="22"/>
                <w:szCs w:val="22"/>
              </w:rPr>
              <w:t>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tc>
        <w:tc>
          <w:tcPr>
            <w:tcW w:w="676" w:type="pct"/>
            <w:noWrap w:val="0"/>
            <w:vAlign w:val="center"/>
          </w:tcPr>
          <w:p>
            <w:pPr>
              <w:pStyle w:val="25"/>
              <w:ind w:firstLine="0" w:firstLineChars="0"/>
              <w:jc w:val="left"/>
              <w:rPr>
                <w:rStyle w:val="30"/>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default" w:ascii="宋体" w:hAnsi="宋体" w:cs="Times New Roman"/>
                <w:b w:val="0"/>
                <w:bCs w:val="0"/>
                <w:sz w:val="22"/>
                <w:szCs w:val="22"/>
                <w:highlight w:val="none"/>
                <w:lang w:val="en-US" w:eastAsia="zh-CN"/>
              </w:rPr>
            </w:pPr>
            <w:r>
              <w:rPr>
                <w:rFonts w:hint="eastAsia" w:ascii="宋体" w:hAnsi="宋体" w:eastAsia="宋体" w:cs="宋体"/>
                <w:b w:val="0"/>
                <w:bCs w:val="0"/>
                <w:sz w:val="22"/>
                <w:szCs w:val="22"/>
              </w:rPr>
              <w:t>2.6.14</w:t>
            </w:r>
          </w:p>
        </w:tc>
        <w:tc>
          <w:tcPr>
            <w:tcW w:w="3620" w:type="pct"/>
            <w:noWrap w:val="0"/>
            <w:vAlign w:val="top"/>
          </w:tcPr>
          <w:p>
            <w:pPr>
              <w:adjustRightInd w:val="0"/>
              <w:spacing w:line="360" w:lineRule="auto"/>
              <w:rPr>
                <w:rFonts w:hint="eastAsia" w:ascii="新宋体" w:hAnsi="新宋体" w:eastAsia="新宋体" w:cs="新宋体"/>
                <w:b w:val="0"/>
                <w:bCs w:val="0"/>
                <w:color w:val="000000"/>
                <w:sz w:val="22"/>
                <w:szCs w:val="22"/>
                <w:lang w:eastAsia="zh-CN"/>
              </w:rPr>
            </w:pPr>
            <w:r>
              <w:rPr>
                <w:rFonts w:hint="eastAsia" w:ascii="宋体" w:hAnsi="宋体" w:eastAsia="宋体" w:cs="宋体"/>
                <w:b w:val="0"/>
                <w:bCs w:val="0"/>
                <w:sz w:val="22"/>
                <w:szCs w:val="22"/>
              </w:rPr>
              <w:t>具备心肺旁流模式CPB, 且心肺旁流模式可在手动通气模式和机控通气模式下启动</w:t>
            </w:r>
          </w:p>
        </w:tc>
        <w:tc>
          <w:tcPr>
            <w:tcW w:w="676" w:type="pct"/>
            <w:noWrap w:val="0"/>
            <w:vAlign w:val="center"/>
          </w:tcPr>
          <w:p>
            <w:pPr>
              <w:pStyle w:val="25"/>
              <w:ind w:firstLine="0" w:firstLineChars="0"/>
              <w:jc w:val="left"/>
              <w:rPr>
                <w:rStyle w:val="30"/>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sz w:val="22"/>
                <w:szCs w:val="22"/>
              </w:rPr>
              <w:t>2.7</w:t>
            </w:r>
          </w:p>
        </w:tc>
        <w:tc>
          <w:tcPr>
            <w:tcW w:w="3620" w:type="pct"/>
            <w:noWrap w:val="0"/>
            <w:vAlign w:val="top"/>
          </w:tcPr>
          <w:p>
            <w:pPr>
              <w:adjustRightInd w:val="0"/>
              <w:spacing w:line="360" w:lineRule="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sz w:val="22"/>
                <w:szCs w:val="22"/>
              </w:rPr>
              <w:t>数字和波形监测</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2.7.1</w:t>
            </w:r>
          </w:p>
        </w:tc>
        <w:tc>
          <w:tcPr>
            <w:tcW w:w="3620" w:type="pct"/>
            <w:noWrap w:val="0"/>
            <w:vAlign w:val="top"/>
          </w:tcPr>
          <w:p>
            <w:pPr>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具备三级声光报警功能，有独立红黄报警灯显示</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themeColor="text1"/>
                <w:sz w:val="22"/>
                <w:szCs w:val="22"/>
                <w14:textFill>
                  <w14:solidFill>
                    <w14:schemeClr w14:val="tx1"/>
                  </w14:solidFill>
                </w14:textFill>
              </w:rPr>
              <w:t>3.7.2</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themeColor="text1"/>
                <w:sz w:val="22"/>
                <w:szCs w:val="22"/>
                <w14:textFill>
                  <w14:solidFill>
                    <w14:schemeClr w14:val="tx1"/>
                  </w14:solidFill>
                </w14:textFill>
              </w:rPr>
              <w:t>不小于12英寸彩色触摸屏，可同屏显示波形和呼吸环图</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2.7.3</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电容触摸屏，支持手势操作</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2.7.4</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可选配3个或以上槽位插件槽，可直接热插拔插件</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2.7.5</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插件可在同品牌监护仪和麻醉机之间通用</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2.7.6</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可配备插件：AG麻醉气体模块、EtCO2，可单独选配EtCO2插件，以适应全凭静脉无需监测麻醉气体的需求。</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themeColor="text1"/>
                <w:sz w:val="22"/>
                <w:szCs w:val="22"/>
                <w14:textFill>
                  <w14:solidFill>
                    <w14:schemeClr w14:val="tx1"/>
                  </w14:solidFill>
                </w14:textFill>
              </w:rPr>
              <w:t>2.7.7</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000000" w:themeColor="text1"/>
                <w:sz w:val="22"/>
                <w:szCs w:val="22"/>
                <w14:textFill>
                  <w14:solidFill>
                    <w14:schemeClr w14:val="tx1"/>
                  </w14:solidFill>
                </w14:textFill>
              </w:rPr>
              <w:t>可选监测参数：呼吸频率、潮气量、分钟通气量、吸呼比、气道压（峰压、平台压、平均压、PEEP）、气道阻力、顺应性；麻醉气体分析（N2O，EtCO2，自动识别五种麻醉气体吸入呼出浓度监测）、呼吸环（P-V，P-F）监测；可选配</w:t>
            </w:r>
            <w:r>
              <w:rPr>
                <w:rFonts w:hint="eastAsia" w:ascii="宋体" w:hAnsi="宋体" w:eastAsia="宋体" w:cs="宋体"/>
                <w:b w:val="0"/>
                <w:bCs w:val="0"/>
                <w:sz w:val="22"/>
                <w:szCs w:val="22"/>
              </w:rPr>
              <w:t>氧电池法吸入氧浓度监测、</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2.7.8</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同屏幕3通道波形显示（压力时间波形，流速时间波形，容量时间波形， O2，CO2或麻醉气体浓度波形）</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2.7.9</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潮气量监测范围：0-3000ml</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2.7.10</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分钟通气量监测范围：0-100L/min</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2.7.11</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屏幕上可显示电子气道压力表，实时显示当前气道压力</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2.7.11</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可视化报警，技术报警提示中对于导致报警的原因给与文字和图形提示，具备自动报警限功能</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2.7.12</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图示化自检，系统自检失败时给于文字和图示提醒可能出错的原因。</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2.7.13</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可存储至少10000条事件记录，可存储至少50张屏幕截图</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2.8</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麻醉工作站功能</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2.8.1</w:t>
            </w:r>
          </w:p>
        </w:tc>
        <w:tc>
          <w:tcPr>
            <w:tcW w:w="3620" w:type="pct"/>
            <w:noWrap w:val="0"/>
            <w:vAlign w:val="top"/>
          </w:tcPr>
          <w:p>
            <w:pPr>
              <w:adjustRightInd w:val="0"/>
              <w:spacing w:line="360" w:lineRule="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rPr>
              <w:t>可连接同一品牌监护仪，监护仪参数可显示在麻醉机上</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b w:val="0"/>
                <w:bCs w:val="0"/>
                <w:sz w:val="22"/>
                <w:szCs w:val="22"/>
              </w:rPr>
            </w:pPr>
            <w:r>
              <w:rPr>
                <w:rFonts w:hint="eastAsia" w:ascii="宋体" w:hAnsi="宋体" w:eastAsia="宋体" w:cs="宋体"/>
                <w:b w:val="0"/>
                <w:bCs w:val="0"/>
                <w:sz w:val="22"/>
                <w:szCs w:val="22"/>
              </w:rPr>
              <w:t>2.8.2</w:t>
            </w:r>
          </w:p>
        </w:tc>
        <w:tc>
          <w:tcPr>
            <w:tcW w:w="3620" w:type="pct"/>
            <w:noWrap w:val="0"/>
            <w:vAlign w:val="top"/>
          </w:tcPr>
          <w:p>
            <w:pPr>
              <w:adjustRightInd w:val="0"/>
              <w:spacing w:line="360" w:lineRule="auto"/>
              <w:rPr>
                <w:b w:val="0"/>
                <w:bCs w:val="0"/>
                <w:sz w:val="22"/>
                <w:szCs w:val="22"/>
              </w:rPr>
            </w:pPr>
            <w:r>
              <w:rPr>
                <w:rFonts w:hint="eastAsia" w:ascii="宋体" w:hAnsi="宋体" w:eastAsia="宋体" w:cs="宋体"/>
                <w:b w:val="0"/>
                <w:bCs w:val="0"/>
                <w:sz w:val="22"/>
                <w:szCs w:val="22"/>
              </w:rPr>
              <w:t>可连接同一品牌输注泵，可在麻醉机屏幕上调节输注泵设置参数，可基于药代药效模型计算吸入麻药和静脉麻药的综合药效</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adjustRightInd w:val="0"/>
              <w:spacing w:line="360" w:lineRule="auto"/>
              <w:jc w:val="center"/>
              <w:rPr>
                <w:b w:val="0"/>
                <w:bCs w:val="0"/>
                <w:sz w:val="22"/>
                <w:szCs w:val="22"/>
              </w:rPr>
            </w:pPr>
            <w:r>
              <w:rPr>
                <w:rFonts w:hint="eastAsia" w:ascii="宋体" w:hAnsi="宋体" w:eastAsia="宋体" w:cs="宋体"/>
                <w:b w:val="0"/>
                <w:bCs w:val="0"/>
                <w:sz w:val="22"/>
                <w:szCs w:val="22"/>
              </w:rPr>
              <w:t>2.8.3</w:t>
            </w:r>
          </w:p>
        </w:tc>
        <w:tc>
          <w:tcPr>
            <w:tcW w:w="3620" w:type="pct"/>
            <w:noWrap w:val="0"/>
            <w:vAlign w:val="top"/>
          </w:tcPr>
          <w:p>
            <w:pPr>
              <w:adjustRightInd w:val="0"/>
              <w:spacing w:line="360" w:lineRule="auto"/>
              <w:rPr>
                <w:b w:val="0"/>
                <w:bCs w:val="0"/>
                <w:sz w:val="22"/>
                <w:szCs w:val="22"/>
              </w:rPr>
            </w:pPr>
            <w:r>
              <w:rPr>
                <w:rFonts w:hint="eastAsia" w:ascii="宋体" w:hAnsi="宋体" w:eastAsia="宋体" w:cs="宋体"/>
                <w:b w:val="0"/>
                <w:bCs w:val="0"/>
                <w:sz w:val="22"/>
                <w:szCs w:val="22"/>
              </w:rPr>
              <w:t>可扩展连接支持HL7协议的设备</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rPr>
              <w:t>▲</w:t>
            </w:r>
            <w:r>
              <w:rPr>
                <w:rFonts w:hint="eastAsia" w:cs="Times New Roman"/>
                <w:b/>
                <w:bCs w:val="0"/>
                <w:szCs w:val="21"/>
                <w:highlight w:val="none"/>
                <w:lang w:eastAsia="zh-CN"/>
              </w:rPr>
              <w:t>二</w:t>
            </w:r>
          </w:p>
        </w:tc>
        <w:tc>
          <w:tcPr>
            <w:tcW w:w="3620" w:type="pct"/>
            <w:noWrap w:val="0"/>
            <w:vAlign w:val="center"/>
          </w:tcPr>
          <w:p>
            <w:pPr>
              <w:pStyle w:val="25"/>
              <w:ind w:firstLine="0" w:firstLineChars="0"/>
              <w:jc w:val="left"/>
              <w:rPr>
                <w:sz w:val="24"/>
              </w:rPr>
            </w:pPr>
            <w:r>
              <w:rPr>
                <w:rFonts w:hint="eastAsia" w:ascii="宋体" w:hAnsi="宋体" w:eastAsia="宋体" w:cs="Times New Roman"/>
                <w:b/>
                <w:bCs w:val="0"/>
                <w:szCs w:val="21"/>
                <w:highlight w:val="none"/>
              </w:rPr>
              <w:t>配置</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w:t>
            </w:r>
          </w:p>
        </w:tc>
        <w:tc>
          <w:tcPr>
            <w:tcW w:w="3620" w:type="pct"/>
            <w:noWrap w:val="0"/>
            <w:vAlign w:val="center"/>
          </w:tcPr>
          <w:p>
            <w:pPr>
              <w:keepNext w:val="0"/>
              <w:keepLines w:val="0"/>
              <w:widowControl/>
              <w:suppressLineNumbers w:val="0"/>
              <w:jc w:val="left"/>
              <w:textAlignment w:val="center"/>
              <w:rPr>
                <w:sz w:val="24"/>
              </w:rPr>
            </w:pPr>
            <w:r>
              <w:rPr>
                <w:rFonts w:hint="eastAsia" w:ascii="宋体" w:hAnsi="宋体" w:cs="宋体"/>
                <w:i w:val="0"/>
                <w:iCs w:val="0"/>
                <w:color w:val="000000"/>
                <w:kern w:val="0"/>
                <w:sz w:val="22"/>
                <w:szCs w:val="22"/>
                <w:u w:val="none"/>
                <w:lang w:val="en-US" w:eastAsia="zh-CN" w:bidi="ar"/>
              </w:rPr>
              <w:t>麻醉机</w:t>
            </w:r>
            <w:r>
              <w:rPr>
                <w:rFonts w:hint="eastAsia" w:ascii="宋体" w:hAnsi="宋体" w:eastAsia="宋体" w:cs="宋体"/>
                <w:i w:val="0"/>
                <w:iCs w:val="0"/>
                <w:color w:val="000000"/>
                <w:kern w:val="0"/>
                <w:sz w:val="22"/>
                <w:szCs w:val="22"/>
                <w:u w:val="none"/>
                <w:lang w:val="en-US" w:eastAsia="zh-CN" w:bidi="ar"/>
              </w:rPr>
              <w:t>一套</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Times New Roman"/>
                <w:b w:val="0"/>
                <w:bCs/>
                <w:szCs w:val="21"/>
                <w:highlight w:val="none"/>
                <w:lang w:val="en-US" w:eastAsia="zh-CN"/>
              </w:rPr>
            </w:pPr>
            <w:r>
              <w:rPr>
                <w:rFonts w:hint="eastAsia" w:cs="Times New Roman"/>
                <w:b w:val="0"/>
                <w:bCs/>
                <w:szCs w:val="21"/>
                <w:highlight w:val="none"/>
                <w:lang w:val="en-US" w:eastAsia="zh-CN"/>
              </w:rPr>
              <w:t>2</w:t>
            </w:r>
          </w:p>
        </w:tc>
        <w:tc>
          <w:tcPr>
            <w:tcW w:w="3620" w:type="pct"/>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工作站一套</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default" w:cs="Times New Roman"/>
                <w:b w:val="0"/>
                <w:bCs/>
                <w:szCs w:val="21"/>
                <w:highlight w:val="none"/>
                <w:lang w:val="en-US" w:eastAsia="zh-CN"/>
              </w:rPr>
            </w:pPr>
            <w:r>
              <w:rPr>
                <w:rFonts w:hint="eastAsia" w:cs="Times New Roman"/>
                <w:b w:val="0"/>
                <w:bCs/>
                <w:szCs w:val="21"/>
                <w:highlight w:val="none"/>
                <w:lang w:val="en-US" w:eastAsia="zh-CN"/>
              </w:rPr>
              <w:t>3</w:t>
            </w:r>
          </w:p>
        </w:tc>
        <w:tc>
          <w:tcPr>
            <w:tcW w:w="3620" w:type="pct"/>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工作站支架一套</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5"/>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5"/>
              <w:ind w:firstLine="0" w:firstLineChars="0"/>
              <w:jc w:val="left"/>
              <w:rPr>
                <w:rStyle w:val="30"/>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5"/>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ascii="宋体" w:hAnsi="宋体" w:cs="Times New Roman"/>
                <w:b w:val="0"/>
                <w:bCs/>
                <w:color w:val="FF0000"/>
                <w:szCs w:val="21"/>
                <w:highlight w:val="none"/>
                <w:lang w:val="en-US" w:eastAsia="zh-CN"/>
              </w:rPr>
              <w:t>3</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5"/>
              <w:ind w:firstLine="0" w:firstLineChars="0"/>
              <w:jc w:val="left"/>
              <w:rPr>
                <w:rStyle w:val="30"/>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5"/>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5"/>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5"/>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5"/>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5"/>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5"/>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5"/>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5"/>
              <w:ind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5"/>
              <w:ind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5"/>
              <w:ind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5"/>
              <w:ind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5"/>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5"/>
              <w:ind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5"/>
              <w:ind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5"/>
              <w:ind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5"/>
              <w:ind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5"/>
              <w:ind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5"/>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5"/>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5"/>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5"/>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5"/>
              <w:ind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5"/>
              <w:ind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5"/>
              <w:ind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5"/>
              <w:ind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p>
        </w:tc>
        <w:tc>
          <w:tcPr>
            <w:tcW w:w="3620" w:type="pct"/>
            <w:noWrap w:val="0"/>
            <w:vAlign w:val="center"/>
          </w:tcPr>
          <w:p>
            <w:pPr>
              <w:pStyle w:val="25"/>
              <w:ind w:firstLine="0" w:firstLineChars="0"/>
              <w:jc w:val="left"/>
              <w:rPr>
                <w:sz w:val="24"/>
              </w:rPr>
            </w:pPr>
          </w:p>
        </w:tc>
        <w:tc>
          <w:tcPr>
            <w:tcW w:w="676" w:type="pct"/>
            <w:noWrap w:val="0"/>
            <w:vAlign w:val="center"/>
          </w:tcPr>
          <w:p>
            <w:pPr>
              <w:pStyle w:val="25"/>
              <w:ind w:firstLine="0" w:firstLineChars="0"/>
              <w:jc w:val="left"/>
              <w:rPr>
                <w:rStyle w:val="30"/>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5"/>
              <w:ind w:firstLine="0" w:firstLineChars="0"/>
              <w:jc w:val="center"/>
              <w:rPr>
                <w:sz w:val="24"/>
              </w:rPr>
            </w:pPr>
          </w:p>
        </w:tc>
        <w:tc>
          <w:tcPr>
            <w:tcW w:w="3620" w:type="pct"/>
            <w:noWrap w:val="0"/>
            <w:vAlign w:val="center"/>
          </w:tcPr>
          <w:p>
            <w:pPr>
              <w:pStyle w:val="25"/>
              <w:ind w:firstLine="0" w:firstLineChars="0"/>
              <w:jc w:val="left"/>
              <w:rPr>
                <w:sz w:val="24"/>
              </w:rPr>
            </w:pPr>
          </w:p>
        </w:tc>
        <w:tc>
          <w:tcPr>
            <w:tcW w:w="676" w:type="pct"/>
            <w:noWrap w:val="0"/>
            <w:vAlign w:val="center"/>
          </w:tcPr>
          <w:p>
            <w:pPr>
              <w:pStyle w:val="25"/>
              <w:ind w:firstLine="0" w:firstLineChars="0"/>
              <w:jc w:val="left"/>
              <w:rPr>
                <w:rStyle w:val="30"/>
                <w:rFonts w:ascii="Times New Roman" w:hAnsi="Times New Roman"/>
                <w:bCs w:val="0"/>
                <w:sz w:val="24"/>
                <w:szCs w:val="24"/>
              </w:rPr>
            </w:pPr>
          </w:p>
        </w:tc>
      </w:tr>
    </w:tbl>
    <w:p/>
    <w:p/>
    <w:p/>
    <w:p/>
    <w:p>
      <w:pPr>
        <w:pStyle w:val="12"/>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8"/>
          <w:rFonts w:hint="eastAsia" w:asciiTheme="minorEastAsia" w:hAnsiTheme="minorEastAsia" w:eastAsiaTheme="minorEastAsia" w:cstheme="minorEastAsia"/>
          <w:b/>
          <w:bCs/>
          <w:kern w:val="2"/>
          <w:sz w:val="32"/>
          <w:szCs w:val="32"/>
          <w:lang w:val="en-US" w:eastAsia="zh-CN" w:bidi="ar-SA"/>
        </w:rPr>
      </w:pPr>
      <w:r>
        <w:rPr>
          <w:rStyle w:val="18"/>
          <w:rFonts w:hint="eastAsia" w:asciiTheme="minorEastAsia" w:hAnsiTheme="minorEastAsia" w:eastAsiaTheme="minorEastAsia" w:cstheme="minorEastAsia"/>
          <w:b/>
          <w:bCs/>
          <w:kern w:val="2"/>
          <w:sz w:val="32"/>
          <w:szCs w:val="32"/>
          <w:lang w:val="en-US" w:eastAsia="zh-CN" w:bidi="ar-SA"/>
        </w:rPr>
        <w:t>评分细则</w:t>
      </w:r>
    </w:p>
    <w:tbl>
      <w:tblPr>
        <w:tblStyle w:val="15"/>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w:t>
            </w: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8"/>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2"/>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2"/>
        <w:keepNext w:val="0"/>
        <w:keepLines w:val="0"/>
        <w:widowControl/>
        <w:numPr>
          <w:ilvl w:val="0"/>
          <w:numId w:val="0"/>
        </w:numPr>
        <w:suppressLineNumbers w:val="0"/>
        <w:spacing w:before="255" w:beforeAutospacing="0" w:after="255" w:afterAutospacing="0" w:line="300" w:lineRule="atLeast"/>
        <w:ind w:leftChars="0" w:right="0" w:rightChars="0"/>
        <w:jc w:val="both"/>
        <w:rPr>
          <w:rStyle w:val="18"/>
          <w:rFonts w:hint="eastAsia" w:eastAsia="宋体" w:asciiTheme="minorEastAsia" w:hAnsiTheme="minorEastAsia" w:cstheme="minorEastAsia"/>
          <w:b/>
          <w:bCs/>
          <w:kern w:val="2"/>
          <w:sz w:val="32"/>
          <w:szCs w:val="32"/>
          <w:lang w:val="en-US" w:eastAsia="zh-CN" w:bidi="ar-SA"/>
        </w:rPr>
      </w:pPr>
    </w:p>
    <w:p>
      <w:pPr>
        <w:pStyle w:val="12"/>
        <w:keepNext w:val="0"/>
        <w:keepLines w:val="0"/>
        <w:widowControl/>
        <w:numPr>
          <w:ilvl w:val="0"/>
          <w:numId w:val="0"/>
        </w:numPr>
        <w:suppressLineNumbers w:val="0"/>
        <w:spacing w:before="255" w:beforeAutospacing="0" w:after="255" w:afterAutospacing="0" w:line="300" w:lineRule="atLeast"/>
        <w:ind w:leftChars="0" w:right="0" w:rightChars="0"/>
        <w:jc w:val="both"/>
        <w:rPr>
          <w:rStyle w:val="18"/>
          <w:rFonts w:hint="eastAsia" w:eastAsia="宋体" w:asciiTheme="minorEastAsia" w:hAnsiTheme="minorEastAsia" w:cstheme="minorEastAsia"/>
          <w:b/>
          <w:bCs/>
          <w:kern w:val="2"/>
          <w:sz w:val="32"/>
          <w:szCs w:val="32"/>
          <w:lang w:val="en-US" w:eastAsia="zh-CN" w:bidi="ar-SA"/>
        </w:rPr>
      </w:pPr>
    </w:p>
    <w:p>
      <w:pPr>
        <w:pStyle w:val="12"/>
        <w:keepNext w:val="0"/>
        <w:keepLines w:val="0"/>
        <w:widowControl/>
        <w:numPr>
          <w:ilvl w:val="0"/>
          <w:numId w:val="0"/>
        </w:numPr>
        <w:suppressLineNumbers w:val="0"/>
        <w:spacing w:before="255" w:beforeAutospacing="0" w:after="255" w:afterAutospacing="0" w:line="300" w:lineRule="atLeast"/>
        <w:ind w:leftChars="0" w:right="0" w:rightChars="0"/>
        <w:jc w:val="both"/>
        <w:rPr>
          <w:rStyle w:val="18"/>
          <w:rFonts w:hint="eastAsia" w:eastAsia="宋体" w:asciiTheme="minorEastAsia" w:hAnsiTheme="minorEastAsia" w:cstheme="minorEastAsia"/>
          <w:b/>
          <w:bCs/>
          <w:kern w:val="2"/>
          <w:sz w:val="32"/>
          <w:szCs w:val="32"/>
          <w:lang w:val="en-US" w:eastAsia="zh-CN" w:bidi="ar-SA"/>
        </w:rPr>
      </w:pPr>
    </w:p>
    <w:p>
      <w:pPr>
        <w:pStyle w:val="12"/>
        <w:keepNext w:val="0"/>
        <w:keepLines w:val="0"/>
        <w:widowControl/>
        <w:numPr>
          <w:ilvl w:val="0"/>
          <w:numId w:val="0"/>
        </w:numPr>
        <w:suppressLineNumbers w:val="0"/>
        <w:spacing w:before="255" w:beforeAutospacing="0" w:after="255" w:afterAutospacing="0" w:line="300" w:lineRule="atLeast"/>
        <w:ind w:leftChars="0" w:right="0" w:rightChars="0"/>
        <w:jc w:val="both"/>
        <w:rPr>
          <w:rStyle w:val="18"/>
          <w:rFonts w:hint="eastAsia" w:eastAsia="宋体" w:asciiTheme="minorEastAsia" w:hAnsiTheme="minorEastAsia" w:cstheme="minorEastAsia"/>
          <w:b/>
          <w:bCs/>
          <w:kern w:val="2"/>
          <w:sz w:val="32"/>
          <w:szCs w:val="32"/>
          <w:lang w:val="en-US" w:eastAsia="zh-CN" w:bidi="ar-SA"/>
        </w:rPr>
      </w:pPr>
    </w:p>
    <w:p>
      <w:pPr>
        <w:pStyle w:val="12"/>
        <w:keepNext w:val="0"/>
        <w:keepLines w:val="0"/>
        <w:widowControl/>
        <w:numPr>
          <w:ilvl w:val="0"/>
          <w:numId w:val="0"/>
        </w:numPr>
        <w:suppressLineNumbers w:val="0"/>
        <w:spacing w:before="255" w:beforeAutospacing="0" w:after="255" w:afterAutospacing="0" w:line="300" w:lineRule="atLeast"/>
        <w:ind w:leftChars="0" w:right="0" w:rightChars="0"/>
        <w:jc w:val="both"/>
        <w:rPr>
          <w:rStyle w:val="18"/>
          <w:rFonts w:hint="default" w:eastAsia="宋体" w:asciiTheme="minorEastAsia" w:hAnsiTheme="minorEastAsia" w:cstheme="minorEastAsia"/>
          <w:b/>
          <w:bCs/>
          <w:kern w:val="2"/>
          <w:sz w:val="32"/>
          <w:szCs w:val="32"/>
          <w:lang w:val="en-US" w:eastAsia="zh-CN" w:bidi="ar-SA"/>
        </w:rPr>
      </w:pPr>
      <w:r>
        <w:rPr>
          <w:rStyle w:val="18"/>
          <w:rFonts w:hint="eastAsia" w:eastAsia="宋体" w:asciiTheme="minorEastAsia" w:hAnsiTheme="minorEastAsia" w:cstheme="minorEastAsia"/>
          <w:b/>
          <w:bCs/>
          <w:kern w:val="2"/>
          <w:sz w:val="32"/>
          <w:szCs w:val="32"/>
          <w:lang w:val="en-US" w:eastAsia="zh-CN" w:bidi="ar-SA"/>
        </w:rPr>
        <w:t>九、我院正式合同版本</w:t>
      </w:r>
    </w:p>
    <w:p>
      <w:pPr>
        <w:pStyle w:val="13"/>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5"/>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4"/>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4"/>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4"/>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4"/>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4"/>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4"/>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4"/>
              <w:jc w:val="center"/>
              <w:rPr>
                <w:b/>
                <w:color w:val="000000" w:themeColor="text1"/>
                <w:sz w:val="22"/>
                <w:szCs w:val="22"/>
                <w:lang w:val="en-US"/>
                <w14:textFill>
                  <w14:solidFill>
                    <w14:schemeClr w14:val="tx1"/>
                  </w14:solidFill>
                </w14:textFill>
              </w:rPr>
            </w:pPr>
          </w:p>
        </w:tc>
        <w:tc>
          <w:tcPr>
            <w:tcW w:w="1418" w:type="dxa"/>
            <w:vAlign w:val="center"/>
          </w:tcPr>
          <w:p>
            <w:pPr>
              <w:pStyle w:val="24"/>
              <w:jc w:val="center"/>
              <w:rPr>
                <w:b/>
                <w:color w:val="000000" w:themeColor="text1"/>
                <w:sz w:val="22"/>
                <w:szCs w:val="22"/>
                <w:lang w:val="en-US"/>
                <w14:textFill>
                  <w14:solidFill>
                    <w14:schemeClr w14:val="tx1"/>
                  </w14:solidFill>
                </w14:textFill>
              </w:rPr>
            </w:pPr>
          </w:p>
        </w:tc>
        <w:tc>
          <w:tcPr>
            <w:tcW w:w="1559" w:type="dxa"/>
            <w:vAlign w:val="center"/>
          </w:tcPr>
          <w:p>
            <w:pPr>
              <w:pStyle w:val="24"/>
              <w:jc w:val="center"/>
              <w:rPr>
                <w:b/>
                <w:color w:val="000000" w:themeColor="text1"/>
                <w:sz w:val="22"/>
                <w:szCs w:val="22"/>
                <w:lang w:val="en-US"/>
                <w14:textFill>
                  <w14:solidFill>
                    <w14:schemeClr w14:val="tx1"/>
                  </w14:solidFill>
                </w14:textFill>
              </w:rPr>
            </w:pPr>
          </w:p>
        </w:tc>
        <w:tc>
          <w:tcPr>
            <w:tcW w:w="2126" w:type="dxa"/>
            <w:vAlign w:val="center"/>
          </w:tcPr>
          <w:p>
            <w:pPr>
              <w:pStyle w:val="24"/>
              <w:jc w:val="center"/>
              <w:rPr>
                <w:rFonts w:ascii="Verdana"/>
                <w:color w:val="000000" w:themeColor="text1"/>
                <w:sz w:val="22"/>
                <w:szCs w:val="22"/>
                <w14:textFill>
                  <w14:solidFill>
                    <w14:schemeClr w14:val="tx1"/>
                  </w14:solidFill>
                </w14:textFill>
              </w:rPr>
            </w:pPr>
          </w:p>
        </w:tc>
        <w:tc>
          <w:tcPr>
            <w:tcW w:w="993" w:type="dxa"/>
            <w:vAlign w:val="center"/>
          </w:tcPr>
          <w:p>
            <w:pPr>
              <w:pStyle w:val="24"/>
              <w:jc w:val="center"/>
              <w:rPr>
                <w:rFonts w:ascii="Verdana"/>
                <w:color w:val="000000" w:themeColor="text1"/>
                <w:sz w:val="22"/>
                <w:szCs w:val="22"/>
                <w14:textFill>
                  <w14:solidFill>
                    <w14:schemeClr w14:val="tx1"/>
                  </w14:solidFill>
                </w14:textFill>
              </w:rPr>
            </w:pPr>
          </w:p>
        </w:tc>
        <w:tc>
          <w:tcPr>
            <w:tcW w:w="1353" w:type="dxa"/>
            <w:vAlign w:val="center"/>
          </w:tcPr>
          <w:p>
            <w:pPr>
              <w:pStyle w:val="24"/>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4"/>
              <w:jc w:val="center"/>
              <w:rPr>
                <w:b/>
                <w:color w:val="000000" w:themeColor="text1"/>
                <w:sz w:val="22"/>
                <w:szCs w:val="22"/>
                <w:lang w:val="en-US"/>
                <w14:textFill>
                  <w14:solidFill>
                    <w14:schemeClr w14:val="tx1"/>
                  </w14:solidFill>
                </w14:textFill>
              </w:rPr>
            </w:pPr>
          </w:p>
        </w:tc>
        <w:tc>
          <w:tcPr>
            <w:tcW w:w="1418" w:type="dxa"/>
            <w:vAlign w:val="center"/>
          </w:tcPr>
          <w:p>
            <w:pPr>
              <w:pStyle w:val="24"/>
              <w:jc w:val="center"/>
              <w:rPr>
                <w:b/>
                <w:color w:val="000000" w:themeColor="text1"/>
                <w:sz w:val="22"/>
                <w:szCs w:val="22"/>
                <w:lang w:val="en-US"/>
                <w14:textFill>
                  <w14:solidFill>
                    <w14:schemeClr w14:val="tx1"/>
                  </w14:solidFill>
                </w14:textFill>
              </w:rPr>
            </w:pPr>
          </w:p>
        </w:tc>
        <w:tc>
          <w:tcPr>
            <w:tcW w:w="1559" w:type="dxa"/>
            <w:vAlign w:val="center"/>
          </w:tcPr>
          <w:p>
            <w:pPr>
              <w:pStyle w:val="24"/>
              <w:jc w:val="center"/>
              <w:rPr>
                <w:b/>
                <w:color w:val="000000" w:themeColor="text1"/>
                <w:sz w:val="22"/>
                <w:szCs w:val="22"/>
                <w:lang w:val="en-US"/>
                <w14:textFill>
                  <w14:solidFill>
                    <w14:schemeClr w14:val="tx1"/>
                  </w14:solidFill>
                </w14:textFill>
              </w:rPr>
            </w:pPr>
          </w:p>
        </w:tc>
        <w:tc>
          <w:tcPr>
            <w:tcW w:w="2126" w:type="dxa"/>
            <w:vAlign w:val="center"/>
          </w:tcPr>
          <w:p>
            <w:pPr>
              <w:pStyle w:val="24"/>
              <w:jc w:val="center"/>
              <w:rPr>
                <w:rFonts w:ascii="Verdana"/>
                <w:color w:val="000000" w:themeColor="text1"/>
                <w:sz w:val="22"/>
                <w:szCs w:val="22"/>
                <w14:textFill>
                  <w14:solidFill>
                    <w14:schemeClr w14:val="tx1"/>
                  </w14:solidFill>
                </w14:textFill>
              </w:rPr>
            </w:pPr>
          </w:p>
        </w:tc>
        <w:tc>
          <w:tcPr>
            <w:tcW w:w="993" w:type="dxa"/>
            <w:vAlign w:val="center"/>
          </w:tcPr>
          <w:p>
            <w:pPr>
              <w:pStyle w:val="24"/>
              <w:jc w:val="center"/>
              <w:rPr>
                <w:rFonts w:ascii="Verdana"/>
                <w:color w:val="000000" w:themeColor="text1"/>
                <w:sz w:val="22"/>
                <w:szCs w:val="22"/>
                <w14:textFill>
                  <w14:solidFill>
                    <w14:schemeClr w14:val="tx1"/>
                  </w14:solidFill>
                </w14:textFill>
              </w:rPr>
            </w:pPr>
          </w:p>
        </w:tc>
        <w:tc>
          <w:tcPr>
            <w:tcW w:w="1353" w:type="dxa"/>
            <w:vAlign w:val="center"/>
          </w:tcPr>
          <w:p>
            <w:pPr>
              <w:pStyle w:val="24"/>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4"/>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5"/>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5"/>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5"/>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5"/>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5"/>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5"/>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5"/>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5"/>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5"/>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5"/>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5"/>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5"/>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5"/>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5"/>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5"/>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5"/>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5"/>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5"/>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5"/>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5"/>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5"/>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5"/>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5"/>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5"/>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5"/>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5"/>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5"/>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5"/>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5"/>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5"/>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5"/>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5"/>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5"/>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5"/>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5"/>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5"/>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5"/>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5"/>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5"/>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5"/>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5"/>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5"/>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5"/>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5"/>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7"/>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7"/>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7"/>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7"/>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7"/>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7"/>
              <w:spacing w:line="460" w:lineRule="atLeast"/>
              <w:ind w:firstLine="469"/>
              <w:jc w:val="center"/>
              <w:rPr>
                <w:rFonts w:hint="eastAsia" w:hAnsi="宋体"/>
                <w:sz w:val="22"/>
                <w:szCs w:val="22"/>
              </w:rPr>
            </w:pPr>
          </w:p>
        </w:tc>
        <w:tc>
          <w:tcPr>
            <w:tcW w:w="2212" w:type="dxa"/>
            <w:noWrap w:val="0"/>
            <w:vAlign w:val="center"/>
          </w:tcPr>
          <w:p>
            <w:pPr>
              <w:pStyle w:val="7"/>
              <w:spacing w:line="460" w:lineRule="atLeast"/>
              <w:ind w:firstLine="469"/>
              <w:jc w:val="center"/>
              <w:rPr>
                <w:rFonts w:hint="eastAsia" w:hAnsi="宋体"/>
                <w:sz w:val="22"/>
                <w:szCs w:val="22"/>
              </w:rPr>
            </w:pPr>
          </w:p>
        </w:tc>
        <w:tc>
          <w:tcPr>
            <w:tcW w:w="2441" w:type="dxa"/>
            <w:noWrap w:val="0"/>
            <w:vAlign w:val="center"/>
          </w:tcPr>
          <w:p>
            <w:pPr>
              <w:pStyle w:val="7"/>
              <w:spacing w:line="460" w:lineRule="atLeast"/>
              <w:ind w:firstLine="469"/>
              <w:jc w:val="center"/>
              <w:rPr>
                <w:rFonts w:hint="eastAsia" w:hAnsi="宋体"/>
                <w:sz w:val="22"/>
                <w:szCs w:val="22"/>
              </w:rPr>
            </w:pPr>
          </w:p>
        </w:tc>
        <w:tc>
          <w:tcPr>
            <w:tcW w:w="2263" w:type="dxa"/>
            <w:noWrap w:val="0"/>
            <w:vAlign w:val="center"/>
          </w:tcPr>
          <w:p>
            <w:pPr>
              <w:pStyle w:val="7"/>
              <w:spacing w:line="460" w:lineRule="atLeast"/>
              <w:jc w:val="center"/>
              <w:rPr>
                <w:rFonts w:hint="eastAsia" w:hAnsi="宋体"/>
                <w:sz w:val="22"/>
                <w:szCs w:val="22"/>
              </w:rPr>
            </w:pPr>
          </w:p>
        </w:tc>
        <w:tc>
          <w:tcPr>
            <w:tcW w:w="1651" w:type="dxa"/>
            <w:noWrap w:val="0"/>
            <w:vAlign w:val="center"/>
          </w:tcPr>
          <w:p>
            <w:pPr>
              <w:pStyle w:val="7"/>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7"/>
              <w:spacing w:line="460" w:lineRule="atLeast"/>
              <w:ind w:firstLine="469"/>
              <w:jc w:val="center"/>
              <w:rPr>
                <w:rFonts w:hint="eastAsia" w:hAnsi="宋体"/>
                <w:sz w:val="22"/>
                <w:szCs w:val="22"/>
              </w:rPr>
            </w:pPr>
          </w:p>
        </w:tc>
        <w:tc>
          <w:tcPr>
            <w:tcW w:w="2212" w:type="dxa"/>
            <w:noWrap w:val="0"/>
            <w:vAlign w:val="center"/>
          </w:tcPr>
          <w:p>
            <w:pPr>
              <w:pStyle w:val="7"/>
              <w:spacing w:line="460" w:lineRule="atLeast"/>
              <w:ind w:firstLine="469"/>
              <w:jc w:val="center"/>
              <w:rPr>
                <w:rFonts w:hint="eastAsia" w:hAnsi="宋体"/>
                <w:sz w:val="22"/>
                <w:szCs w:val="22"/>
              </w:rPr>
            </w:pPr>
          </w:p>
        </w:tc>
        <w:tc>
          <w:tcPr>
            <w:tcW w:w="2441" w:type="dxa"/>
            <w:noWrap w:val="0"/>
            <w:vAlign w:val="center"/>
          </w:tcPr>
          <w:p>
            <w:pPr>
              <w:pStyle w:val="7"/>
              <w:spacing w:line="460" w:lineRule="atLeast"/>
              <w:ind w:firstLine="469"/>
              <w:jc w:val="center"/>
              <w:rPr>
                <w:rFonts w:hint="eastAsia" w:hAnsi="宋体"/>
                <w:sz w:val="22"/>
                <w:szCs w:val="22"/>
              </w:rPr>
            </w:pPr>
          </w:p>
        </w:tc>
        <w:tc>
          <w:tcPr>
            <w:tcW w:w="2263" w:type="dxa"/>
            <w:noWrap w:val="0"/>
            <w:vAlign w:val="center"/>
          </w:tcPr>
          <w:p>
            <w:pPr>
              <w:pStyle w:val="7"/>
              <w:spacing w:line="460" w:lineRule="atLeast"/>
              <w:jc w:val="center"/>
              <w:rPr>
                <w:rFonts w:hint="eastAsia" w:hAnsi="宋体"/>
                <w:sz w:val="22"/>
                <w:szCs w:val="22"/>
              </w:rPr>
            </w:pPr>
          </w:p>
        </w:tc>
        <w:tc>
          <w:tcPr>
            <w:tcW w:w="1651" w:type="dxa"/>
            <w:noWrap w:val="0"/>
            <w:vAlign w:val="center"/>
          </w:tcPr>
          <w:p>
            <w:pPr>
              <w:pStyle w:val="7"/>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7"/>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7"/>
              <w:spacing w:line="460" w:lineRule="atLeast"/>
              <w:ind w:firstLine="469"/>
              <w:rPr>
                <w:rFonts w:hint="eastAsia" w:hAnsi="宋体"/>
                <w:sz w:val="22"/>
                <w:szCs w:val="22"/>
              </w:rPr>
            </w:pPr>
          </w:p>
        </w:tc>
        <w:tc>
          <w:tcPr>
            <w:tcW w:w="8567" w:type="dxa"/>
            <w:gridSpan w:val="4"/>
            <w:noWrap w:val="0"/>
            <w:vAlign w:val="center"/>
          </w:tcPr>
          <w:p>
            <w:pPr>
              <w:pStyle w:val="7"/>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7"/>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5"/>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11"/>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11"/>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11"/>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11"/>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11"/>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2"/>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2"/>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2"/>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2"/>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2"/>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2"/>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2"/>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2"/>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2"/>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p>
      <w:pPr>
        <w:rPr>
          <w:rFonts w:hint="default"/>
          <w:lang w:val="en-US" w:eastAsia="zh-CN"/>
        </w:rPr>
      </w:pPr>
    </w:p>
    <w:sectPr>
      <w:headerReference r:id="rId8" w:type="default"/>
      <w:footerReference r:id="rId9"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0</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ascii="楷体_GB2312" w:eastAsia="楷体_GB2312"/>
      </w:rPr>
    </w:pPr>
    <w:r>
      <w:rPr>
        <w:rStyle w:val="19"/>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ind w:right="-82"/>
      <w:rPr>
        <w:rFonts w:hint="eastAsia"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7761DC"/>
    <w:rsid w:val="037819C8"/>
    <w:rsid w:val="04165086"/>
    <w:rsid w:val="050E7EED"/>
    <w:rsid w:val="05DC159B"/>
    <w:rsid w:val="07827398"/>
    <w:rsid w:val="079468F0"/>
    <w:rsid w:val="088815A9"/>
    <w:rsid w:val="0A277157"/>
    <w:rsid w:val="0A323667"/>
    <w:rsid w:val="0A964758"/>
    <w:rsid w:val="0B691EBF"/>
    <w:rsid w:val="0BDB7828"/>
    <w:rsid w:val="0D3C3F90"/>
    <w:rsid w:val="0D6B27A0"/>
    <w:rsid w:val="0D737863"/>
    <w:rsid w:val="0E686877"/>
    <w:rsid w:val="0F413145"/>
    <w:rsid w:val="0F9D510C"/>
    <w:rsid w:val="10827943"/>
    <w:rsid w:val="109B7C74"/>
    <w:rsid w:val="11D15B1C"/>
    <w:rsid w:val="11D56F8A"/>
    <w:rsid w:val="12531874"/>
    <w:rsid w:val="129A029D"/>
    <w:rsid w:val="12C9410A"/>
    <w:rsid w:val="136E04B8"/>
    <w:rsid w:val="13BA6745"/>
    <w:rsid w:val="14C02644"/>
    <w:rsid w:val="157B401A"/>
    <w:rsid w:val="165B3C1A"/>
    <w:rsid w:val="17453125"/>
    <w:rsid w:val="182217CF"/>
    <w:rsid w:val="184F31D7"/>
    <w:rsid w:val="19915A12"/>
    <w:rsid w:val="19FB42F7"/>
    <w:rsid w:val="1A2E6DE6"/>
    <w:rsid w:val="1ABB0DE6"/>
    <w:rsid w:val="1D4821A9"/>
    <w:rsid w:val="202B56B1"/>
    <w:rsid w:val="209E6C14"/>
    <w:rsid w:val="20E25803"/>
    <w:rsid w:val="210D27F9"/>
    <w:rsid w:val="22723315"/>
    <w:rsid w:val="22CF7097"/>
    <w:rsid w:val="22E944F8"/>
    <w:rsid w:val="232E51F6"/>
    <w:rsid w:val="23705E06"/>
    <w:rsid w:val="23884864"/>
    <w:rsid w:val="23F94820"/>
    <w:rsid w:val="24170AD0"/>
    <w:rsid w:val="24C52651"/>
    <w:rsid w:val="27E45486"/>
    <w:rsid w:val="28DD687E"/>
    <w:rsid w:val="2B057E38"/>
    <w:rsid w:val="2BA52826"/>
    <w:rsid w:val="2CA43435"/>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6E440AD"/>
    <w:rsid w:val="37C66C9B"/>
    <w:rsid w:val="37D14649"/>
    <w:rsid w:val="3877509F"/>
    <w:rsid w:val="397306B8"/>
    <w:rsid w:val="39BD6D12"/>
    <w:rsid w:val="3BB420F5"/>
    <w:rsid w:val="3DB75172"/>
    <w:rsid w:val="3E9950E6"/>
    <w:rsid w:val="3F1B3C4A"/>
    <w:rsid w:val="402E62DF"/>
    <w:rsid w:val="402F4957"/>
    <w:rsid w:val="405108FA"/>
    <w:rsid w:val="40751336"/>
    <w:rsid w:val="4136403A"/>
    <w:rsid w:val="41EF774F"/>
    <w:rsid w:val="421F2E2C"/>
    <w:rsid w:val="42660058"/>
    <w:rsid w:val="43824C1A"/>
    <w:rsid w:val="43A157C9"/>
    <w:rsid w:val="441F174E"/>
    <w:rsid w:val="447334B4"/>
    <w:rsid w:val="449C5243"/>
    <w:rsid w:val="449E2D2B"/>
    <w:rsid w:val="44F12C88"/>
    <w:rsid w:val="458A740C"/>
    <w:rsid w:val="46094A05"/>
    <w:rsid w:val="460A3EB2"/>
    <w:rsid w:val="47537CEB"/>
    <w:rsid w:val="477517FF"/>
    <w:rsid w:val="479F5F87"/>
    <w:rsid w:val="49580476"/>
    <w:rsid w:val="497E50E4"/>
    <w:rsid w:val="49942410"/>
    <w:rsid w:val="49CC2349"/>
    <w:rsid w:val="4A254910"/>
    <w:rsid w:val="4AA864D5"/>
    <w:rsid w:val="4B623E4F"/>
    <w:rsid w:val="4B956476"/>
    <w:rsid w:val="4CBE1552"/>
    <w:rsid w:val="4D3D3121"/>
    <w:rsid w:val="4D5D2365"/>
    <w:rsid w:val="4DCB17F7"/>
    <w:rsid w:val="4ED83989"/>
    <w:rsid w:val="4FF8334D"/>
    <w:rsid w:val="5105209D"/>
    <w:rsid w:val="525956D3"/>
    <w:rsid w:val="5273518F"/>
    <w:rsid w:val="529E0326"/>
    <w:rsid w:val="53423D16"/>
    <w:rsid w:val="534B0A6F"/>
    <w:rsid w:val="539D45B7"/>
    <w:rsid w:val="53CA557A"/>
    <w:rsid w:val="545A32FC"/>
    <w:rsid w:val="547D6E0D"/>
    <w:rsid w:val="55382DBA"/>
    <w:rsid w:val="55596194"/>
    <w:rsid w:val="55950B3F"/>
    <w:rsid w:val="56A54B82"/>
    <w:rsid w:val="57193C9E"/>
    <w:rsid w:val="584110E8"/>
    <w:rsid w:val="587C329C"/>
    <w:rsid w:val="595B205E"/>
    <w:rsid w:val="5A4777C5"/>
    <w:rsid w:val="5A6E001E"/>
    <w:rsid w:val="5AE71C9E"/>
    <w:rsid w:val="5CAD7C22"/>
    <w:rsid w:val="5CD36D91"/>
    <w:rsid w:val="5DEC7787"/>
    <w:rsid w:val="5DFE7766"/>
    <w:rsid w:val="60D904D8"/>
    <w:rsid w:val="60F93F09"/>
    <w:rsid w:val="61EE2A98"/>
    <w:rsid w:val="646461A1"/>
    <w:rsid w:val="649D4417"/>
    <w:rsid w:val="65D31C24"/>
    <w:rsid w:val="6634293C"/>
    <w:rsid w:val="669F4579"/>
    <w:rsid w:val="680678AC"/>
    <w:rsid w:val="683E0693"/>
    <w:rsid w:val="685E7C65"/>
    <w:rsid w:val="68AB5C34"/>
    <w:rsid w:val="68D67EF7"/>
    <w:rsid w:val="694279A9"/>
    <w:rsid w:val="698F00A6"/>
    <w:rsid w:val="6A052E9A"/>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8F3673"/>
    <w:rsid w:val="755C54CB"/>
    <w:rsid w:val="762B73A9"/>
    <w:rsid w:val="76562678"/>
    <w:rsid w:val="772F4719"/>
    <w:rsid w:val="773504DF"/>
    <w:rsid w:val="77FD6A1D"/>
    <w:rsid w:val="78667688"/>
    <w:rsid w:val="79492020"/>
    <w:rsid w:val="79B62264"/>
    <w:rsid w:val="7A192AA7"/>
    <w:rsid w:val="7B395E66"/>
    <w:rsid w:val="7C0B3B0A"/>
    <w:rsid w:val="7C4831AB"/>
    <w:rsid w:val="7CA6287C"/>
    <w:rsid w:val="7E3135CA"/>
    <w:rsid w:val="7E4702F4"/>
    <w:rsid w:val="7E677C6B"/>
    <w:rsid w:val="7ECD6788"/>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ody Text Indent"/>
    <w:basedOn w:val="1"/>
    <w:autoRedefine/>
    <w:qFormat/>
    <w:uiPriority w:val="0"/>
    <w:pPr>
      <w:spacing w:line="360" w:lineRule="auto"/>
      <w:ind w:left="720" w:hanging="720" w:hangingChars="300"/>
    </w:pPr>
    <w:rPr>
      <w:sz w:val="24"/>
      <w:szCs w:val="20"/>
    </w:rPr>
  </w:style>
  <w:style w:type="paragraph" w:styleId="6">
    <w:name w:val="Block Text"/>
    <w:basedOn w:val="1"/>
    <w:autoRedefine/>
    <w:qFormat/>
    <w:uiPriority w:val="0"/>
    <w:pPr>
      <w:spacing w:after="120"/>
      <w:ind w:left="1440" w:leftChars="700" w:right="1440" w:rightChars="700"/>
    </w:pPr>
    <w:rPr>
      <w:rFonts w:ascii="Calibri" w:hAnsi="Calibri"/>
    </w:rPr>
  </w:style>
  <w:style w:type="paragraph" w:styleId="7">
    <w:name w:val="Plain Text"/>
    <w:basedOn w:val="1"/>
    <w:autoRedefine/>
    <w:qFormat/>
    <w:uiPriority w:val="0"/>
    <w:rPr>
      <w:rFonts w:ascii="宋体" w:hAnsi="Courier New" w:cs="Courier New"/>
      <w:szCs w:val="21"/>
    </w:rPr>
  </w:style>
  <w:style w:type="paragraph" w:styleId="8">
    <w:name w:val="Date"/>
    <w:basedOn w:val="1"/>
    <w:next w:val="1"/>
    <w:autoRedefine/>
    <w:qFormat/>
    <w:uiPriority w:val="0"/>
    <w:rPr>
      <w:szCs w:val="20"/>
    </w:r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autoRedefine/>
    <w:qFormat/>
    <w:uiPriority w:val="0"/>
    <w:pPr>
      <w:ind w:left="200" w:hanging="200" w:hangingChars="200"/>
    </w:pPr>
    <w:rPr>
      <w:sz w:val="36"/>
    </w:rPr>
  </w:style>
  <w:style w:type="paragraph" w:styleId="12">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4">
    <w:name w:val="Body Text First Indent"/>
    <w:basedOn w:val="1"/>
    <w:autoRedefine/>
    <w:qFormat/>
    <w:uiPriority w:val="0"/>
    <w:pPr>
      <w:ind w:firstLine="420"/>
    </w:pPr>
    <w:rPr>
      <w:rFonts w:ascii="Calibri" w:hAnsi="Calibri" w:eastAsia="宋体" w:cs="Times New Roman"/>
    </w:rPr>
  </w:style>
  <w:style w:type="table" w:styleId="16">
    <w:name w:val="Table Grid"/>
    <w:basedOn w:val="15"/>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22"/>
    <w:rPr>
      <w:b/>
    </w:rPr>
  </w:style>
  <w:style w:type="character" w:styleId="19">
    <w:name w:val="page number"/>
    <w:basedOn w:val="17"/>
    <w:autoRedefine/>
    <w:qFormat/>
    <w:uiPriority w:val="0"/>
  </w:style>
  <w:style w:type="character" w:styleId="20">
    <w:name w:val="Emphasis"/>
    <w:autoRedefine/>
    <w:qFormat/>
    <w:uiPriority w:val="20"/>
    <w:rPr>
      <w:i/>
      <w:iCs/>
    </w:rPr>
  </w:style>
  <w:style w:type="character" w:styleId="21">
    <w:name w:val="Hyperlink"/>
    <w:basedOn w:val="17"/>
    <w:autoRedefine/>
    <w:qFormat/>
    <w:uiPriority w:val="0"/>
    <w:rPr>
      <w:color w:val="0000FF"/>
      <w:u w:val="single"/>
    </w:rPr>
  </w:style>
  <w:style w:type="character" w:customStyle="1" w:styleId="22">
    <w:name w:val="页眉 Char"/>
    <w:basedOn w:val="17"/>
    <w:link w:val="10"/>
    <w:autoRedefine/>
    <w:qFormat/>
    <w:uiPriority w:val="99"/>
    <w:rPr>
      <w:sz w:val="18"/>
      <w:szCs w:val="18"/>
    </w:rPr>
  </w:style>
  <w:style w:type="character" w:customStyle="1" w:styleId="23">
    <w:name w:val="页脚 Char"/>
    <w:basedOn w:val="17"/>
    <w:link w:val="9"/>
    <w:autoRedefine/>
    <w:qFormat/>
    <w:uiPriority w:val="99"/>
    <w:rPr>
      <w:sz w:val="18"/>
      <w:szCs w:val="18"/>
    </w:rPr>
  </w:style>
  <w:style w:type="paragraph" w:customStyle="1" w:styleId="24">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5">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6">
    <w:name w:val="NormalCharacter"/>
    <w:autoRedefine/>
    <w:semiHidden/>
    <w:qFormat/>
    <w:uiPriority w:val="0"/>
  </w:style>
  <w:style w:type="character" w:customStyle="1" w:styleId="27">
    <w:name w:val="font31"/>
    <w:basedOn w:val="17"/>
    <w:autoRedefine/>
    <w:qFormat/>
    <w:uiPriority w:val="0"/>
    <w:rPr>
      <w:rFonts w:hint="eastAsia" w:ascii="宋体" w:hAnsi="宋体" w:eastAsia="宋体" w:cs="宋体"/>
      <w:color w:val="000000"/>
      <w:sz w:val="24"/>
      <w:szCs w:val="24"/>
      <w:u w:val="none"/>
    </w:rPr>
  </w:style>
  <w:style w:type="character" w:customStyle="1" w:styleId="28">
    <w:name w:val="font11"/>
    <w:basedOn w:val="17"/>
    <w:autoRedefine/>
    <w:qFormat/>
    <w:uiPriority w:val="0"/>
    <w:rPr>
      <w:rFonts w:hint="eastAsia" w:ascii="宋体" w:hAnsi="宋体" w:eastAsia="宋体" w:cs="宋体"/>
      <w:color w:val="000000"/>
      <w:sz w:val="24"/>
      <w:szCs w:val="24"/>
      <w:u w:val="none"/>
    </w:rPr>
  </w:style>
  <w:style w:type="character" w:customStyle="1" w:styleId="29">
    <w:name w:val="font41"/>
    <w:basedOn w:val="17"/>
    <w:autoRedefine/>
    <w:qFormat/>
    <w:uiPriority w:val="0"/>
    <w:rPr>
      <w:rFonts w:hint="eastAsia" w:ascii="宋体" w:hAnsi="宋体" w:eastAsia="宋体" w:cs="宋体"/>
      <w:b/>
      <w:bCs/>
      <w:color w:val="000000"/>
      <w:sz w:val="24"/>
      <w:szCs w:val="24"/>
      <w:u w:val="none"/>
    </w:rPr>
  </w:style>
  <w:style w:type="character" w:customStyle="1" w:styleId="30">
    <w:name w:val="Anrede1IhrZeichen"/>
    <w:autoRedefine/>
    <w:qFormat/>
    <w:uiPriority w:val="0"/>
    <w:rPr>
      <w:rFonts w:hint="default" w:ascii="Arial" w:hAnsi="Arial"/>
      <w:sz w:val="20"/>
    </w:rPr>
  </w:style>
  <w:style w:type="paragraph" w:customStyle="1" w:styleId="31">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2">
    <w:name w:val="Plain Text1"/>
    <w:basedOn w:val="33"/>
    <w:autoRedefine/>
    <w:qFormat/>
    <w:uiPriority w:val="0"/>
    <w:pPr>
      <w:widowControl/>
      <w:jc w:val="left"/>
    </w:pPr>
    <w:rPr>
      <w:rFonts w:ascii="宋体" w:hAnsi="Courier New"/>
    </w:rPr>
  </w:style>
  <w:style w:type="paragraph" w:customStyle="1" w:styleId="33">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4">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5">
    <w:name w:val="font21"/>
    <w:basedOn w:val="17"/>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20</Pages>
  <Words>1382</Words>
  <Characters>1448</Characters>
  <Lines>6</Lines>
  <Paragraphs>1</Paragraphs>
  <TotalTime>3</TotalTime>
  <ScaleCrop>false</ScaleCrop>
  <LinksUpToDate>false</LinksUpToDate>
  <CharactersWithSpaces>1454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2026-05-13T07:13:21Z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24DE3D1497D848C192623F9C74286B02_13</vt:lpwstr>
  </property>
  <property fmtid="{D5CDD505-2E9C-101B-9397-08002B2CF9AE}" pid="5" name="KSOTemplateDocerSaveRecord">
    <vt:lpwstr>eyJoZGlkIjoiNmMyMTAzZGJhYmZjM2QxZDk4OTE3MDVkMTNlYTIzODgiLCJ1c2VySWQiOiIyNjc5NjA4NjEifQ==</vt:lpwstr>
  </property>
</Properties>
</file>