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麻醉监护仪</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项目名称:麻醉监护仪</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2026-sb-cg-006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麻醉监护仪</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w:t>
      </w:r>
      <w:bookmarkStart w:id="0" w:name="_GoBack"/>
      <w:bookmarkEnd w:id="0"/>
      <w:r>
        <w:rPr>
          <w:rStyle w:val="16"/>
          <w:rFonts w:hint="eastAsia" w:asciiTheme="minorEastAsia" w:hAnsiTheme="minorEastAsia" w:eastAsiaTheme="minorEastAsia" w:cstheme="minorEastAsia"/>
          <w:b/>
          <w:bCs/>
          <w:kern w:val="2"/>
          <w:sz w:val="32"/>
          <w:szCs w:val="32"/>
          <w:lang w:val="en-US" w:eastAsia="zh-CN" w:bidi="ar-SA"/>
        </w:rPr>
        <w:t>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上午9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上午9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lang w:val="en-US" w:eastAsia="zh-CN"/>
              </w:rPr>
              <w:t>一</w:t>
            </w:r>
          </w:p>
        </w:tc>
        <w:tc>
          <w:tcPr>
            <w:tcW w:w="3620" w:type="pct"/>
            <w:noWrap w:val="0"/>
            <w:vAlign w:val="center"/>
          </w:tcPr>
          <w:p>
            <w:pPr>
              <w:jc w:val="both"/>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sz w:val="21"/>
                <w:szCs w:val="21"/>
                <w:lang w:val="en-US" w:eastAsia="zh-CN"/>
              </w:rPr>
              <w:t>参数技术要求</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英寸显示屏，分辨率≥1920 x 1080像素。电容触摸屏。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1.2</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屏幕正面纯平设计，不易积累灰尘，易清洁。显示屏为视角上下、左右视角均达到178度。提供多点触摸和手势操作功能。</w:t>
            </w:r>
            <w:r>
              <w:rPr>
                <w:rFonts w:hint="eastAsia" w:ascii="宋体" w:hAnsi="宋体" w:eastAsia="宋体" w:cs="宋体"/>
                <w:color w:val="000000"/>
                <w:kern w:val="0"/>
                <w:sz w:val="21"/>
                <w:szCs w:val="21"/>
              </w:rPr>
              <w:t>监护仪自身集成</w:t>
            </w:r>
            <w:r>
              <w:rPr>
                <w:rFonts w:hint="eastAsia" w:ascii="宋体" w:hAnsi="宋体" w:eastAsia="宋体" w:cs="宋体"/>
                <w:sz w:val="21"/>
                <w:szCs w:val="21"/>
              </w:rPr>
              <w:t>≥</w:t>
            </w:r>
            <w:r>
              <w:rPr>
                <w:rFonts w:hint="eastAsia" w:ascii="宋体" w:hAnsi="宋体" w:eastAsia="宋体" w:cs="宋体"/>
                <w:color w:val="000000"/>
                <w:kern w:val="0"/>
                <w:sz w:val="21"/>
                <w:szCs w:val="21"/>
              </w:rPr>
              <w:t>6槽插件箱，能够满足大部分临床需求。</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1.3</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用户能够根据自己的使用需要定义快捷键。界面至少能够提供20个快捷键的同时显示。</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1.4</w:t>
            </w:r>
          </w:p>
        </w:tc>
        <w:tc>
          <w:tcPr>
            <w:tcW w:w="3620" w:type="pct"/>
            <w:shd w:val="clear" w:color="auto" w:fill="auto"/>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具备3/5导心电，阻抗呼吸，血氧、无创血压，2通道体温</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1.5</w:t>
            </w:r>
          </w:p>
        </w:tc>
        <w:tc>
          <w:tcPr>
            <w:tcW w:w="3620" w:type="pct"/>
            <w:shd w:val="clear" w:color="auto" w:fill="auto"/>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具备AG麻醉气体功能，除O2和CO2、NO2外还可以监测5种麻醉气体；自动识别2种麻醉药物</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1.6</w:t>
            </w:r>
          </w:p>
        </w:tc>
        <w:tc>
          <w:tcPr>
            <w:tcW w:w="3620" w:type="pct"/>
            <w:shd w:val="clear" w:color="auto" w:fill="auto"/>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lang w:val="en-US" w:eastAsia="zh-CN"/>
              </w:rPr>
              <w:t>支持在监护仪上扩展</w:t>
            </w:r>
            <w:r>
              <w:rPr>
                <w:rFonts w:hint="eastAsia" w:ascii="宋体" w:hAnsi="宋体" w:eastAsia="宋体" w:cs="宋体"/>
                <w:color w:val="000000"/>
                <w:kern w:val="0"/>
                <w:sz w:val="21"/>
                <w:szCs w:val="21"/>
              </w:rPr>
              <w:t>IBP，EtCO2，RM，C.O.，PiCCO，ScvO2，ICG，BIS/BISx4，EEG，NMT，rSO2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Flotrac CCO</w:t>
            </w:r>
            <w:r>
              <w:rPr>
                <w:rFonts w:hint="eastAsia" w:ascii="宋体" w:hAnsi="宋体" w:eastAsia="宋体" w:cs="宋体"/>
                <w:color w:val="000000"/>
                <w:kern w:val="0"/>
                <w:sz w:val="21"/>
                <w:szCs w:val="21"/>
              </w:rPr>
              <w:t>等</w:t>
            </w:r>
            <w:r>
              <w:rPr>
                <w:rFonts w:hint="eastAsia" w:ascii="宋体" w:hAnsi="宋体" w:eastAsia="宋体" w:cs="宋体"/>
                <w:color w:val="000000"/>
                <w:kern w:val="0"/>
                <w:sz w:val="21"/>
                <w:szCs w:val="21"/>
                <w:lang w:val="en-US" w:eastAsia="zh-CN"/>
              </w:rPr>
              <w:t>监测功能</w:t>
            </w:r>
            <w:r>
              <w:rPr>
                <w:rFonts w:hint="eastAsia" w:ascii="宋体" w:hAnsi="宋体" w:eastAsia="宋体" w:cs="宋体"/>
                <w:color w:val="000000"/>
                <w:kern w:val="0"/>
                <w:sz w:val="21"/>
                <w:szCs w:val="21"/>
              </w:rPr>
              <w:t>，以及记录仪、设备集成模块。模块不需要额外供电，均支持即插即用。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 xml:space="preserve"> 1.7</w:t>
            </w:r>
          </w:p>
        </w:tc>
        <w:tc>
          <w:tcPr>
            <w:tcW w:w="3620" w:type="pct"/>
            <w:shd w:val="clear" w:color="auto" w:fill="auto"/>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具有多导心电监护算法，同步分析至少2通道心电波形，能够良好抗干扰。用户可以更改分析导联。</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1.8</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心电波速提供50mm/s，25 mm/s、12.5 mm/s、6.25 mm/s可选。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1.9</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提供25种心律失常事件的分析，包括：停搏(Asystole)、室颤/室速(VFib/Vtac)、室速(Vtac)、室性心动过缓(Vent. Brady)、极度心动过速(Extreme Tachy)、极度心动过缓(Extreme Brady)、PVCs/min过高、Pauses/min过高、R on T、多连发室早(Run PVCs)、成对室早(Couplet)、多形室早(Multif. PVC)、单个室早(PVC)、室早二联律(Bigeminy)、室早三联律(Trigeminy)、心动过速(Tachy)、心动过缓(Brady)、起搏器未起搏(Pacer Not Pacing)、起搏器未俘获(Pacer Not Capture)、漏搏(Missed Beat)、短阵室速(Nonsus. Vtac)、室性节律(Vent. Rhythm)、心跳暂停(Pause)、不规则节律(Irr.Rhythm)、房颤(Afib)。</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1.10</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床旁提供ST段分析，提供显示和存储ST值和每个ST的模板。提供ST段ISO点，J点的手动调节和自动调节，且在ST段模板上显示相对位置。</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1.11</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提供起搏信号智能识别。在尚不清楚病人是否佩戴有起搏器的情况下，能够进行自动起搏分析检测。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1.12</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具有QT/QTc测量功能，提供QT，QTc和ΔQTc参数值。</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1.13</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血氧可显示弱灌注指数（PI）。</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1.14</w:t>
            </w:r>
          </w:p>
        </w:tc>
        <w:tc>
          <w:tcPr>
            <w:tcW w:w="3620" w:type="pct"/>
            <w:noWrap w:val="0"/>
            <w:vAlign w:val="center"/>
          </w:tcPr>
          <w:p>
            <w:pPr>
              <w:widowControl/>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color w:val="000000"/>
                <w:kern w:val="0"/>
                <w:sz w:val="21"/>
                <w:szCs w:val="21"/>
              </w:rPr>
              <w:t>具有脉搏调制音功能，可随脉搏血氧饱和度变化而相应变化。</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1.15</w:t>
            </w:r>
          </w:p>
        </w:tc>
        <w:tc>
          <w:tcPr>
            <w:tcW w:w="3620" w:type="pct"/>
            <w:noWrap w:val="0"/>
            <w:vAlign w:val="center"/>
          </w:tcPr>
          <w:p>
            <w:pPr>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可提供双血氧监测功能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1.16</w:t>
            </w:r>
          </w:p>
        </w:tc>
        <w:tc>
          <w:tcPr>
            <w:tcW w:w="3620" w:type="pct"/>
            <w:noWrap w:val="0"/>
            <w:vAlign w:val="center"/>
          </w:tcPr>
          <w:p>
            <w:pPr>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NIBP提供手动、自动间隔、连续、序列四种测量模式。在监护界面提供NIBP列表显示。NIBP支持辅助静脉穿刺。</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1.17</w:t>
            </w:r>
          </w:p>
        </w:tc>
        <w:tc>
          <w:tcPr>
            <w:tcW w:w="3620" w:type="pct"/>
            <w:noWrap w:val="0"/>
            <w:vAlign w:val="center"/>
          </w:tcPr>
          <w:p>
            <w:pPr>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支持波形叠加，最大支持10道IBP波形叠加。支持实时PPV测量。支持PAWP手动或自动测量。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1.18</w:t>
            </w:r>
          </w:p>
        </w:tc>
        <w:tc>
          <w:tcPr>
            <w:tcW w:w="3620" w:type="pct"/>
            <w:noWrap w:val="0"/>
            <w:vAlign w:val="center"/>
          </w:tcPr>
          <w:p>
            <w:pPr>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具有LED报警灯，能够进行三级报警状态显示（红，黄，青）。具有三种报警音风格，可根据喜好选择。</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1.19</w:t>
            </w:r>
          </w:p>
        </w:tc>
        <w:tc>
          <w:tcPr>
            <w:tcW w:w="3620" w:type="pct"/>
            <w:noWrap w:val="0"/>
            <w:vAlign w:val="center"/>
          </w:tcPr>
          <w:p>
            <w:pPr>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sz w:val="21"/>
                <w:szCs w:val="21"/>
              </w:rPr>
              <w:t>具有图形化报警指示功能，看报警信息更容易。</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rPr>
              <w:t>1.20</w:t>
            </w:r>
          </w:p>
        </w:tc>
        <w:tc>
          <w:tcPr>
            <w:tcW w:w="3620" w:type="pct"/>
            <w:noWrap w:val="0"/>
            <w:vAlign w:val="center"/>
          </w:tcPr>
          <w:p>
            <w:pPr>
              <w:spacing w:line="32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rPr>
              <w:t>具备120小时（分辨率1分钟）趋势表、趋势图回顾，4小时（分辨率5秒）趋势表、趋势图回顾。</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1.21</w:t>
            </w:r>
          </w:p>
        </w:tc>
        <w:tc>
          <w:tcPr>
            <w:tcW w:w="3620" w:type="pct"/>
            <w:noWrap w:val="0"/>
            <w:vAlign w:val="center"/>
          </w:tcPr>
          <w:p>
            <w:pPr>
              <w:spacing w:line="320" w:lineRule="exact"/>
              <w:rPr>
                <w:rFonts w:hint="eastAsia" w:ascii="宋体" w:hAnsi="宋体" w:eastAsia="宋体" w:cs="宋体"/>
                <w:color w:val="000000"/>
                <w:sz w:val="21"/>
                <w:szCs w:val="21"/>
              </w:rPr>
            </w:pPr>
            <w:r>
              <w:rPr>
                <w:rFonts w:hint="eastAsia" w:ascii="宋体" w:hAnsi="宋体" w:eastAsia="宋体" w:cs="宋体"/>
                <w:sz w:val="21"/>
                <w:szCs w:val="21"/>
              </w:rPr>
              <w:t>48小时全息波形回顾。全息波形至少能存储所有测量值，以及至少3道波形。监护仪存储48小时全息波形，不需要额外连接外部存储介质。</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color w:val="FF0000"/>
                <w:sz w:val="21"/>
                <w:szCs w:val="21"/>
                <w:highlight w:val="none"/>
              </w:rPr>
            </w:pPr>
            <w:r>
              <w:rPr>
                <w:rFonts w:hint="eastAsia" w:ascii="宋体" w:hAnsi="宋体" w:eastAsia="宋体" w:cs="宋体"/>
                <w:color w:val="000000"/>
                <w:kern w:val="0"/>
                <w:sz w:val="21"/>
                <w:szCs w:val="21"/>
              </w:rPr>
              <w:t>1.22</w:t>
            </w:r>
          </w:p>
        </w:tc>
        <w:tc>
          <w:tcPr>
            <w:tcW w:w="3620" w:type="pct"/>
            <w:noWrap w:val="0"/>
            <w:vAlign w:val="center"/>
          </w:tcPr>
          <w:p>
            <w:pPr>
              <w:spacing w:line="360" w:lineRule="exact"/>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rPr>
              <w:t>具有在线帮助功能，能够指导用户掌握如何设置参数。具有高级参数指导功能，能够指导用户掌握高级参数的使用方法。</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rPr>
              <w:t>1.23</w:t>
            </w:r>
          </w:p>
        </w:tc>
        <w:tc>
          <w:tcPr>
            <w:tcW w:w="3620" w:type="pct"/>
            <w:noWrap w:val="0"/>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工作模式提供：监护模式、待机模式、体外循环模式、插管模式，夜间模式、隐私模式、演示模式</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rPr>
              <w:t>1.24</w:t>
            </w:r>
          </w:p>
        </w:tc>
        <w:tc>
          <w:tcPr>
            <w:tcW w:w="3620" w:type="pct"/>
            <w:noWrap w:val="0"/>
            <w:vAlign w:val="center"/>
          </w:tcPr>
          <w:p>
            <w:pPr>
              <w:pStyle w:val="34"/>
              <w:widowControl/>
              <w:spacing w:after="120" w:line="264"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可选配专业的血流动力学辅助应用，能够图形化显示监测参数，体现参数之间的关系，提供目标治疗决策建议，提供抬腿试验辅助工具，提供心功能图指示，提供蛛网图参数跟踪。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b w:val="0"/>
                <w:bCs/>
                <w:sz w:val="21"/>
                <w:szCs w:val="21"/>
                <w:highlight w:val="none"/>
                <w:lang w:val="en-US" w:eastAsia="zh-CN"/>
              </w:rPr>
            </w:pPr>
            <w:r>
              <w:rPr>
                <w:rFonts w:hint="eastAsia" w:ascii="宋体" w:hAnsi="宋体" w:eastAsia="宋体" w:cs="宋体"/>
                <w:color w:val="000000"/>
                <w:kern w:val="0"/>
                <w:sz w:val="21"/>
                <w:szCs w:val="21"/>
              </w:rPr>
              <w:t>1.25</w:t>
            </w:r>
          </w:p>
        </w:tc>
        <w:tc>
          <w:tcPr>
            <w:tcW w:w="3620" w:type="pct"/>
            <w:noWrap w:val="0"/>
            <w:vAlign w:val="center"/>
          </w:tcPr>
          <w:p>
            <w:pPr>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可选麻醉三角平衡工具，以便更直观的了解病人的麻醉状态，指导插管，并提供复苏评分。</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20" w:lineRule="exact"/>
              <w:jc w:val="center"/>
              <w:rPr>
                <w:rFonts w:hint="eastAsia" w:ascii="宋体" w:hAnsi="宋体" w:eastAsia="宋体" w:cs="宋体"/>
                <w:b w:val="0"/>
                <w:bCs/>
                <w:sz w:val="21"/>
                <w:szCs w:val="21"/>
                <w:highlight w:val="none"/>
                <w:lang w:val="en-US" w:eastAsia="zh-CN"/>
              </w:rPr>
            </w:pPr>
            <w:r>
              <w:rPr>
                <w:rFonts w:hint="eastAsia" w:ascii="宋体" w:hAnsi="宋体" w:eastAsia="宋体" w:cs="宋体"/>
                <w:color w:val="000000"/>
                <w:kern w:val="0"/>
                <w:sz w:val="21"/>
                <w:szCs w:val="21"/>
              </w:rPr>
              <w:t>1.26</w:t>
            </w:r>
          </w:p>
        </w:tc>
        <w:tc>
          <w:tcPr>
            <w:tcW w:w="3620" w:type="pct"/>
            <w:noWrap w:val="0"/>
            <w:vAlign w:val="center"/>
          </w:tcPr>
          <w:p>
            <w:pPr>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可选配早期预警评分功能，并提供用户自定义评分协议的能力。</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color w:val="000000"/>
                <w:kern w:val="0"/>
                <w:sz w:val="21"/>
                <w:szCs w:val="21"/>
                <w:lang w:val="en-US" w:eastAsia="zh-CN"/>
              </w:rPr>
              <w:t>▲</w:t>
            </w:r>
            <w:r>
              <w:rPr>
                <w:rFonts w:hint="eastAsia" w:ascii="宋体" w:hAnsi="宋体" w:eastAsia="宋体" w:cs="宋体"/>
                <w:i w:val="0"/>
                <w:iCs w:val="0"/>
                <w:color w:val="auto"/>
                <w:kern w:val="0"/>
                <w:sz w:val="21"/>
                <w:szCs w:val="21"/>
                <w:highlight w:val="none"/>
                <w:lang w:val="en-US" w:eastAsia="zh-CN" w:bidi="ar"/>
              </w:rPr>
              <w:t>1.27</w:t>
            </w:r>
          </w:p>
        </w:tc>
        <w:tc>
          <w:tcPr>
            <w:tcW w:w="3620" w:type="pct"/>
            <w:noWrap w:val="0"/>
            <w:vAlign w:val="top"/>
          </w:tcPr>
          <w:p>
            <w:pPr>
              <w:keepNext w:val="0"/>
              <w:keepLines w:val="0"/>
              <w:pageBreakBefore w:val="0"/>
              <w:widowControl w:val="0"/>
              <w:tabs>
                <w:tab w:val="left" w:pos="4562"/>
              </w:tabs>
              <w:kinsoku/>
              <w:wordWrap/>
              <w:overflowPunct/>
              <w:topLinePunct w:val="0"/>
              <w:autoSpaceDE/>
              <w:autoSpaceDN/>
              <w:bidi w:val="0"/>
              <w:adjustRightInd/>
              <w:spacing w:line="460" w:lineRule="exact"/>
              <w:textAlignment w:val="auto"/>
              <w:rPr>
                <w:rFonts w:hint="eastAsia" w:ascii="宋体" w:hAnsi="宋体" w:eastAsia="宋体" w:cs="宋体"/>
                <w:b w:val="0"/>
                <w:bCs w:val="0"/>
                <w:color w:val="000000"/>
                <w:sz w:val="21"/>
                <w:szCs w:val="21"/>
                <w:lang w:eastAsia="zh-CN"/>
              </w:rPr>
            </w:pPr>
            <w:r>
              <w:rPr>
                <w:rFonts w:hint="eastAsia" w:ascii="宋体" w:hAnsi="宋体" w:eastAsia="宋体" w:cs="宋体"/>
                <w:i w:val="0"/>
                <w:iCs w:val="0"/>
                <w:color w:val="auto"/>
                <w:sz w:val="21"/>
                <w:szCs w:val="21"/>
                <w:highlight w:val="none"/>
              </w:rPr>
              <w:t>具备指套式血氧探头，支持浸泡清洁与消毒，防水等级≥IPX7；</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sz w:val="24"/>
              </w:rPr>
            </w:pPr>
            <w:r>
              <w:rPr>
                <w:rFonts w:hint="eastAsia" w:ascii="宋体" w:hAnsi="宋体" w:eastAsia="宋体" w:cs="Times New Roman"/>
                <w:b w:val="0"/>
                <w:bCs/>
                <w:szCs w:val="21"/>
                <w:highlight w:val="none"/>
              </w:rPr>
              <w:t>1</w:t>
            </w:r>
          </w:p>
        </w:tc>
        <w:tc>
          <w:tcPr>
            <w:tcW w:w="3620" w:type="pct"/>
            <w:noWrap w:val="0"/>
            <w:vAlign w:val="center"/>
          </w:tcPr>
          <w:p>
            <w:pPr>
              <w:keepNext w:val="0"/>
              <w:keepLines w:val="0"/>
              <w:widowControl/>
              <w:suppressLineNumbers w:val="0"/>
              <w:jc w:val="left"/>
              <w:textAlignment w:val="center"/>
              <w:rPr>
                <w:sz w:val="24"/>
              </w:rPr>
            </w:pPr>
            <w:r>
              <w:rPr>
                <w:rFonts w:hint="eastAsia" w:ascii="宋体" w:hAnsi="宋体" w:cs="宋体"/>
                <w:i w:val="0"/>
                <w:iCs w:val="0"/>
                <w:color w:val="000000"/>
                <w:kern w:val="0"/>
                <w:sz w:val="22"/>
                <w:szCs w:val="22"/>
                <w:u w:val="none"/>
                <w:lang w:val="en-US" w:eastAsia="zh-CN" w:bidi="ar"/>
              </w:rPr>
              <w:t>麻醉监护仪</w:t>
            </w:r>
            <w:r>
              <w:rPr>
                <w:rFonts w:hint="eastAsia" w:ascii="宋体" w:hAnsi="宋体" w:eastAsia="宋体" w:cs="宋体"/>
                <w:i w:val="0"/>
                <w:iCs w:val="0"/>
                <w:color w:val="000000"/>
                <w:kern w:val="0"/>
                <w:sz w:val="22"/>
                <w:szCs w:val="22"/>
                <w:u w:val="none"/>
                <w:lang w:val="en-US" w:eastAsia="zh-CN" w:bidi="ar"/>
              </w:rPr>
              <w:t>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eastAsia" w:ascii="宋体" w:hAnsi="宋体" w:eastAsia="宋体" w:cs="Times New Roman"/>
                <w:b w:val="0"/>
                <w:bCs/>
                <w:szCs w:val="21"/>
                <w:highlight w:val="none"/>
                <w:lang w:val="en-US" w:eastAsia="zh-CN"/>
              </w:rPr>
            </w:pPr>
            <w:r>
              <w:rPr>
                <w:rFonts w:hint="eastAsia" w:cs="Times New Roman"/>
                <w:b w:val="0"/>
                <w:bCs/>
                <w:szCs w:val="21"/>
                <w:highlight w:val="none"/>
                <w:lang w:val="en-US" w:eastAsia="zh-CN"/>
              </w:rPr>
              <w:t>2</w:t>
            </w:r>
          </w:p>
        </w:tc>
        <w:tc>
          <w:tcPr>
            <w:tcW w:w="3620" w:type="pct"/>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基础模块（含心电、心率、脉搏、无创血压、血氧、呼吸、体温、有创血压）一套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default" w:cs="Times New Roman"/>
                <w:b w:val="0"/>
                <w:bCs/>
                <w:szCs w:val="21"/>
                <w:highlight w:val="none"/>
                <w:lang w:val="en-US" w:eastAsia="zh-CN"/>
              </w:rPr>
            </w:pPr>
            <w:r>
              <w:rPr>
                <w:rFonts w:hint="eastAsia" w:cs="Times New Roman"/>
                <w:b w:val="0"/>
                <w:bCs/>
                <w:szCs w:val="21"/>
                <w:highlight w:val="none"/>
                <w:lang w:val="en-US" w:eastAsia="zh-CN"/>
              </w:rPr>
              <w:t>3</w:t>
            </w:r>
          </w:p>
        </w:tc>
        <w:tc>
          <w:tcPr>
            <w:tcW w:w="3620" w:type="pct"/>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麻醉气体监测模块一套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3</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5DC159B"/>
    <w:rsid w:val="07827398"/>
    <w:rsid w:val="079468F0"/>
    <w:rsid w:val="088815A9"/>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4E46170"/>
    <w:rsid w:val="157B401A"/>
    <w:rsid w:val="165B3C1A"/>
    <w:rsid w:val="17453125"/>
    <w:rsid w:val="182217CF"/>
    <w:rsid w:val="184F31D7"/>
    <w:rsid w:val="19915A12"/>
    <w:rsid w:val="1A2E6DE6"/>
    <w:rsid w:val="1ABB0DE6"/>
    <w:rsid w:val="1D4821A9"/>
    <w:rsid w:val="202B56B1"/>
    <w:rsid w:val="209E6C14"/>
    <w:rsid w:val="20E25803"/>
    <w:rsid w:val="22723315"/>
    <w:rsid w:val="22CF7097"/>
    <w:rsid w:val="22E944F8"/>
    <w:rsid w:val="232E51F6"/>
    <w:rsid w:val="23705E06"/>
    <w:rsid w:val="23884864"/>
    <w:rsid w:val="24170AD0"/>
    <w:rsid w:val="24C52651"/>
    <w:rsid w:val="27E45486"/>
    <w:rsid w:val="28DD687E"/>
    <w:rsid w:val="2B057E38"/>
    <w:rsid w:val="2BA52826"/>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4F12C88"/>
    <w:rsid w:val="458A740C"/>
    <w:rsid w:val="459F41C9"/>
    <w:rsid w:val="46094A05"/>
    <w:rsid w:val="460A3EB2"/>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5382DBA"/>
    <w:rsid w:val="55596194"/>
    <w:rsid w:val="55950B3F"/>
    <w:rsid w:val="56A54B82"/>
    <w:rsid w:val="57193C9E"/>
    <w:rsid w:val="584110E8"/>
    <w:rsid w:val="587C329C"/>
    <w:rsid w:val="595B205E"/>
    <w:rsid w:val="5A4777C5"/>
    <w:rsid w:val="5A6532CF"/>
    <w:rsid w:val="5A6E001E"/>
    <w:rsid w:val="5AE71C9E"/>
    <w:rsid w:val="5CAD7C22"/>
    <w:rsid w:val="5CD36D91"/>
    <w:rsid w:val="5DEC7787"/>
    <w:rsid w:val="5DFE7766"/>
    <w:rsid w:val="5E17190F"/>
    <w:rsid w:val="60D904D8"/>
    <w:rsid w:val="60F93F09"/>
    <w:rsid w:val="61EE2A98"/>
    <w:rsid w:val="646461A1"/>
    <w:rsid w:val="649D4417"/>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6562678"/>
    <w:rsid w:val="772F4719"/>
    <w:rsid w:val="773504DF"/>
    <w:rsid w:val="77FD6A1D"/>
    <w:rsid w:val="78667688"/>
    <w:rsid w:val="79492020"/>
    <w:rsid w:val="79B62264"/>
    <w:rsid w:val="7A192AA7"/>
    <w:rsid w:val="7B395E66"/>
    <w:rsid w:val="7C0B3B0A"/>
    <w:rsid w:val="7C4831AB"/>
    <w:rsid w:val="7CA6287C"/>
    <w:rsid w:val="7E3135CA"/>
    <w:rsid w:val="7E4702F4"/>
    <w:rsid w:val="7E677C6B"/>
    <w:rsid w:val="7ECD6788"/>
    <w:rsid w:val="7F35300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 w:type="paragraph" w:customStyle="1" w:styleId="34">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19</Pages>
  <Words>9884</Words>
  <Characters>10306</Characters>
  <Lines>6</Lines>
  <Paragraphs>1</Paragraphs>
  <TotalTime>0</TotalTime>
  <ScaleCrop>false</ScaleCrop>
  <LinksUpToDate>false</LinksUpToDate>
  <CharactersWithSpaces>11162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2026-04-28T06:56:37Z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D7401CC49DC242DD8693D62E2AC804BD_13</vt:lpwstr>
  </property>
  <property fmtid="{D5CDD505-2E9C-101B-9397-08002B2CF9AE}" pid="5" name="KSOTemplateDocerSaveRecord">
    <vt:lpwstr>eyJoZGlkIjoiNmMyMTAzZGJhYmZjM2QxZDk4OTE3MDVkMTNlYTIzODgiLCJ1c2VySWQiOiIyNjc5NjA4NjEifQ==</vt:lpwstr>
  </property>
</Properties>
</file>