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麻醉机</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项目名称:麻醉机</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2026-sb-cg-005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麻醉机</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上午9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bookmarkStart w:id="0" w:name="_GoBack"/>
      <w:bookmarkEnd w:id="0"/>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上午9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2"/>
                <w:szCs w:val="22"/>
                <w:highlight w:val="none"/>
              </w:rPr>
              <w:t>一</w:t>
            </w:r>
          </w:p>
        </w:tc>
        <w:tc>
          <w:tcPr>
            <w:tcW w:w="3620"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lang w:eastAsia="zh-CN"/>
              </w:rPr>
              <w:t>设备</w:t>
            </w:r>
            <w:r>
              <w:rPr>
                <w:rFonts w:hint="eastAsia" w:ascii="新宋体" w:hAnsi="新宋体" w:eastAsia="新宋体" w:cs="新宋体"/>
                <w:color w:val="auto"/>
                <w:sz w:val="22"/>
                <w:szCs w:val="22"/>
                <w:highlight w:val="none"/>
              </w:rPr>
              <w:t>要求</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新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临床适用于成人、小儿和新生儿的术中呼吸麻醉和术后复苏。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二</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技术参数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1</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工作条件及基本配件</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1.1</w:t>
            </w:r>
          </w:p>
        </w:tc>
        <w:tc>
          <w:tcPr>
            <w:tcW w:w="3620" w:type="pct"/>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后备电池使用时间：90分钟，可选配双节电池150分钟，提供证明文件。</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1.2</w:t>
            </w:r>
          </w:p>
        </w:tc>
        <w:tc>
          <w:tcPr>
            <w:tcW w:w="3620" w:type="pct"/>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机架：带大工作台侧栏杆推车，两个抽屉，提供证明文件</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1.3</w:t>
            </w:r>
          </w:p>
        </w:tc>
        <w:tc>
          <w:tcPr>
            <w:tcW w:w="3620" w:type="pct"/>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适合内窥镜手术模式：可具备顶光灯，能够在黑暗环境中提供麻醉机工作台面照明。</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1.4</w:t>
            </w:r>
          </w:p>
        </w:tc>
        <w:tc>
          <w:tcPr>
            <w:tcW w:w="3620" w:type="pct"/>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具有HL7、3个辅助电源接口等接口</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1.5</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非待机状态转动关机旋钮，主机具备10秒延迟关机功能，以避免误操作保证病人安全，提供证明文件。</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2</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气源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2.1</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标配氧气单气源，可选氧气、空气双气源，氧气、笑气双气源，可选氧气、笑气、空气三气源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2.2</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 xml:space="preserve">快速充氧范围25-75 </w:t>
            </w:r>
            <w:r>
              <w:rPr>
                <w:rFonts w:hint="eastAsia" w:ascii="新宋体" w:hAnsi="新宋体" w:eastAsia="新宋体" w:cs="新宋体"/>
                <w:color w:val="auto"/>
                <w:sz w:val="22"/>
                <w:szCs w:val="22"/>
                <w:highlight w:val="none"/>
                <w:lang w:val="en-US" w:eastAsia="zh-CN"/>
              </w:rPr>
              <w:t>L</w:t>
            </w:r>
            <w:r>
              <w:rPr>
                <w:rFonts w:hint="eastAsia" w:ascii="新宋体" w:hAnsi="新宋体" w:eastAsia="新宋体" w:cs="新宋体"/>
                <w:color w:val="auto"/>
                <w:sz w:val="22"/>
                <w:szCs w:val="22"/>
                <w:highlight w:val="none"/>
              </w:rPr>
              <w:t>/min</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 xml:space="preserve">3 </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流量计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3.1</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双管机械流量计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3.2</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具备机械的氧笑联动装置，不受停电影响，保证氧气浓度不低于25%。</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4</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挥发罐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4.1</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标配单麻醉罐位，可选双麻醉罐位</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4.2</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标配一个高品质挥发罐，挥发罐和主机同品牌且挥发罐通过CE和FDA认证，具备压力、流速和温度补偿。</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4.3</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可选配同品牌地氟醚挥发罐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rPr>
              <w:t>5</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呼吸回路</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2"/>
                <w:sz w:val="21"/>
                <w:szCs w:val="21"/>
                <w:highlight w:val="none"/>
                <w:lang w:val="en-US" w:eastAsia="zh-CN" w:bidi="ar-SA"/>
              </w:rPr>
            </w:pPr>
            <w:r>
              <w:rPr>
                <w:rFonts w:hint="eastAsia" w:ascii="新宋体" w:hAnsi="新宋体" w:eastAsia="新宋体" w:cs="新宋体"/>
                <w:color w:val="auto"/>
                <w:sz w:val="22"/>
                <w:szCs w:val="22"/>
                <w:highlight w:val="none"/>
                <w:lang w:val="en-US" w:eastAsia="zh-CN"/>
              </w:rPr>
              <w:t>5.1</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回路整体可徒手拆卸，一体化回路</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olor w:val="000000"/>
                <w:sz w:val="24"/>
                <w:lang w:eastAsia="zh-CN"/>
              </w:rPr>
            </w:pPr>
            <w:r>
              <w:rPr>
                <w:rFonts w:hint="eastAsia" w:ascii="新宋体" w:hAnsi="新宋体" w:eastAsia="新宋体" w:cs="新宋体"/>
                <w:color w:val="auto"/>
                <w:sz w:val="22"/>
                <w:szCs w:val="22"/>
                <w:highlight w:val="none"/>
                <w:lang w:val="en-US" w:eastAsia="zh-CN"/>
              </w:rPr>
              <w:t>5.2</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sz w:val="24"/>
              </w:rPr>
            </w:pPr>
            <w:r>
              <w:rPr>
                <w:rFonts w:hint="eastAsia" w:ascii="新宋体" w:hAnsi="新宋体" w:eastAsia="新宋体" w:cs="新宋体"/>
                <w:color w:val="auto"/>
                <w:sz w:val="22"/>
                <w:szCs w:val="22"/>
                <w:highlight w:val="none"/>
              </w:rPr>
              <w:t>回路部件可以耐受134℃高温高压消毒以避免院内交叉感染</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color w:val="FF0000"/>
                <w:sz w:val="24"/>
                <w:highlight w:val="none"/>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5.2</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宋体"/>
                <w:color w:val="FF0000"/>
                <w:sz w:val="24"/>
                <w:highlight w:val="none"/>
                <w:lang w:val="en-US" w:eastAsia="zh-CN"/>
              </w:rPr>
            </w:pPr>
            <w:r>
              <w:rPr>
                <w:rFonts w:hint="eastAsia" w:ascii="新宋体" w:hAnsi="新宋体" w:eastAsia="新宋体" w:cs="新宋体"/>
                <w:color w:val="auto"/>
                <w:sz w:val="22"/>
                <w:szCs w:val="22"/>
                <w:highlight w:val="none"/>
              </w:rPr>
              <w:t>二氧化碳吸收罐，容积≤1500ml，满足临床低微流量麻醉需要</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sz w:val="24"/>
              </w:rPr>
            </w:pPr>
            <w:r>
              <w:rPr>
                <w:rFonts w:hint="eastAsia" w:ascii="新宋体" w:hAnsi="新宋体" w:eastAsia="新宋体" w:cs="新宋体"/>
                <w:color w:val="auto"/>
                <w:sz w:val="22"/>
                <w:szCs w:val="22"/>
                <w:highlight w:val="none"/>
                <w:lang w:val="en-US" w:eastAsia="zh-CN"/>
              </w:rPr>
              <w:t>5.3</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sz w:val="24"/>
              </w:rPr>
            </w:pPr>
            <w:r>
              <w:rPr>
                <w:rFonts w:hint="eastAsia" w:ascii="新宋体" w:hAnsi="新宋体" w:eastAsia="新宋体" w:cs="新宋体"/>
                <w:color w:val="auto"/>
                <w:sz w:val="22"/>
                <w:szCs w:val="22"/>
                <w:highlight w:val="none"/>
              </w:rPr>
              <w:t>内置双流量传感器，分别在吸入端，呼出端</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sz w:val="24"/>
              </w:rPr>
            </w:pPr>
            <w:r>
              <w:rPr>
                <w:rFonts w:hint="eastAsia" w:ascii="新宋体" w:hAnsi="新宋体" w:eastAsia="新宋体" w:cs="新宋体"/>
                <w:color w:val="auto"/>
                <w:sz w:val="22"/>
                <w:szCs w:val="22"/>
                <w:highlight w:val="none"/>
                <w:lang w:val="en-US" w:eastAsia="zh-CN"/>
              </w:rPr>
              <w:t>5.4</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sz w:val="24"/>
              </w:rPr>
            </w:pPr>
            <w:r>
              <w:rPr>
                <w:rFonts w:hint="eastAsia" w:ascii="新宋体" w:hAnsi="新宋体" w:eastAsia="新宋体" w:cs="新宋体"/>
                <w:color w:val="auto"/>
                <w:sz w:val="22"/>
                <w:szCs w:val="22"/>
                <w:highlight w:val="none"/>
              </w:rPr>
              <w:t>低回路系统容积，为快速调节新鲜气体流量以及输出麻药浓度提供了保障</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val="0"/>
                <w:bCs/>
                <w:szCs w:val="21"/>
                <w:highlight w:val="none"/>
                <w:lang w:val="en-US" w:eastAsia="zh-CN"/>
              </w:rPr>
            </w:pPr>
            <w:r>
              <w:rPr>
                <w:rFonts w:hint="eastAsia" w:ascii="新宋体" w:hAnsi="新宋体" w:eastAsia="新宋体" w:cs="新宋体"/>
                <w:color w:val="auto"/>
                <w:sz w:val="22"/>
                <w:szCs w:val="22"/>
                <w:highlight w:val="none"/>
                <w:lang w:val="en-US" w:eastAsia="zh-CN"/>
              </w:rPr>
              <w:t>5.5</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i w:val="0"/>
                <w:iCs w:val="0"/>
                <w:color w:val="000000"/>
                <w:kern w:val="0"/>
                <w:sz w:val="22"/>
                <w:szCs w:val="22"/>
                <w:u w:val="none"/>
                <w:lang w:val="en-US" w:eastAsia="zh-CN" w:bidi="ar"/>
              </w:rPr>
            </w:pPr>
            <w:r>
              <w:rPr>
                <w:rFonts w:hint="eastAsia" w:ascii="新宋体" w:hAnsi="新宋体" w:eastAsia="新宋体" w:cs="新宋体"/>
                <w:color w:val="auto"/>
                <w:sz w:val="22"/>
                <w:szCs w:val="22"/>
                <w:highlight w:val="none"/>
              </w:rPr>
              <w:t>可选配共同新鲜气体输出口，输出口无需改装可直接连接特殊的开放式回路，如Bain回路、T管等</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s="Times New Roman"/>
                <w:b w:val="0"/>
                <w:bCs/>
                <w:szCs w:val="21"/>
                <w:highlight w:val="none"/>
                <w:lang w:val="en-US" w:eastAsia="zh-CN"/>
              </w:rPr>
            </w:pPr>
            <w:r>
              <w:rPr>
                <w:rFonts w:hint="eastAsia" w:ascii="新宋体" w:hAnsi="新宋体" w:eastAsia="新宋体" w:cs="新宋体"/>
                <w:color w:val="auto"/>
                <w:sz w:val="22"/>
                <w:szCs w:val="22"/>
                <w:highlight w:val="none"/>
                <w:lang w:val="en-US" w:eastAsia="zh-CN"/>
              </w:rPr>
              <w:t>5.6</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i w:val="0"/>
                <w:iCs w:val="0"/>
                <w:color w:val="000000"/>
                <w:kern w:val="0"/>
                <w:sz w:val="22"/>
                <w:szCs w:val="22"/>
                <w:u w:val="none"/>
                <w:lang w:val="en-US" w:eastAsia="zh-CN" w:bidi="ar"/>
              </w:rPr>
            </w:pPr>
            <w:r>
              <w:rPr>
                <w:rFonts w:hint="eastAsia" w:ascii="新宋体" w:hAnsi="新宋体" w:eastAsia="新宋体" w:cs="新宋体"/>
                <w:color w:val="auto"/>
                <w:sz w:val="22"/>
                <w:szCs w:val="22"/>
                <w:highlight w:val="none"/>
              </w:rPr>
              <w:t>标配回路加温功能，保证回路不受积水影响，保证流量传感器精准及向病人提供温暖气体，避免对呼吸道的刺激</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cs="Times New Roman"/>
                <w:b w:val="0"/>
                <w:bCs/>
                <w:szCs w:val="21"/>
                <w:highlight w:val="none"/>
                <w:lang w:val="en-US" w:eastAsia="zh-CN"/>
              </w:rPr>
            </w:pPr>
            <w:r>
              <w:rPr>
                <w:rFonts w:hint="eastAsia" w:ascii="新宋体" w:hAnsi="新宋体" w:eastAsia="新宋体" w:cs="新宋体"/>
                <w:color w:val="auto"/>
                <w:sz w:val="22"/>
                <w:szCs w:val="22"/>
                <w:highlight w:val="none"/>
                <w:lang w:val="en-US" w:eastAsia="zh-CN"/>
              </w:rPr>
              <w:t>5.7</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000000"/>
                <w:sz w:val="22"/>
                <w:szCs w:val="22"/>
                <w:lang w:eastAsia="zh-CN"/>
              </w:rPr>
            </w:pPr>
            <w:r>
              <w:rPr>
                <w:rFonts w:hint="eastAsia" w:ascii="新宋体" w:hAnsi="新宋体" w:eastAsia="新宋体" w:cs="新宋体"/>
                <w:color w:val="auto"/>
                <w:sz w:val="22"/>
                <w:szCs w:val="22"/>
                <w:highlight w:val="none"/>
              </w:rPr>
              <w:t>回路标配积水杯，解决回路积水问题</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cs="Times New Roman"/>
                <w:b w:val="0"/>
                <w:bCs/>
                <w:szCs w:val="21"/>
                <w:highlight w:val="none"/>
                <w:lang w:val="en-US" w:eastAsia="zh-CN"/>
              </w:rPr>
            </w:pPr>
            <w:r>
              <w:rPr>
                <w:rFonts w:hint="eastAsia" w:ascii="新宋体" w:hAnsi="新宋体" w:eastAsia="新宋体" w:cs="新宋体"/>
                <w:color w:val="auto"/>
                <w:sz w:val="22"/>
                <w:szCs w:val="22"/>
                <w:highlight w:val="none"/>
              </w:rPr>
              <w:t>6</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000000"/>
                <w:sz w:val="22"/>
                <w:szCs w:val="22"/>
                <w:lang w:eastAsia="zh-CN"/>
              </w:rPr>
            </w:pPr>
            <w:r>
              <w:rPr>
                <w:rFonts w:hint="eastAsia" w:ascii="新宋体" w:hAnsi="新宋体" w:eastAsia="新宋体" w:cs="新宋体"/>
                <w:color w:val="auto"/>
                <w:sz w:val="22"/>
                <w:szCs w:val="22"/>
                <w:highlight w:val="none"/>
              </w:rPr>
              <w:t>呼吸机</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color w:val="auto"/>
                <w:sz w:val="22"/>
                <w:szCs w:val="22"/>
                <w:highlight w:val="none"/>
                <w:lang w:val="en-US" w:eastAsia="zh-CN"/>
              </w:rPr>
              <w:t>6.1</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color w:val="auto"/>
                <w:sz w:val="22"/>
                <w:szCs w:val="22"/>
                <w:highlight w:val="none"/>
              </w:rPr>
              <w:t>气动电控呼吸机，全中文操作和显示</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6.2</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提供辅助/控制通气，标配通气模式：容量控制，可选配压力控制模式、SIMV-VC、SIMV-PC</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6.3</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潮气量设置范围：15ml-1500ml</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6.4</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吸气压力设置范围：5-60 cmH</w:t>
            </w:r>
            <w:r>
              <w:rPr>
                <w:rFonts w:hint="eastAsia" w:ascii="新宋体" w:hAnsi="新宋体" w:eastAsia="新宋体" w:cs="新宋体"/>
                <w:color w:val="auto"/>
                <w:sz w:val="22"/>
                <w:szCs w:val="22"/>
                <w:highlight w:val="none"/>
                <w:vertAlign w:val="subscript"/>
              </w:rPr>
              <w:t>2</w:t>
            </w:r>
            <w:r>
              <w:rPr>
                <w:rFonts w:hint="eastAsia" w:ascii="新宋体" w:hAnsi="新宋体" w:eastAsia="新宋体" w:cs="新宋体"/>
                <w:color w:val="auto"/>
                <w:sz w:val="22"/>
                <w:szCs w:val="22"/>
                <w:highlight w:val="none"/>
              </w:rPr>
              <w:t>O</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lang w:val="en-US" w:eastAsia="zh-CN" w:bidi="ar-SA"/>
              </w:rPr>
            </w:pPr>
            <w:r>
              <w:rPr>
                <w:rFonts w:hint="eastAsia" w:ascii="新宋体" w:hAnsi="新宋体" w:eastAsia="新宋体" w:cs="新宋体"/>
                <w:color w:val="auto"/>
                <w:sz w:val="22"/>
                <w:szCs w:val="22"/>
                <w:highlight w:val="none"/>
                <w:lang w:val="en-US" w:eastAsia="zh-CN"/>
              </w:rPr>
              <w:t>6.5</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lang w:val="en-US" w:eastAsia="zh-CN" w:bidi="ar-SA"/>
              </w:rPr>
            </w:pPr>
            <w:r>
              <w:rPr>
                <w:rFonts w:hint="eastAsia" w:ascii="新宋体" w:hAnsi="新宋体" w:eastAsia="新宋体" w:cs="新宋体"/>
                <w:color w:val="auto"/>
                <w:sz w:val="22"/>
                <w:szCs w:val="22"/>
                <w:highlight w:val="none"/>
              </w:rPr>
              <w:t>呼吸频率：4-100 次/分钟</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6.6</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吸呼比：4:1-1:8</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6.7</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压力限制范围：10-100 cmH</w:t>
            </w:r>
            <w:r>
              <w:rPr>
                <w:rFonts w:hint="eastAsia" w:ascii="新宋体" w:hAnsi="新宋体" w:eastAsia="新宋体" w:cs="新宋体"/>
                <w:color w:val="auto"/>
                <w:sz w:val="22"/>
                <w:szCs w:val="22"/>
                <w:highlight w:val="none"/>
                <w:vertAlign w:val="subscript"/>
              </w:rPr>
              <w:t>2</w:t>
            </w:r>
            <w:r>
              <w:rPr>
                <w:rFonts w:hint="eastAsia" w:ascii="新宋体" w:hAnsi="新宋体" w:eastAsia="新宋体" w:cs="新宋体"/>
                <w:color w:val="auto"/>
                <w:sz w:val="22"/>
                <w:szCs w:val="22"/>
                <w:highlight w:val="none"/>
              </w:rPr>
              <w:t>O</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6.8</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电子PEEP，显示屏设置，范围：OFF，4 -30 cmH</w:t>
            </w:r>
            <w:r>
              <w:rPr>
                <w:rFonts w:hint="eastAsia" w:ascii="新宋体" w:hAnsi="新宋体" w:eastAsia="新宋体" w:cs="新宋体"/>
                <w:color w:val="auto"/>
                <w:sz w:val="22"/>
                <w:szCs w:val="22"/>
                <w:highlight w:val="none"/>
                <w:vertAlign w:val="subscript"/>
              </w:rPr>
              <w:t>2</w:t>
            </w:r>
            <w:r>
              <w:rPr>
                <w:rFonts w:hint="eastAsia" w:ascii="新宋体" w:hAnsi="新宋体" w:eastAsia="新宋体" w:cs="新宋体"/>
                <w:color w:val="auto"/>
                <w:sz w:val="22"/>
                <w:szCs w:val="22"/>
                <w:highlight w:val="none"/>
              </w:rPr>
              <w:t>O</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6.9</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吸气暂停：OFF，5%-60%吸气时间</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6.10</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上升式风箱，可以直接观察病人实际呼吸状态，保证安全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lang w:val="en-US" w:eastAsia="zh-CN" w:bidi="ar-SA"/>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6.11</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lang w:val="en-US" w:eastAsia="zh-CN" w:bidi="ar-SA"/>
              </w:rPr>
            </w:pPr>
            <w:r>
              <w:rPr>
                <w:rFonts w:hint="eastAsia" w:ascii="新宋体" w:hAnsi="新宋体" w:eastAsia="新宋体" w:cs="新宋体"/>
                <w:color w:val="auto"/>
                <w:sz w:val="22"/>
                <w:szCs w:val="22"/>
                <w:highlight w:val="none"/>
              </w:rPr>
              <w:t>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 xml:space="preserve">7 </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lang w:val="en-US" w:eastAsia="zh-CN" w:bidi="ar-SA"/>
              </w:rPr>
            </w:pPr>
            <w:r>
              <w:rPr>
                <w:rFonts w:hint="eastAsia" w:ascii="新宋体" w:hAnsi="新宋体" w:eastAsia="新宋体" w:cs="新宋体"/>
                <w:color w:val="auto"/>
                <w:sz w:val="22"/>
                <w:szCs w:val="22"/>
                <w:highlight w:val="none"/>
              </w:rPr>
              <w:t>数字和波形监测</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7.1</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具备三级声光报警功能，有红黄报警灯显示</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7.2</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主机内置≥5英寸彩色显示屏，非主机外展屏幕，不易影响其他设备使用，，可同屏显示2通道波形</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7.3</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潮气量监测范围：0 到1500ml</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lang w:val="en-US" w:eastAsia="zh-CN"/>
              </w:rPr>
              <w:t>7.4</w:t>
            </w:r>
          </w:p>
        </w:tc>
        <w:tc>
          <w:tcPr>
            <w:tcW w:w="3620" w:type="pct"/>
            <w:noWrap w:val="0"/>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r>
              <w:rPr>
                <w:rFonts w:hint="eastAsia" w:ascii="新宋体" w:hAnsi="新宋体" w:eastAsia="新宋体" w:cs="新宋体"/>
                <w:color w:val="auto"/>
                <w:sz w:val="22"/>
                <w:szCs w:val="22"/>
                <w:highlight w:val="none"/>
              </w:rPr>
              <w:t>分钟通气量监测范围：0L/min 到100L/min</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3"/>
              <w:ind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cs="宋体"/>
                <w:i w:val="0"/>
                <w:iCs w:val="0"/>
                <w:color w:val="000000"/>
                <w:kern w:val="0"/>
                <w:sz w:val="22"/>
                <w:szCs w:val="22"/>
                <w:u w:val="none"/>
                <w:lang w:val="en-US" w:eastAsia="zh-CN" w:bidi="ar"/>
              </w:rPr>
              <w:t>麻醉机</w:t>
            </w:r>
            <w:r>
              <w:rPr>
                <w:rFonts w:hint="eastAsia" w:ascii="宋体" w:hAnsi="宋体" w:eastAsia="宋体" w:cs="宋体"/>
                <w:i w:val="0"/>
                <w:iCs w:val="0"/>
                <w:color w:val="000000"/>
                <w:kern w:val="0"/>
                <w:sz w:val="22"/>
                <w:szCs w:val="22"/>
                <w:u w:val="none"/>
                <w:lang w:val="en-US" w:eastAsia="zh-CN" w:bidi="ar"/>
              </w:rPr>
              <w:t>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lang w:val="en-US" w:eastAsia="zh-CN"/>
              </w:rPr>
            </w:pPr>
            <w:r>
              <w:rPr>
                <w:rFonts w:hint="eastAsia" w:cs="Times New Roman"/>
                <w:b w:val="0"/>
                <w:bCs/>
                <w:szCs w:val="21"/>
                <w:highlight w:val="none"/>
                <w:lang w:val="en-US" w:eastAsia="zh-CN"/>
              </w:rPr>
              <w:t>2</w:t>
            </w:r>
          </w:p>
        </w:tc>
        <w:tc>
          <w:tcPr>
            <w:tcW w:w="3620" w:type="pct"/>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工作站一套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cs="Times New Roman"/>
                <w:b w:val="0"/>
                <w:bCs/>
                <w:szCs w:val="21"/>
                <w:highlight w:val="none"/>
                <w:lang w:val="en-US" w:eastAsia="zh-CN"/>
              </w:rPr>
            </w:pPr>
            <w:r>
              <w:rPr>
                <w:rFonts w:hint="eastAsia" w:cs="Times New Roman"/>
                <w:b w:val="0"/>
                <w:bCs/>
                <w:szCs w:val="21"/>
                <w:highlight w:val="none"/>
                <w:lang w:val="en-US" w:eastAsia="zh-CN"/>
              </w:rPr>
              <w:t>3</w:t>
            </w:r>
          </w:p>
        </w:tc>
        <w:tc>
          <w:tcPr>
            <w:tcW w:w="3620" w:type="pct"/>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工作站支架一套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ascii="宋体" w:hAnsi="宋体" w:cs="Times New Roman"/>
                <w:b w:val="0"/>
                <w:bCs/>
                <w:color w:val="FF0000"/>
                <w:szCs w:val="21"/>
                <w:highlight w:val="none"/>
                <w:lang w:val="en-US" w:eastAsia="zh-CN"/>
              </w:rPr>
              <w:t>3</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4165086"/>
    <w:rsid w:val="05DC159B"/>
    <w:rsid w:val="07827398"/>
    <w:rsid w:val="079468F0"/>
    <w:rsid w:val="088815A9"/>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57B401A"/>
    <w:rsid w:val="165B3C1A"/>
    <w:rsid w:val="17453125"/>
    <w:rsid w:val="182217CF"/>
    <w:rsid w:val="184F31D7"/>
    <w:rsid w:val="19915A12"/>
    <w:rsid w:val="1A2E6DE6"/>
    <w:rsid w:val="1ABB0DE6"/>
    <w:rsid w:val="1D4821A9"/>
    <w:rsid w:val="202B56B1"/>
    <w:rsid w:val="209E6C14"/>
    <w:rsid w:val="20E25803"/>
    <w:rsid w:val="22723315"/>
    <w:rsid w:val="22CF7097"/>
    <w:rsid w:val="22E944F8"/>
    <w:rsid w:val="232E51F6"/>
    <w:rsid w:val="23705E06"/>
    <w:rsid w:val="23884864"/>
    <w:rsid w:val="24170AD0"/>
    <w:rsid w:val="24C52651"/>
    <w:rsid w:val="27E45486"/>
    <w:rsid w:val="28DD687E"/>
    <w:rsid w:val="2B057E38"/>
    <w:rsid w:val="2BA52826"/>
    <w:rsid w:val="2CA43435"/>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6E440AD"/>
    <w:rsid w:val="37C66C9B"/>
    <w:rsid w:val="37D14649"/>
    <w:rsid w:val="3877509F"/>
    <w:rsid w:val="397306B8"/>
    <w:rsid w:val="39BD6D12"/>
    <w:rsid w:val="3BB420F5"/>
    <w:rsid w:val="3DB75172"/>
    <w:rsid w:val="3E9950E6"/>
    <w:rsid w:val="3F1B3C4A"/>
    <w:rsid w:val="402E62DF"/>
    <w:rsid w:val="402F4957"/>
    <w:rsid w:val="405108FA"/>
    <w:rsid w:val="40751336"/>
    <w:rsid w:val="4136403A"/>
    <w:rsid w:val="41EF774F"/>
    <w:rsid w:val="42660058"/>
    <w:rsid w:val="43824C1A"/>
    <w:rsid w:val="43A157C9"/>
    <w:rsid w:val="447334B4"/>
    <w:rsid w:val="449C5243"/>
    <w:rsid w:val="449E2D2B"/>
    <w:rsid w:val="44F12C88"/>
    <w:rsid w:val="458A740C"/>
    <w:rsid w:val="46094A05"/>
    <w:rsid w:val="460A3EB2"/>
    <w:rsid w:val="47537CEB"/>
    <w:rsid w:val="477517FF"/>
    <w:rsid w:val="479F5F87"/>
    <w:rsid w:val="49580476"/>
    <w:rsid w:val="497E50E4"/>
    <w:rsid w:val="49942410"/>
    <w:rsid w:val="49CC2349"/>
    <w:rsid w:val="4A254910"/>
    <w:rsid w:val="4AA864D5"/>
    <w:rsid w:val="4B623E4F"/>
    <w:rsid w:val="4B956476"/>
    <w:rsid w:val="4CBE1552"/>
    <w:rsid w:val="4D3D3121"/>
    <w:rsid w:val="4D5D2365"/>
    <w:rsid w:val="4DCB17F7"/>
    <w:rsid w:val="4ED83989"/>
    <w:rsid w:val="4FF8334D"/>
    <w:rsid w:val="5105209D"/>
    <w:rsid w:val="525956D3"/>
    <w:rsid w:val="5273518F"/>
    <w:rsid w:val="529E0326"/>
    <w:rsid w:val="53423D16"/>
    <w:rsid w:val="534B0A6F"/>
    <w:rsid w:val="539D45B7"/>
    <w:rsid w:val="53CA557A"/>
    <w:rsid w:val="545A32FC"/>
    <w:rsid w:val="547D6E0D"/>
    <w:rsid w:val="55382DBA"/>
    <w:rsid w:val="55596194"/>
    <w:rsid w:val="55950B3F"/>
    <w:rsid w:val="56A54B82"/>
    <w:rsid w:val="57193C9E"/>
    <w:rsid w:val="584110E8"/>
    <w:rsid w:val="587C329C"/>
    <w:rsid w:val="595B205E"/>
    <w:rsid w:val="5A4777C5"/>
    <w:rsid w:val="5A6E001E"/>
    <w:rsid w:val="5AE71C9E"/>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B5C34"/>
    <w:rsid w:val="68D67EF7"/>
    <w:rsid w:val="694279A9"/>
    <w:rsid w:val="698F00A6"/>
    <w:rsid w:val="6A052E9A"/>
    <w:rsid w:val="6A670A41"/>
    <w:rsid w:val="6A800692"/>
    <w:rsid w:val="6AA92F34"/>
    <w:rsid w:val="6BAC3EA4"/>
    <w:rsid w:val="6BF3478F"/>
    <w:rsid w:val="6D370E4B"/>
    <w:rsid w:val="6DE10695"/>
    <w:rsid w:val="6E0B49D4"/>
    <w:rsid w:val="6E6658CD"/>
    <w:rsid w:val="6E7E61B3"/>
    <w:rsid w:val="6F1A55B9"/>
    <w:rsid w:val="6F9841D5"/>
    <w:rsid w:val="711B411C"/>
    <w:rsid w:val="73037173"/>
    <w:rsid w:val="73645C00"/>
    <w:rsid w:val="7392213F"/>
    <w:rsid w:val="739F5CC0"/>
    <w:rsid w:val="73F75A9D"/>
    <w:rsid w:val="748F3673"/>
    <w:rsid w:val="755C54CB"/>
    <w:rsid w:val="762B73A9"/>
    <w:rsid w:val="76562678"/>
    <w:rsid w:val="772F4719"/>
    <w:rsid w:val="773504DF"/>
    <w:rsid w:val="77FD6A1D"/>
    <w:rsid w:val="78667688"/>
    <w:rsid w:val="79492020"/>
    <w:rsid w:val="79B62264"/>
    <w:rsid w:val="7A192AA7"/>
    <w:rsid w:val="7B395E66"/>
    <w:rsid w:val="7C0B3B0A"/>
    <w:rsid w:val="7C4831AB"/>
    <w:rsid w:val="7CA6287C"/>
    <w:rsid w:val="7E3135CA"/>
    <w:rsid w:val="7E4702F4"/>
    <w:rsid w:val="7E677C6B"/>
    <w:rsid w:val="7ECD6788"/>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3">
    <w:name w:val="font21"/>
    <w:basedOn w:val="15"/>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19</Pages>
  <Words>9884</Words>
  <Characters>10306</Characters>
  <Lines>6</Lines>
  <Paragraphs>1</Paragraphs>
  <TotalTime>33</TotalTime>
  <ScaleCrop>false</ScaleCrop>
  <LinksUpToDate>false</LinksUpToDate>
  <CharactersWithSpaces>11162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2026-04-28T06:55:49Z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B188107551D54B8489958396D5264484_13</vt:lpwstr>
  </property>
  <property fmtid="{D5CDD505-2E9C-101B-9397-08002B2CF9AE}" pid="5" name="KSOTemplateDocerSaveRecord">
    <vt:lpwstr>eyJoZGlkIjoiNmMyMTAzZGJhYmZjM2QxZDk4OTE3MDVkMTNlYTIzODgiLCJ1c2VySWQiOiIyNjc5NjA4NjEifQ==</vt:lpwstr>
  </property>
</Properties>
</file>