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bookmarkStart w:id="1" w:name="_GoBack"/>
      <w:bookmarkEnd w:id="1"/>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除颤仪</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w:t>
            </w:r>
            <w:bookmarkStart w:id="0" w:name="OLE_LINK1"/>
            <w:r>
              <w:rPr>
                <w:rFonts w:hint="eastAsia" w:ascii="宋体" w:hAnsi="宋体" w:eastAsia="宋体" w:cs="宋体"/>
                <w:b w:val="0"/>
                <w:bCs w:val="0"/>
                <w:color w:val="auto"/>
                <w:sz w:val="21"/>
                <w:szCs w:val="21"/>
                <w:lang w:val="en-US" w:eastAsia="zh-CN"/>
              </w:rPr>
              <w:t>除颤仪</w:t>
            </w:r>
            <w:bookmarkEnd w:id="0"/>
          </w:p>
        </w:tc>
        <w:tc>
          <w:tcPr>
            <w:tcW w:w="2869" w:type="dxa"/>
            <w:gridSpan w:val="2"/>
            <w:vAlign w:val="top"/>
          </w:tcPr>
          <w:p>
            <w:pPr>
              <w:jc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2026-sb-cg-003</w:t>
            </w:r>
          </w:p>
        </w:tc>
        <w:tc>
          <w:tcPr>
            <w:tcW w:w="3440" w:type="dxa"/>
            <w:vAlign w:val="top"/>
          </w:tcPr>
          <w:p>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项目预算总金额：3.2万元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除颤仪</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30</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30</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宋体"/>
                <w:b/>
                <w:szCs w:val="21"/>
              </w:rPr>
              <w:t>一</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szCs w:val="21"/>
              </w:rPr>
              <w:t>总体要求：</w:t>
            </w:r>
            <w:r>
              <w:rPr>
                <w:rFonts w:hint="eastAsia" w:ascii="宋体" w:hAnsi="宋体" w:cs="宋体"/>
                <w:szCs w:val="21"/>
              </w:rPr>
              <w:t>除颤仪  1台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Times New Roman"/>
                <w:kern w:val="2"/>
                <w:sz w:val="21"/>
                <w:szCs w:val="21"/>
                <w:highlight w:val="none"/>
                <w:lang w:val="en-US" w:eastAsia="zh-CN" w:bidi="ar-SA"/>
              </w:rPr>
            </w:pPr>
            <w:r>
              <w:rPr>
                <w:rFonts w:hint="eastAsia" w:ascii="宋体" w:hAnsi="宋体" w:cs="宋体"/>
                <w:color w:val="000000"/>
                <w:szCs w:val="21"/>
              </w:rPr>
              <w:t>1.1.</w:t>
            </w:r>
          </w:p>
        </w:tc>
        <w:tc>
          <w:tcPr>
            <w:tcW w:w="3620" w:type="pct"/>
            <w:noWrap w:val="0"/>
            <w:vAlign w:val="center"/>
          </w:tcPr>
          <w:p>
            <w:pPr>
              <w:rPr>
                <w:rFonts w:hint="eastAsia" w:ascii="宋体" w:hAnsi="宋体" w:eastAsia="宋体" w:cs="宋体"/>
                <w:b w:val="0"/>
                <w:bCs w:val="0"/>
                <w:sz w:val="21"/>
                <w:szCs w:val="21"/>
              </w:rPr>
            </w:pPr>
            <w:r>
              <w:rPr>
                <w:rFonts w:hint="eastAsia" w:ascii="宋体" w:hAnsi="宋体" w:cs="宋体"/>
                <w:color w:val="000000"/>
                <w:szCs w:val="21"/>
              </w:rPr>
              <w:t>该产品由主机、电池、除颤监护仪软件以及附件组成。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1.2.</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产品适用范围：产品用于对患者进行手动除颤、体外自动除颤（AED）、起搏、心电（ECG）监护。监护信息可以显示、回顾、和打印。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b/>
                <w:bCs/>
                <w:color w:val="000000"/>
                <w:szCs w:val="21"/>
              </w:rPr>
              <w:t>二</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color w:val="000000"/>
                <w:szCs w:val="21"/>
              </w:rPr>
              <w:t>功能要求及技术参数：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lang w:val="en-US" w:eastAsia="zh-CN"/>
              </w:rPr>
              <w:t>▲</w:t>
            </w:r>
            <w:r>
              <w:rPr>
                <w:rFonts w:hint="eastAsia" w:ascii="宋体" w:hAnsi="宋体" w:cs="宋体"/>
                <w:color w:val="000000"/>
                <w:szCs w:val="21"/>
              </w:rPr>
              <w:t>2.1.</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具备手动除颤、心电监护、呼吸监护、自动体外除颤（AED）功能，AED功能适用于29天以上人群。</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ascii="宋体" w:hAnsi="宋体" w:cs="宋体"/>
                <w:color w:val="000000"/>
                <w:szCs w:val="21"/>
              </w:rPr>
              <w:t>2.2.</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整机带电极板、电池的重量不超过6kg。</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2.3.</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除颤采用双相波技术，具备自动阻抗补偿功能。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2.4.</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手动除颤分为同步和非同步两种方式，能量分20档以上，可通过体外电极板进行能量选择。</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2.5.</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最高除颤能量可达360J,能量选择范围1-360J，以上除颤充电迅速，充电至200J≤5s。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2.6.</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配置体外起搏功能，起搏分为固定和按需两种模式。具备慢速起搏功能。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2.7.</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CPR辅助功能，可指导CPR操作。</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2.8.</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心电波形扫描时间&gt;10s，扫描长度&gt;100mm。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2.9.</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可选配血氧饱和度、无创血压监护功能。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2.10.</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Cs w:val="21"/>
              </w:rPr>
              <w:t>可充电锂电池，支持100次以上360J除颤。</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2.11.</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具备生理报警和技术报警功能，通过声音、灯光等多种方式进行报警。</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2.12.</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成人、小儿一体化电极板，可选用除颤起搏监护多功能电极片。</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2.13.</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支持中文操作界面、AED中文语音提示。</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2.14.</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彩色TFT显示屏&gt;6”, 分辨率640×480，最多可显示3通道监护参数波形，有高对比度显示界面。</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2.15.</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50mm记录仪，自动打印除颤记录，可延迟打印心电，延迟时间&gt;10s。</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2.16.</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可存储24小时连续ECG波形，数据可导出至电脑查看。</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2.17.</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关机状态下设备可自动运行自检，支持大能量自检（不低于150J）、屏幕、按键检测。</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2.18.</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可在-10ºC环境正常工作，存储温度-30～70ºC。</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ascii="宋体" w:hAnsi="宋体" w:eastAsia="宋体" w:cs="宋体"/>
                <w:kern w:val="2"/>
                <w:sz w:val="21"/>
                <w:szCs w:val="21"/>
                <w:highlight w:val="none"/>
                <w:lang w:val="en-US" w:eastAsia="zh-CN" w:bidi="ar-SA"/>
              </w:rPr>
            </w:pPr>
            <w:r>
              <w:rPr>
                <w:rFonts w:hint="eastAsia" w:ascii="宋体" w:hAnsi="宋体" w:cs="宋体"/>
                <w:color w:val="000000"/>
                <w:szCs w:val="21"/>
              </w:rPr>
              <w:t>2.19.</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符合除颤国际专用安全标准IEC60601-2-4:2002。</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szCs w:val="21"/>
              </w:rPr>
              <w:t>2.20.</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color w:val="000000"/>
                <w:szCs w:val="21"/>
              </w:rPr>
              <w:t>符合欧盟救护车标准EN1789:2007。</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eastAsia="宋体"/>
                <w:color w:val="000000"/>
                <w:sz w:val="24"/>
                <w:lang w:eastAsia="zh-CN"/>
              </w:rPr>
            </w:pPr>
            <w:r>
              <w:rPr>
                <w:rFonts w:hint="eastAsia" w:ascii="宋体" w:hAnsi="宋体" w:cs="宋体"/>
                <w:color w:val="000000"/>
                <w:szCs w:val="21"/>
              </w:rPr>
              <w:t>2.21.</w:t>
            </w:r>
          </w:p>
        </w:tc>
        <w:tc>
          <w:tcPr>
            <w:tcW w:w="3620" w:type="pct"/>
            <w:noWrap w:val="0"/>
            <w:vAlign w:val="center"/>
          </w:tcPr>
          <w:p>
            <w:pPr>
              <w:rPr>
                <w:color w:val="000000"/>
                <w:sz w:val="24"/>
              </w:rPr>
            </w:pPr>
            <w:r>
              <w:rPr>
                <w:rFonts w:hint="eastAsia" w:ascii="宋体" w:hAnsi="宋体" w:cs="宋体"/>
                <w:color w:val="000000"/>
                <w:szCs w:val="21"/>
              </w:rPr>
              <w:t>具备良好的防尘防水性能，防水级别IP44。</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color w:val="FF0000"/>
                <w:sz w:val="24"/>
                <w:highlight w:val="none"/>
              </w:rPr>
            </w:pPr>
            <w:r>
              <w:rPr>
                <w:rFonts w:hint="eastAsia" w:ascii="宋体" w:hAnsi="宋体" w:cs="宋体"/>
                <w:color w:val="000000"/>
                <w:szCs w:val="21"/>
              </w:rPr>
              <w:t>2.22.</w:t>
            </w:r>
          </w:p>
        </w:tc>
        <w:tc>
          <w:tcPr>
            <w:tcW w:w="3620" w:type="pct"/>
            <w:noWrap w:val="0"/>
            <w:vAlign w:val="center"/>
          </w:tcPr>
          <w:p>
            <w:pPr>
              <w:rPr>
                <w:rFonts w:hint="default" w:eastAsia="宋体"/>
                <w:color w:val="FF0000"/>
                <w:sz w:val="24"/>
                <w:highlight w:val="none"/>
                <w:lang w:val="en-US" w:eastAsia="zh-CN"/>
              </w:rPr>
            </w:pPr>
            <w:r>
              <w:rPr>
                <w:rFonts w:hint="eastAsia" w:ascii="宋体" w:hAnsi="宋体" w:cs="宋体"/>
                <w:color w:val="000000"/>
                <w:szCs w:val="21"/>
              </w:rPr>
              <w:t>具备优异的抗跌落性能，裸机可承受0.75m跌落冲击。</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3"/>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cs="宋体"/>
                <w:i w:val="0"/>
                <w:iCs w:val="0"/>
                <w:color w:val="000000"/>
                <w:kern w:val="0"/>
                <w:sz w:val="22"/>
                <w:szCs w:val="22"/>
                <w:u w:val="none"/>
                <w:lang w:val="en-US" w:eastAsia="zh-CN" w:bidi="ar"/>
              </w:rPr>
              <w:t>除颤仪</w:t>
            </w:r>
            <w:r>
              <w:rPr>
                <w:rFonts w:hint="eastAsia" w:ascii="宋体" w:hAnsi="宋体" w:eastAsia="宋体" w:cs="宋体"/>
                <w:i w:val="0"/>
                <w:iCs w:val="0"/>
                <w:color w:val="000000"/>
                <w:kern w:val="0"/>
                <w:sz w:val="22"/>
                <w:szCs w:val="22"/>
                <w:u w:val="none"/>
                <w:lang w:val="en-US" w:eastAsia="zh-CN" w:bidi="ar"/>
              </w:rPr>
              <w:t>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ascii="宋体" w:hAnsi="宋体" w:cs="Times New Roman"/>
                <w:b w:val="0"/>
                <w:bCs/>
                <w:color w:val="FF0000"/>
                <w:szCs w:val="21"/>
                <w:highlight w:val="none"/>
                <w:lang w:val="en-US" w:eastAsia="zh-CN"/>
              </w:rPr>
              <w:t>3</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45114"/>
    <w:rsid w:val="01E94947"/>
    <w:rsid w:val="02B15ED7"/>
    <w:rsid w:val="032B7EBE"/>
    <w:rsid w:val="03305FFE"/>
    <w:rsid w:val="037761DC"/>
    <w:rsid w:val="037819C8"/>
    <w:rsid w:val="04165086"/>
    <w:rsid w:val="05DC159B"/>
    <w:rsid w:val="07827398"/>
    <w:rsid w:val="079468F0"/>
    <w:rsid w:val="088815A9"/>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65B3C1A"/>
    <w:rsid w:val="17453125"/>
    <w:rsid w:val="182217CF"/>
    <w:rsid w:val="184F31D7"/>
    <w:rsid w:val="19915A12"/>
    <w:rsid w:val="1A2E6DE6"/>
    <w:rsid w:val="1ABB0DE6"/>
    <w:rsid w:val="1D4821A9"/>
    <w:rsid w:val="202B56B1"/>
    <w:rsid w:val="209E6C14"/>
    <w:rsid w:val="22723315"/>
    <w:rsid w:val="22CF7097"/>
    <w:rsid w:val="22E944F8"/>
    <w:rsid w:val="232E51F6"/>
    <w:rsid w:val="23705E06"/>
    <w:rsid w:val="23884864"/>
    <w:rsid w:val="24170AD0"/>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6E440AD"/>
    <w:rsid w:val="37C66C9B"/>
    <w:rsid w:val="37D14649"/>
    <w:rsid w:val="3877509F"/>
    <w:rsid w:val="397306B8"/>
    <w:rsid w:val="39BD6D12"/>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537CEB"/>
    <w:rsid w:val="477517FF"/>
    <w:rsid w:val="479F5F87"/>
    <w:rsid w:val="497E50E4"/>
    <w:rsid w:val="49942410"/>
    <w:rsid w:val="49CC2349"/>
    <w:rsid w:val="4A254910"/>
    <w:rsid w:val="4AA864D5"/>
    <w:rsid w:val="4B623E4F"/>
    <w:rsid w:val="4B956476"/>
    <w:rsid w:val="4CBE1552"/>
    <w:rsid w:val="4D3D3121"/>
    <w:rsid w:val="4D5D2365"/>
    <w:rsid w:val="4DCB17F7"/>
    <w:rsid w:val="4ED83989"/>
    <w:rsid w:val="5105209D"/>
    <w:rsid w:val="5273518F"/>
    <w:rsid w:val="529E0326"/>
    <w:rsid w:val="53423D16"/>
    <w:rsid w:val="534B0A6F"/>
    <w:rsid w:val="539D45B7"/>
    <w:rsid w:val="53CA557A"/>
    <w:rsid w:val="545A32FC"/>
    <w:rsid w:val="547D6E0D"/>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165EA"/>
    <w:rsid w:val="68AB5C34"/>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4EA70D7"/>
    <w:rsid w:val="755C54CB"/>
    <w:rsid w:val="762B73A9"/>
    <w:rsid w:val="772F4719"/>
    <w:rsid w:val="773504DF"/>
    <w:rsid w:val="77FD6A1D"/>
    <w:rsid w:val="78667688"/>
    <w:rsid w:val="79492020"/>
    <w:rsid w:val="79B62264"/>
    <w:rsid w:val="7A192AA7"/>
    <w:rsid w:val="7B395E66"/>
    <w:rsid w:val="7C0B3B0A"/>
    <w:rsid w:val="7C4831AB"/>
    <w:rsid w:val="7CA6287C"/>
    <w:rsid w:val="7E3135CA"/>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3">
    <w:name w:val="font21"/>
    <w:basedOn w:val="15"/>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9873</Words>
  <Characters>10320</Characters>
  <Lines>6</Lines>
  <Paragraphs>1</Paragraphs>
  <TotalTime>0</TotalTime>
  <ScaleCrop>false</ScaleCrop>
  <LinksUpToDate>false</LinksUpToDate>
  <CharactersWithSpaces>11187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2026-04-23T06:36:54Z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D1731A9165DC4B7B9250F7F64F0B997B_13</vt:lpwstr>
  </property>
  <property fmtid="{D5CDD505-2E9C-101B-9397-08002B2CF9AE}" pid="5" name="KSOTemplateDocerSaveRecord">
    <vt:lpwstr>eyJoZGlkIjoiNmMyMTAzZGJhYmZjM2QxZDk4OTE3MDVkMTNlYTIzODgiLCJ1c2VySWQiOiIyNjc5NjA4NjEifQ==</vt:lpwstr>
  </property>
</Properties>
</file>