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965D8">
      <w:pPr>
        <w:jc w:val="distribute"/>
        <w:rPr>
          <w:rFonts w:ascii="宋体" w:hAnsi="宋体" w:cs="宋体"/>
          <w:b/>
          <w:bCs/>
          <w:color w:val="auto"/>
          <w:sz w:val="56"/>
          <w:szCs w:val="56"/>
          <w:highlight w:val="none"/>
        </w:rPr>
      </w:pPr>
      <w:r>
        <w:rPr>
          <w:rFonts w:hint="eastAsia" w:ascii="宋体" w:hAnsi="宋体" w:cs="宋体"/>
          <w:color w:val="auto"/>
          <w:spacing w:val="20"/>
          <w:sz w:val="96"/>
          <w:szCs w:val="28"/>
          <w:highlight w:val="none"/>
        </w:rPr>
        <w:t>温州市中医院</w:t>
      </w:r>
    </w:p>
    <w:p w14:paraId="6A99FBED">
      <w:pPr>
        <w:jc w:val="center"/>
        <w:rPr>
          <w:rFonts w:ascii="宋体" w:hAnsi="宋体" w:cs="宋体"/>
          <w:b/>
          <w:bCs/>
          <w:color w:val="auto"/>
          <w:spacing w:val="26"/>
          <w:sz w:val="52"/>
          <w:highlight w:val="none"/>
        </w:rPr>
      </w:pPr>
    </w:p>
    <w:p w14:paraId="2127104F">
      <w:pPr>
        <w:ind w:firstLine="2357" w:firstLineChars="235"/>
        <w:rPr>
          <w:rFonts w:ascii="宋体" w:hAnsi="宋体" w:cs="宋体"/>
          <w:b/>
          <w:bCs/>
          <w:color w:val="auto"/>
          <w:spacing w:val="140"/>
          <w:sz w:val="72"/>
          <w:highlight w:val="none"/>
        </w:rPr>
      </w:pPr>
    </w:p>
    <w:p w14:paraId="7954FC69">
      <w:pPr>
        <w:adjustRightInd w:val="0"/>
        <w:snapToGrid w:val="0"/>
        <w:spacing w:line="480" w:lineRule="auto"/>
        <w:ind w:right="361"/>
        <w:jc w:val="center"/>
        <w:rPr>
          <w:rFonts w:ascii="宋体" w:hAnsi="宋体" w:cs="宋体"/>
          <w:color w:val="auto"/>
          <w:sz w:val="72"/>
          <w:szCs w:val="72"/>
          <w:highlight w:val="none"/>
        </w:rPr>
      </w:pPr>
      <w:r>
        <w:rPr>
          <w:rFonts w:hint="eastAsia" w:ascii="宋体" w:hAnsi="宋体" w:cs="宋体"/>
          <w:color w:val="auto"/>
          <w:sz w:val="72"/>
          <w:szCs w:val="72"/>
          <w:highlight w:val="none"/>
        </w:rPr>
        <w:t>招标文件</w:t>
      </w:r>
    </w:p>
    <w:tbl>
      <w:tblPr>
        <w:tblStyle w:val="55"/>
        <w:tblW w:w="0" w:type="auto"/>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1"/>
        <w:gridCol w:w="5282"/>
      </w:tblGrid>
      <w:tr w14:paraId="1A6F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1" w:type="dxa"/>
            <w:vAlign w:val="center"/>
          </w:tcPr>
          <w:p w14:paraId="3B9C14CF">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项目编号</w:t>
            </w:r>
            <w:r>
              <w:rPr>
                <w:rFonts w:hint="eastAsia" w:ascii="宋体" w:hAnsi="宋体" w:cs="宋体"/>
                <w:color w:val="auto"/>
                <w:spacing w:val="40"/>
                <w:sz w:val="28"/>
                <w:highlight w:val="none"/>
              </w:rPr>
              <w:t>：</w:t>
            </w:r>
          </w:p>
        </w:tc>
        <w:tc>
          <w:tcPr>
            <w:tcW w:w="5282" w:type="dxa"/>
            <w:vAlign w:val="center"/>
          </w:tcPr>
          <w:p w14:paraId="62103B18">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WZLCZB（W）-2026-02024</w:t>
            </w:r>
          </w:p>
        </w:tc>
      </w:tr>
      <w:tr w14:paraId="607F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1" w:type="dxa"/>
            <w:vAlign w:val="center"/>
          </w:tcPr>
          <w:p w14:paraId="40D6A2A3">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项目名称：</w:t>
            </w:r>
          </w:p>
        </w:tc>
        <w:tc>
          <w:tcPr>
            <w:tcW w:w="5282" w:type="dxa"/>
            <w:vAlign w:val="center"/>
          </w:tcPr>
          <w:p w14:paraId="053BC55C">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医技检查预约平台项目</w:t>
            </w:r>
          </w:p>
        </w:tc>
      </w:tr>
      <w:tr w14:paraId="4109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1" w:type="dxa"/>
            <w:vAlign w:val="center"/>
          </w:tcPr>
          <w:p w14:paraId="0E739AD8">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采购方式：</w:t>
            </w:r>
          </w:p>
        </w:tc>
        <w:tc>
          <w:tcPr>
            <w:tcW w:w="5282" w:type="dxa"/>
            <w:vAlign w:val="center"/>
          </w:tcPr>
          <w:p w14:paraId="4A3F58A8">
            <w:pPr>
              <w:spacing w:line="700" w:lineRule="exact"/>
              <w:jc w:val="center"/>
              <w:rPr>
                <w:rFonts w:hint="eastAsia" w:ascii="宋体" w:hAnsi="宋体" w:eastAsia="宋体" w:cs="宋体"/>
                <w:color w:val="auto"/>
                <w:sz w:val="24"/>
                <w:highlight w:val="none"/>
                <w:lang w:eastAsia="zh-CN"/>
              </w:rPr>
            </w:pPr>
            <w:bookmarkStart w:id="0" w:name="OLE_LINK3"/>
            <w:r>
              <w:rPr>
                <w:rFonts w:hint="eastAsia" w:ascii="宋体" w:hAnsi="宋体" w:cs="宋体"/>
                <w:color w:val="auto"/>
                <w:spacing w:val="40"/>
                <w:sz w:val="30"/>
                <w:szCs w:val="30"/>
                <w:highlight w:val="none"/>
              </w:rPr>
              <w:t>公开招标</w:t>
            </w:r>
            <w:bookmarkEnd w:id="0"/>
          </w:p>
        </w:tc>
      </w:tr>
      <w:tr w14:paraId="4D7E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1" w:type="dxa"/>
            <w:vAlign w:val="center"/>
          </w:tcPr>
          <w:p w14:paraId="2A1D41A3">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评审方式：</w:t>
            </w:r>
          </w:p>
        </w:tc>
        <w:tc>
          <w:tcPr>
            <w:tcW w:w="5282" w:type="dxa"/>
            <w:vAlign w:val="center"/>
          </w:tcPr>
          <w:p w14:paraId="35892C9B">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线上电子招投标</w:t>
            </w:r>
          </w:p>
        </w:tc>
      </w:tr>
    </w:tbl>
    <w:p w14:paraId="477125E6">
      <w:pPr>
        <w:keepLines w:val="0"/>
        <w:pageBreakBefore w:val="0"/>
        <w:widowControl w:val="0"/>
        <w:kinsoku/>
        <w:wordWrap/>
        <w:overflowPunct/>
        <w:topLinePunct w:val="0"/>
        <w:autoSpaceDE/>
        <w:autoSpaceDN/>
        <w:bidi w:val="0"/>
        <w:adjustRightInd/>
        <w:snapToGrid/>
        <w:spacing w:line="700" w:lineRule="exact"/>
        <w:ind w:firstLine="723" w:firstLineChars="300"/>
        <w:jc w:val="left"/>
        <w:textAlignment w:val="auto"/>
        <w:outlineLvl w:val="9"/>
        <w:rPr>
          <w:rFonts w:ascii="宋体" w:hAnsi="宋体" w:cs="宋体"/>
          <w:b/>
          <w:bCs/>
          <w:color w:val="auto"/>
          <w:sz w:val="24"/>
          <w:highlight w:val="none"/>
        </w:rPr>
      </w:pPr>
    </w:p>
    <w:p w14:paraId="2EB12BE2">
      <w:pPr>
        <w:keepLines w:val="0"/>
        <w:pageBreakBefore w:val="0"/>
        <w:widowControl w:val="0"/>
        <w:kinsoku/>
        <w:wordWrap/>
        <w:overflowPunct/>
        <w:topLinePunct w:val="0"/>
        <w:autoSpaceDE/>
        <w:autoSpaceDN/>
        <w:bidi w:val="0"/>
        <w:adjustRightInd/>
        <w:snapToGrid/>
        <w:spacing w:line="700" w:lineRule="exact"/>
        <w:ind w:firstLine="1144" w:firstLineChars="300"/>
        <w:jc w:val="left"/>
        <w:textAlignment w:val="auto"/>
        <w:outlineLvl w:val="9"/>
        <w:rPr>
          <w:rFonts w:ascii="宋体" w:hAnsi="宋体" w:cs="宋体"/>
          <w:b/>
          <w:color w:val="auto"/>
          <w:spacing w:val="40"/>
          <w:sz w:val="30"/>
          <w:szCs w:val="30"/>
          <w:highlight w:val="none"/>
        </w:rPr>
      </w:pPr>
    </w:p>
    <w:p w14:paraId="2821A79F">
      <w:pPr>
        <w:keepLines w:val="0"/>
        <w:pageBreakBefore w:val="0"/>
        <w:widowControl w:val="0"/>
        <w:kinsoku/>
        <w:wordWrap/>
        <w:overflowPunct/>
        <w:topLinePunct w:val="0"/>
        <w:autoSpaceDE/>
        <w:autoSpaceDN/>
        <w:bidi w:val="0"/>
        <w:adjustRightInd/>
        <w:snapToGrid/>
        <w:spacing w:line="700" w:lineRule="exact"/>
        <w:ind w:left="3802" w:leftChars="540" w:hanging="2668" w:hangingChars="700"/>
        <w:textAlignment w:val="auto"/>
        <w:outlineLvl w:val="9"/>
        <w:rPr>
          <w:rFonts w:ascii="宋体" w:hAnsi="宋体" w:cs="宋体"/>
          <w:b/>
          <w:color w:val="auto"/>
          <w:spacing w:val="40"/>
          <w:sz w:val="30"/>
          <w:szCs w:val="30"/>
          <w:highlight w:val="none"/>
        </w:rPr>
      </w:pPr>
    </w:p>
    <w:p w14:paraId="71FFF166">
      <w:pPr>
        <w:keepNext/>
        <w:keepLines w:val="0"/>
        <w:pageBreakBefore w:val="0"/>
        <w:widowControl w:val="0"/>
        <w:kinsoku/>
        <w:wordWrap/>
        <w:overflowPunct/>
        <w:topLinePunct w:val="0"/>
        <w:autoSpaceDE/>
        <w:autoSpaceDN/>
        <w:bidi w:val="0"/>
        <w:adjustRightInd/>
        <w:snapToGrid/>
        <w:spacing w:line="700" w:lineRule="exact"/>
        <w:textAlignment w:val="auto"/>
        <w:outlineLvl w:val="9"/>
        <w:rPr>
          <w:rFonts w:ascii="宋体" w:hAnsi="宋体" w:cs="宋体"/>
          <w:b/>
          <w:color w:val="auto"/>
          <w:spacing w:val="40"/>
          <w:sz w:val="30"/>
          <w:szCs w:val="30"/>
          <w:highlight w:val="none"/>
        </w:rPr>
      </w:pPr>
    </w:p>
    <w:p w14:paraId="6A8ADF31">
      <w:pPr>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14:paraId="63E20754">
      <w:pPr>
        <w:keepLines w:val="0"/>
        <w:pageBreakBefore w:val="0"/>
        <w:widowControl w:val="0"/>
        <w:kinsoku/>
        <w:wordWrap/>
        <w:overflowPunct/>
        <w:topLinePunct w:val="0"/>
        <w:autoSpaceDE/>
        <w:autoSpaceDN/>
        <w:bidi w:val="0"/>
        <w:adjustRightInd/>
        <w:snapToGrid/>
        <w:textAlignment w:val="auto"/>
        <w:outlineLvl w:val="9"/>
        <w:rPr>
          <w:rFonts w:ascii="宋体" w:hAnsi="宋体" w:eastAsia="宋体" w:cs="宋体"/>
          <w:color w:val="auto"/>
          <w:spacing w:val="40"/>
          <w:sz w:val="30"/>
          <w:szCs w:val="30"/>
          <w:highlight w:val="none"/>
        </w:rPr>
      </w:pPr>
    </w:p>
    <w:p w14:paraId="4A0D3467">
      <w:pPr>
        <w:rPr>
          <w:color w:val="auto"/>
          <w:highlight w:val="none"/>
        </w:rPr>
      </w:pPr>
    </w:p>
    <w:p w14:paraId="46C8ED66">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招标人:温州市中医院</w:t>
      </w:r>
    </w:p>
    <w:p w14:paraId="6C7FACAA">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招标代理机构：</w:t>
      </w:r>
      <w:bookmarkStart w:id="1" w:name="OLE_LINK2"/>
      <w:r>
        <w:rPr>
          <w:rFonts w:hint="eastAsia" w:ascii="宋体" w:hAnsi="宋体" w:cs="宋体"/>
          <w:color w:val="auto"/>
          <w:spacing w:val="30"/>
          <w:sz w:val="30"/>
          <w:highlight w:val="none"/>
        </w:rPr>
        <w:t>温州历程招标有限公司</w:t>
      </w:r>
      <w:bookmarkEnd w:id="1"/>
    </w:p>
    <w:p w14:paraId="3237A794">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cs="宋体"/>
          <w:color w:val="auto"/>
          <w:spacing w:val="30"/>
          <w:sz w:val="30"/>
          <w:highlight w:val="none"/>
        </w:rPr>
        <w:t>年</w:t>
      </w:r>
    </w:p>
    <w:p w14:paraId="6E81E7C5">
      <w:pPr>
        <w:rPr>
          <w:color w:val="auto"/>
          <w:highlight w:val="none"/>
        </w:rPr>
      </w:pPr>
      <w:r>
        <w:rPr>
          <w:rFonts w:hint="eastAsia" w:ascii="宋体" w:hAnsi="宋体" w:cs="宋体"/>
          <w:b/>
          <w:color w:val="auto"/>
          <w:sz w:val="36"/>
          <w:szCs w:val="36"/>
          <w:highlight w:val="none"/>
        </w:rPr>
        <w:br w:type="page"/>
      </w:r>
    </w:p>
    <w:sdt>
      <w:sdtPr>
        <w:rPr>
          <w:rFonts w:hint="eastAsia" w:ascii="宋体" w:hAnsi="宋体" w:cs="宋体"/>
          <w:color w:val="auto"/>
          <w:highlight w:val="none"/>
        </w:rPr>
        <w:id w:val="147459729"/>
        <w:docPartObj>
          <w:docPartGallery w:val="Table of Contents"/>
          <w:docPartUnique/>
        </w:docPartObj>
      </w:sdtPr>
      <w:sdtEndPr>
        <w:rPr>
          <w:rFonts w:hint="eastAsia" w:ascii="宋体" w:hAnsi="宋体" w:cs="宋体"/>
          <w:color w:val="auto"/>
          <w:szCs w:val="36"/>
          <w:highlight w:val="none"/>
        </w:rPr>
      </w:sdtEndPr>
      <w:sdtContent>
        <w:p w14:paraId="32FAC97F">
          <w:pPr>
            <w:jc w:val="center"/>
            <w:rPr>
              <w:rFonts w:ascii="宋体" w:hAnsi="宋体" w:cs="宋体"/>
              <w:color w:val="auto"/>
              <w:highlight w:val="none"/>
            </w:rPr>
          </w:pPr>
        </w:p>
        <w:p w14:paraId="6989CC9F">
          <w:pPr>
            <w:pStyle w:val="40"/>
            <w:tabs>
              <w:tab w:val="right" w:leader="dot" w:pos="9638"/>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录</w:t>
          </w:r>
        </w:p>
        <w:p w14:paraId="2FB12F6E">
          <w:pPr>
            <w:pStyle w:val="40"/>
            <w:tabs>
              <w:tab w:val="right" w:leader="dot" w:pos="9638"/>
            </w:tabs>
            <w:spacing w:line="360" w:lineRule="auto"/>
            <w:rPr>
              <w:color w:val="auto"/>
              <w:sz w:val="22"/>
              <w:szCs w:val="28"/>
              <w:highlight w:val="none"/>
            </w:rPr>
          </w:pPr>
          <w:r>
            <w:rPr>
              <w:rFonts w:hint="eastAsia" w:ascii="宋体" w:hAnsi="宋体" w:cs="宋体"/>
              <w:b/>
              <w:color w:val="auto"/>
              <w:sz w:val="40"/>
              <w:szCs w:val="40"/>
              <w:highlight w:val="none"/>
            </w:rPr>
            <w:fldChar w:fldCharType="begin"/>
          </w:r>
          <w:r>
            <w:rPr>
              <w:rFonts w:hint="eastAsia" w:ascii="宋体" w:hAnsi="宋体" w:cs="宋体"/>
              <w:b/>
              <w:color w:val="auto"/>
              <w:sz w:val="40"/>
              <w:szCs w:val="40"/>
              <w:highlight w:val="none"/>
            </w:rPr>
            <w:instrText xml:space="preserve">TOC \o "1-3" \h \u </w:instrText>
          </w:r>
          <w:r>
            <w:rPr>
              <w:rFonts w:hint="eastAsia" w:ascii="宋体" w:hAnsi="宋体" w:cs="宋体"/>
              <w:b/>
              <w:color w:val="auto"/>
              <w:sz w:val="40"/>
              <w:szCs w:val="40"/>
              <w:highlight w:val="none"/>
            </w:rPr>
            <w:fldChar w:fldCharType="separate"/>
          </w:r>
          <w:r>
            <w:rPr>
              <w:color w:val="auto"/>
              <w:highlight w:val="none"/>
            </w:rPr>
            <w:fldChar w:fldCharType="begin"/>
          </w:r>
          <w:r>
            <w:rPr>
              <w:color w:val="auto"/>
              <w:highlight w:val="none"/>
            </w:rPr>
            <w:instrText xml:space="preserve"> HYPERLINK \l "_Toc6599" </w:instrText>
          </w:r>
          <w:r>
            <w:rPr>
              <w:color w:val="auto"/>
              <w:highlight w:val="none"/>
            </w:rPr>
            <w:fldChar w:fldCharType="separate"/>
          </w:r>
          <w:r>
            <w:rPr>
              <w:rFonts w:hint="eastAsia" w:ascii="宋体" w:hAnsi="宋体" w:cs="宋体"/>
              <w:color w:val="auto"/>
              <w:sz w:val="22"/>
              <w:szCs w:val="28"/>
              <w:highlight w:val="none"/>
            </w:rPr>
            <w:t>招标公告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color w:val="auto"/>
              <w:sz w:val="22"/>
              <w:szCs w:val="28"/>
              <w:highlight w:val="none"/>
            </w:rPr>
            <w:fldChar w:fldCharType="end"/>
          </w:r>
        </w:p>
        <w:p w14:paraId="34A15D3A">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宋体" w:hAnsi="宋体" w:cs="宋体"/>
              <w:color w:val="auto"/>
              <w:sz w:val="22"/>
              <w:szCs w:val="28"/>
              <w:highlight w:val="none"/>
            </w:rPr>
            <w:t>第一部分</w:t>
          </w:r>
          <w:r>
            <w:rPr>
              <w:rFonts w:hint="eastAsia" w:ascii="宋体" w:hAnsi="宋体" w:cs="宋体"/>
              <w:color w:val="auto"/>
              <w:sz w:val="22"/>
              <w:szCs w:val="28"/>
              <w:highlight w:val="none"/>
              <w:lang w:val="en-US" w:eastAsia="zh-CN"/>
            </w:rPr>
            <w:t xml:space="preserve">  </w:t>
          </w:r>
          <w:r>
            <w:rPr>
              <w:rFonts w:hint="eastAsia" w:ascii="宋体" w:hAnsi="宋体" w:cs="宋体"/>
              <w:color w:val="auto"/>
              <w:sz w:val="22"/>
              <w:szCs w:val="28"/>
              <w:highlight w:val="none"/>
            </w:rPr>
            <w:t>投标人须知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0F1A9A8C">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"_Toc6224" </w:instrText>
          </w:r>
          <w:r>
            <w:rPr>
              <w:color w:val="auto"/>
              <w:highlight w:val="none"/>
            </w:rPr>
            <w:fldChar w:fldCharType="separate"/>
          </w:r>
          <w:r>
            <w:rPr>
              <w:rFonts w:hint="eastAsia" w:ascii="宋体" w:hAnsi="宋体" w:cs="宋体"/>
              <w:bCs/>
              <w:color w:val="auto"/>
              <w:sz w:val="22"/>
              <w:szCs w:val="28"/>
              <w:highlight w:val="none"/>
            </w:rPr>
            <w:t>前附表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4CF1EB7E">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"_Toc19070" </w:instrText>
          </w:r>
          <w:r>
            <w:rPr>
              <w:color w:val="auto"/>
              <w:highlight w:val="none"/>
            </w:rPr>
            <w:fldChar w:fldCharType="separate"/>
          </w:r>
          <w:r>
            <w:rPr>
              <w:rFonts w:hint="eastAsia" w:ascii="宋体" w:hAnsi="宋体" w:cs="宋体"/>
              <w:bCs/>
              <w:color w:val="auto"/>
              <w:sz w:val="22"/>
              <w:szCs w:val="28"/>
              <w:highlight w:val="none"/>
            </w:rPr>
            <w:t>一、说明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10</w:t>
          </w:r>
          <w:r>
            <w:rPr>
              <w:color w:val="auto"/>
              <w:sz w:val="22"/>
              <w:szCs w:val="28"/>
              <w:highlight w:val="none"/>
            </w:rPr>
            <w:fldChar w:fldCharType="end"/>
          </w:r>
          <w:r>
            <w:rPr>
              <w:color w:val="auto"/>
              <w:sz w:val="22"/>
              <w:szCs w:val="28"/>
              <w:highlight w:val="none"/>
            </w:rPr>
            <w:fldChar w:fldCharType="end"/>
          </w:r>
        </w:p>
        <w:p w14:paraId="4024D94A">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"_Toc28278" </w:instrText>
          </w:r>
          <w:r>
            <w:rPr>
              <w:color w:val="auto"/>
              <w:highlight w:val="none"/>
            </w:rPr>
            <w:fldChar w:fldCharType="separate"/>
          </w:r>
          <w:r>
            <w:rPr>
              <w:rFonts w:hint="eastAsia" w:ascii="宋体" w:hAnsi="宋体" w:cs="宋体"/>
              <w:bCs/>
              <w:color w:val="auto"/>
              <w:sz w:val="22"/>
              <w:szCs w:val="28"/>
              <w:highlight w:val="none"/>
            </w:rPr>
            <w:t>二、招标文件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10</w:t>
          </w:r>
          <w:r>
            <w:rPr>
              <w:color w:val="auto"/>
              <w:sz w:val="22"/>
              <w:szCs w:val="28"/>
              <w:highlight w:val="none"/>
            </w:rPr>
            <w:fldChar w:fldCharType="end"/>
          </w:r>
          <w:r>
            <w:rPr>
              <w:color w:val="auto"/>
              <w:sz w:val="22"/>
              <w:szCs w:val="28"/>
              <w:highlight w:val="none"/>
            </w:rPr>
            <w:fldChar w:fldCharType="end"/>
          </w:r>
        </w:p>
        <w:p w14:paraId="4D9AAEEF">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"_Toc22646" </w:instrText>
          </w:r>
          <w:r>
            <w:rPr>
              <w:color w:val="auto"/>
              <w:highlight w:val="none"/>
            </w:rPr>
            <w:fldChar w:fldCharType="separate"/>
          </w:r>
          <w:r>
            <w:rPr>
              <w:rFonts w:hint="eastAsia" w:ascii="宋体" w:hAnsi="宋体" w:cs="宋体"/>
              <w:bCs/>
              <w:color w:val="auto"/>
              <w:sz w:val="22"/>
              <w:szCs w:val="28"/>
              <w:highlight w:val="none"/>
            </w:rPr>
            <w:t>三、投标文件的编制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11</w:t>
          </w:r>
          <w:r>
            <w:rPr>
              <w:color w:val="auto"/>
              <w:sz w:val="22"/>
              <w:szCs w:val="28"/>
              <w:highlight w:val="none"/>
            </w:rPr>
            <w:fldChar w:fldCharType="end"/>
          </w:r>
          <w:r>
            <w:rPr>
              <w:color w:val="auto"/>
              <w:sz w:val="22"/>
              <w:szCs w:val="28"/>
              <w:highlight w:val="none"/>
            </w:rPr>
            <w:fldChar w:fldCharType="end"/>
          </w:r>
        </w:p>
        <w:p w14:paraId="6B428DBC">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"_Toc18542" </w:instrText>
          </w:r>
          <w:r>
            <w:rPr>
              <w:color w:val="auto"/>
              <w:highlight w:val="none"/>
            </w:rPr>
            <w:fldChar w:fldCharType="separate"/>
          </w:r>
          <w:r>
            <w:rPr>
              <w:rFonts w:hint="eastAsia" w:ascii="宋体" w:hAnsi="宋体" w:cs="宋体"/>
              <w:bCs/>
              <w:color w:val="auto"/>
              <w:sz w:val="22"/>
              <w:highlight w:val="none"/>
            </w:rPr>
            <w:t>四、投标文件的递交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14</w:t>
          </w:r>
          <w:r>
            <w:rPr>
              <w:color w:val="auto"/>
              <w:sz w:val="22"/>
              <w:szCs w:val="28"/>
              <w:highlight w:val="none"/>
            </w:rPr>
            <w:fldChar w:fldCharType="end"/>
          </w:r>
          <w:r>
            <w:rPr>
              <w:color w:val="auto"/>
              <w:sz w:val="22"/>
              <w:szCs w:val="28"/>
              <w:highlight w:val="none"/>
            </w:rPr>
            <w:fldChar w:fldCharType="end"/>
          </w:r>
        </w:p>
        <w:p w14:paraId="20367E93">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"_Toc8079" </w:instrText>
          </w:r>
          <w:r>
            <w:rPr>
              <w:color w:val="auto"/>
              <w:highlight w:val="none"/>
            </w:rPr>
            <w:fldChar w:fldCharType="separate"/>
          </w:r>
          <w:r>
            <w:rPr>
              <w:rFonts w:hint="eastAsia" w:ascii="宋体" w:hAnsi="宋体" w:cs="宋体"/>
              <w:bCs/>
              <w:color w:val="auto"/>
              <w:sz w:val="22"/>
              <w:highlight w:val="none"/>
            </w:rPr>
            <w:t>五、开标和评标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15</w:t>
          </w:r>
          <w:r>
            <w:rPr>
              <w:color w:val="auto"/>
              <w:sz w:val="22"/>
              <w:szCs w:val="28"/>
              <w:highlight w:val="none"/>
            </w:rPr>
            <w:fldChar w:fldCharType="end"/>
          </w:r>
          <w:r>
            <w:rPr>
              <w:color w:val="auto"/>
              <w:sz w:val="22"/>
              <w:szCs w:val="28"/>
              <w:highlight w:val="none"/>
            </w:rPr>
            <w:fldChar w:fldCharType="end"/>
          </w:r>
        </w:p>
        <w:p w14:paraId="01DF0D4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cs="宋体"/>
              <w:bCs/>
              <w:color w:val="auto"/>
              <w:sz w:val="22"/>
              <w:szCs w:val="28"/>
              <w:highlight w:val="none"/>
            </w:rPr>
            <w:t>六、授予合同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19</w:t>
          </w:r>
          <w:r>
            <w:rPr>
              <w:color w:val="auto"/>
              <w:sz w:val="22"/>
              <w:szCs w:val="28"/>
              <w:highlight w:val="none"/>
            </w:rPr>
            <w:fldChar w:fldCharType="end"/>
          </w:r>
          <w:r>
            <w:rPr>
              <w:color w:val="auto"/>
              <w:sz w:val="22"/>
              <w:szCs w:val="28"/>
              <w:highlight w:val="none"/>
            </w:rPr>
            <w:fldChar w:fldCharType="end"/>
          </w:r>
        </w:p>
        <w:p w14:paraId="57D5ABA8">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"_Toc19043" </w:instrText>
          </w:r>
          <w:r>
            <w:rPr>
              <w:color w:val="auto"/>
              <w:highlight w:val="none"/>
            </w:rPr>
            <w:fldChar w:fldCharType="separate"/>
          </w:r>
          <w:r>
            <w:rPr>
              <w:rFonts w:hint="eastAsia" w:ascii="宋体" w:hAnsi="宋体" w:cs="宋体"/>
              <w:color w:val="auto"/>
              <w:sz w:val="22"/>
              <w:szCs w:val="28"/>
              <w:highlight w:val="none"/>
            </w:rPr>
            <w:t>第二部分</w:t>
          </w:r>
          <w:r>
            <w:rPr>
              <w:rFonts w:hint="eastAsia" w:ascii="宋体" w:hAnsi="宋体" w:cs="宋体"/>
              <w:color w:val="auto"/>
              <w:sz w:val="22"/>
              <w:szCs w:val="28"/>
              <w:highlight w:val="none"/>
              <w:lang w:val="en-US" w:eastAsia="zh-CN"/>
            </w:rPr>
            <w:t xml:space="preserve">  </w:t>
          </w:r>
          <w:r>
            <w:rPr>
              <w:rFonts w:hint="eastAsia" w:ascii="宋体" w:hAnsi="宋体" w:cs="宋体"/>
              <w:color w:val="auto"/>
              <w:sz w:val="22"/>
              <w:szCs w:val="28"/>
              <w:highlight w:val="none"/>
            </w:rPr>
            <w:t>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21</w:t>
          </w:r>
          <w:r>
            <w:rPr>
              <w:color w:val="auto"/>
              <w:sz w:val="22"/>
              <w:szCs w:val="28"/>
              <w:highlight w:val="none"/>
            </w:rPr>
            <w:fldChar w:fldCharType="end"/>
          </w:r>
          <w:r>
            <w:rPr>
              <w:color w:val="auto"/>
              <w:sz w:val="22"/>
              <w:szCs w:val="28"/>
              <w:highlight w:val="none"/>
            </w:rPr>
            <w:fldChar w:fldCharType="end"/>
          </w:r>
        </w:p>
        <w:p w14:paraId="2075CB81">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"_Toc18439" </w:instrText>
          </w:r>
          <w:r>
            <w:rPr>
              <w:color w:val="auto"/>
              <w:highlight w:val="none"/>
            </w:rPr>
            <w:fldChar w:fldCharType="separate"/>
          </w:r>
          <w:r>
            <w:rPr>
              <w:rFonts w:hint="eastAsia" w:ascii="宋体" w:hAnsi="宋体" w:cs="宋体"/>
              <w:color w:val="auto"/>
              <w:sz w:val="22"/>
              <w:szCs w:val="28"/>
              <w:highlight w:val="none"/>
            </w:rPr>
            <w:t>第三部分</w:t>
          </w:r>
          <w:r>
            <w:rPr>
              <w:rFonts w:hint="eastAsia" w:ascii="宋体" w:hAnsi="宋体" w:cs="宋体"/>
              <w:color w:val="auto"/>
              <w:sz w:val="22"/>
              <w:szCs w:val="28"/>
              <w:highlight w:val="none"/>
              <w:lang w:val="en-US" w:eastAsia="zh-CN"/>
            </w:rPr>
            <w:t xml:space="preserve">  </w:t>
          </w:r>
          <w:r>
            <w:rPr>
              <w:rFonts w:hint="eastAsia" w:ascii="宋体" w:hAnsi="宋体" w:cs="宋体"/>
              <w:color w:val="auto"/>
              <w:sz w:val="22"/>
              <w:szCs w:val="28"/>
              <w:highlight w:val="none"/>
            </w:rPr>
            <w:t>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25</w:t>
          </w:r>
          <w:r>
            <w:rPr>
              <w:color w:val="auto"/>
              <w:sz w:val="22"/>
              <w:szCs w:val="28"/>
              <w:highlight w:val="none"/>
            </w:rPr>
            <w:fldChar w:fldCharType="end"/>
          </w:r>
          <w:r>
            <w:rPr>
              <w:color w:val="auto"/>
              <w:sz w:val="22"/>
              <w:szCs w:val="28"/>
              <w:highlight w:val="none"/>
            </w:rPr>
            <w:fldChar w:fldCharType="end"/>
          </w:r>
        </w:p>
        <w:p w14:paraId="352E9AFA">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"_Toc6368" </w:instrText>
          </w:r>
          <w:r>
            <w:rPr>
              <w:color w:val="auto"/>
              <w:highlight w:val="none"/>
            </w:rPr>
            <w:fldChar w:fldCharType="separate"/>
          </w:r>
          <w:r>
            <w:rPr>
              <w:rFonts w:hint="eastAsia" w:ascii="宋体" w:hAnsi="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25</w:t>
          </w:r>
          <w:r>
            <w:rPr>
              <w:color w:val="auto"/>
              <w:sz w:val="22"/>
              <w:szCs w:val="28"/>
              <w:highlight w:val="none"/>
            </w:rPr>
            <w:fldChar w:fldCharType="end"/>
          </w:r>
          <w:r>
            <w:rPr>
              <w:color w:val="auto"/>
              <w:sz w:val="22"/>
              <w:szCs w:val="28"/>
              <w:highlight w:val="none"/>
            </w:rPr>
            <w:fldChar w:fldCharType="end"/>
          </w:r>
        </w:p>
        <w:p w14:paraId="737FB1D3">
          <w:pPr>
            <w:pStyle w:val="3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"_Toc5430" </w:instrText>
          </w:r>
          <w:r>
            <w:rPr>
              <w:color w:val="auto"/>
              <w:highlight w:val="none"/>
            </w:rPr>
            <w:fldChar w:fldCharType="separate"/>
          </w:r>
          <w:r>
            <w:rPr>
              <w:rFonts w:hint="eastAsia" w:ascii="宋体" w:hAnsi="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25</w:t>
          </w:r>
          <w:r>
            <w:rPr>
              <w:color w:val="auto"/>
              <w:sz w:val="22"/>
              <w:szCs w:val="28"/>
              <w:highlight w:val="none"/>
            </w:rPr>
            <w:fldChar w:fldCharType="end"/>
          </w:r>
          <w:r>
            <w:rPr>
              <w:color w:val="auto"/>
              <w:sz w:val="22"/>
              <w:szCs w:val="28"/>
              <w:highlight w:val="none"/>
            </w:rPr>
            <w:fldChar w:fldCharType="end"/>
          </w:r>
        </w:p>
        <w:p w14:paraId="5D4AEA98">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"_Toc12035" </w:instrText>
          </w:r>
          <w:r>
            <w:rPr>
              <w:color w:val="auto"/>
              <w:highlight w:val="none"/>
            </w:rPr>
            <w:fldChar w:fldCharType="separate"/>
          </w:r>
          <w:r>
            <w:rPr>
              <w:rFonts w:hint="eastAsia" w:ascii="宋体" w:hAnsi="宋体" w:cs="宋体"/>
              <w:color w:val="auto"/>
              <w:sz w:val="22"/>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35</w:t>
          </w:r>
          <w:r>
            <w:rPr>
              <w:color w:val="auto"/>
              <w:sz w:val="22"/>
              <w:szCs w:val="28"/>
              <w:highlight w:val="none"/>
            </w:rPr>
            <w:fldChar w:fldCharType="end"/>
          </w:r>
          <w:r>
            <w:rPr>
              <w:color w:val="auto"/>
              <w:sz w:val="22"/>
              <w:szCs w:val="28"/>
              <w:highlight w:val="none"/>
            </w:rPr>
            <w:fldChar w:fldCharType="end"/>
          </w:r>
        </w:p>
        <w:p w14:paraId="5BD7071E">
          <w:pPr>
            <w:pStyle w:val="3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"_Toc25309" </w:instrText>
          </w:r>
          <w:r>
            <w:rPr>
              <w:color w:val="auto"/>
              <w:highlight w:val="none"/>
            </w:rPr>
            <w:fldChar w:fldCharType="separate"/>
          </w:r>
          <w:r>
            <w:rPr>
              <w:rFonts w:hint="eastAsia" w:ascii="宋体" w:hAnsi="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35</w:t>
          </w:r>
          <w:r>
            <w:rPr>
              <w:color w:val="auto"/>
              <w:sz w:val="22"/>
              <w:szCs w:val="28"/>
              <w:highlight w:val="none"/>
            </w:rPr>
            <w:fldChar w:fldCharType="end"/>
          </w:r>
          <w:r>
            <w:rPr>
              <w:color w:val="auto"/>
              <w:sz w:val="22"/>
              <w:szCs w:val="28"/>
              <w:highlight w:val="none"/>
            </w:rPr>
            <w:fldChar w:fldCharType="end"/>
          </w:r>
        </w:p>
        <w:p w14:paraId="6115C294">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"_Toc31356" </w:instrText>
          </w:r>
          <w:r>
            <w:rPr>
              <w:color w:val="auto"/>
              <w:highlight w:val="none"/>
            </w:rPr>
            <w:fldChar w:fldCharType="separate"/>
          </w:r>
          <w:r>
            <w:rPr>
              <w:rFonts w:hint="eastAsia" w:ascii="宋体" w:hAnsi="宋体" w:cs="宋体"/>
              <w:bCs/>
              <w:color w:val="auto"/>
              <w:sz w:val="22"/>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35</w:t>
          </w:r>
          <w:r>
            <w:rPr>
              <w:color w:val="auto"/>
              <w:sz w:val="22"/>
              <w:szCs w:val="28"/>
              <w:highlight w:val="none"/>
            </w:rPr>
            <w:fldChar w:fldCharType="end"/>
          </w:r>
          <w:r>
            <w:rPr>
              <w:color w:val="auto"/>
              <w:sz w:val="22"/>
              <w:szCs w:val="28"/>
              <w:highlight w:val="none"/>
            </w:rPr>
            <w:fldChar w:fldCharType="end"/>
          </w:r>
        </w:p>
        <w:p w14:paraId="74941748">
          <w:pPr>
            <w:pStyle w:val="3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"_Toc13639" </w:instrText>
          </w:r>
          <w:r>
            <w:rPr>
              <w:color w:val="auto"/>
              <w:highlight w:val="none"/>
            </w:rPr>
            <w:fldChar w:fldCharType="separate"/>
          </w:r>
          <w:r>
            <w:rPr>
              <w:rFonts w:hint="eastAsia" w:ascii="宋体" w:hAnsi="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39</w:t>
          </w:r>
          <w:r>
            <w:rPr>
              <w:color w:val="auto"/>
              <w:sz w:val="22"/>
              <w:szCs w:val="28"/>
              <w:highlight w:val="none"/>
            </w:rPr>
            <w:fldChar w:fldCharType="end"/>
          </w:r>
          <w:r>
            <w:rPr>
              <w:color w:val="auto"/>
              <w:sz w:val="22"/>
              <w:szCs w:val="28"/>
              <w:highlight w:val="none"/>
            </w:rPr>
            <w:fldChar w:fldCharType="end"/>
          </w:r>
        </w:p>
        <w:p w14:paraId="1444705C">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"_Toc3381" </w:instrText>
          </w:r>
          <w:r>
            <w:rPr>
              <w:color w:val="auto"/>
              <w:highlight w:val="none"/>
            </w:rPr>
            <w:fldChar w:fldCharType="separate"/>
          </w:r>
          <w:r>
            <w:rPr>
              <w:rFonts w:hint="eastAsia" w:ascii="宋体" w:hAnsi="宋体" w:cs="宋体"/>
              <w:color w:val="auto"/>
              <w:sz w:val="22"/>
              <w:szCs w:val="28"/>
              <w:highlight w:val="none"/>
            </w:rPr>
            <w:t>第四部分</w:t>
          </w:r>
          <w:r>
            <w:rPr>
              <w:rFonts w:hint="eastAsia" w:ascii="宋体" w:hAnsi="宋体" w:cs="宋体"/>
              <w:color w:val="auto"/>
              <w:sz w:val="22"/>
              <w:szCs w:val="28"/>
              <w:highlight w:val="none"/>
              <w:lang w:val="en-US" w:eastAsia="zh-CN"/>
            </w:rPr>
            <w:t xml:space="preserve">  </w:t>
          </w:r>
          <w:r>
            <w:rPr>
              <w:rFonts w:hint="eastAsia" w:ascii="宋体" w:hAnsi="宋体" w:cs="宋体"/>
              <w:color w:val="auto"/>
              <w:sz w:val="22"/>
              <w:szCs w:val="28"/>
              <w:highlight w:val="none"/>
            </w:rPr>
            <w:t>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52</w:t>
          </w:r>
          <w:r>
            <w:rPr>
              <w:color w:val="auto"/>
              <w:sz w:val="22"/>
              <w:szCs w:val="28"/>
              <w:highlight w:val="none"/>
            </w:rPr>
            <w:fldChar w:fldCharType="end"/>
          </w:r>
          <w:r>
            <w:rPr>
              <w:color w:val="auto"/>
              <w:sz w:val="22"/>
              <w:szCs w:val="28"/>
              <w:highlight w:val="none"/>
            </w:rPr>
            <w:fldChar w:fldCharType="end"/>
          </w:r>
        </w:p>
        <w:p w14:paraId="2F4B1B7F">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"_Toc18194" </w:instrText>
          </w:r>
          <w:r>
            <w:rPr>
              <w:color w:val="auto"/>
              <w:highlight w:val="none"/>
            </w:rPr>
            <w:fldChar w:fldCharType="separate"/>
          </w:r>
          <w:r>
            <w:rPr>
              <w:rFonts w:hint="eastAsia" w:ascii="宋体" w:hAnsi="宋体" w:cs="宋体"/>
              <w:color w:val="auto"/>
              <w:sz w:val="22"/>
              <w:szCs w:val="28"/>
              <w:highlight w:val="none"/>
            </w:rPr>
            <w:t>第五部分</w:t>
          </w:r>
          <w:r>
            <w:rPr>
              <w:rFonts w:hint="eastAsia" w:ascii="宋体" w:hAnsi="宋体" w:cs="宋体"/>
              <w:color w:val="auto"/>
              <w:sz w:val="22"/>
              <w:szCs w:val="28"/>
              <w:highlight w:val="none"/>
              <w:lang w:val="en-US" w:eastAsia="zh-CN"/>
            </w:rPr>
            <w:t xml:space="preserve">  </w:t>
          </w:r>
          <w:r>
            <w:rPr>
              <w:rFonts w:hint="eastAsia" w:ascii="宋体" w:hAnsi="宋体" w:cs="宋体"/>
              <w:color w:val="auto"/>
              <w:sz w:val="22"/>
              <w:szCs w:val="28"/>
              <w:highlight w:val="none"/>
            </w:rPr>
            <w:t>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52</w:t>
          </w:r>
          <w:r>
            <w:rPr>
              <w:color w:val="auto"/>
              <w:sz w:val="22"/>
              <w:szCs w:val="28"/>
              <w:highlight w:val="none"/>
            </w:rPr>
            <w:fldChar w:fldCharType="end"/>
          </w:r>
          <w:r>
            <w:rPr>
              <w:color w:val="auto"/>
              <w:sz w:val="22"/>
              <w:szCs w:val="28"/>
              <w:highlight w:val="none"/>
            </w:rPr>
            <w:fldChar w:fldCharType="end"/>
          </w:r>
        </w:p>
        <w:p w14:paraId="0FE95868">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cs="宋体"/>
              <w:color w:val="auto"/>
              <w:sz w:val="22"/>
              <w:highlight w:val="none"/>
            </w:rPr>
            <w:t>一、总则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63</w:t>
          </w:r>
          <w:r>
            <w:rPr>
              <w:color w:val="auto"/>
              <w:sz w:val="22"/>
              <w:szCs w:val="28"/>
              <w:highlight w:val="none"/>
            </w:rPr>
            <w:fldChar w:fldCharType="end"/>
          </w:r>
          <w:r>
            <w:rPr>
              <w:color w:val="auto"/>
              <w:sz w:val="22"/>
              <w:szCs w:val="28"/>
              <w:highlight w:val="none"/>
            </w:rPr>
            <w:fldChar w:fldCharType="end"/>
          </w:r>
        </w:p>
        <w:p w14:paraId="50677B3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"_Toc23152" </w:instrText>
          </w:r>
          <w:r>
            <w:rPr>
              <w:color w:val="auto"/>
              <w:highlight w:val="none"/>
            </w:rPr>
            <w:fldChar w:fldCharType="separate"/>
          </w:r>
          <w:r>
            <w:rPr>
              <w:rFonts w:hint="eastAsia" w:ascii="宋体" w:hAnsi="宋体" w:cs="宋体"/>
              <w:color w:val="auto"/>
              <w:sz w:val="22"/>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63</w:t>
          </w:r>
          <w:r>
            <w:rPr>
              <w:color w:val="auto"/>
              <w:sz w:val="22"/>
              <w:szCs w:val="28"/>
              <w:highlight w:val="none"/>
            </w:rPr>
            <w:fldChar w:fldCharType="end"/>
          </w:r>
          <w:r>
            <w:rPr>
              <w:color w:val="auto"/>
              <w:sz w:val="22"/>
              <w:szCs w:val="28"/>
              <w:highlight w:val="none"/>
            </w:rPr>
            <w:fldChar w:fldCharType="end"/>
          </w:r>
        </w:p>
        <w:p w14:paraId="4A64D362">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"_Toc67" </w:instrText>
          </w:r>
          <w:r>
            <w:rPr>
              <w:color w:val="auto"/>
              <w:highlight w:val="none"/>
            </w:rPr>
            <w:fldChar w:fldCharType="separate"/>
          </w:r>
          <w:r>
            <w:rPr>
              <w:rFonts w:hint="eastAsia" w:ascii="宋体" w:hAnsi="宋体" w:cs="宋体"/>
              <w:color w:val="auto"/>
              <w:sz w:val="22"/>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63</w:t>
          </w:r>
          <w:r>
            <w:rPr>
              <w:color w:val="auto"/>
              <w:sz w:val="22"/>
              <w:szCs w:val="28"/>
              <w:highlight w:val="none"/>
            </w:rPr>
            <w:fldChar w:fldCharType="end"/>
          </w:r>
          <w:r>
            <w:rPr>
              <w:color w:val="auto"/>
              <w:sz w:val="22"/>
              <w:szCs w:val="28"/>
              <w:highlight w:val="none"/>
            </w:rPr>
            <w:fldChar w:fldCharType="end"/>
          </w:r>
        </w:p>
        <w:p w14:paraId="00A55FCE">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宋体" w:hAnsi="宋体" w:cs="宋体"/>
              <w:color w:val="auto"/>
              <w:sz w:val="22"/>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63</w:t>
          </w:r>
          <w:r>
            <w:rPr>
              <w:color w:val="auto"/>
              <w:sz w:val="22"/>
              <w:szCs w:val="28"/>
              <w:highlight w:val="none"/>
            </w:rPr>
            <w:fldChar w:fldCharType="end"/>
          </w:r>
          <w:r>
            <w:rPr>
              <w:color w:val="auto"/>
              <w:sz w:val="22"/>
              <w:szCs w:val="28"/>
              <w:highlight w:val="none"/>
            </w:rPr>
            <w:fldChar w:fldCharType="end"/>
          </w:r>
        </w:p>
        <w:p w14:paraId="707F40A0">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"_Toc11450" </w:instrText>
          </w:r>
          <w:r>
            <w:rPr>
              <w:color w:val="auto"/>
              <w:highlight w:val="none"/>
            </w:rPr>
            <w:fldChar w:fldCharType="separate"/>
          </w:r>
          <w:r>
            <w:rPr>
              <w:rFonts w:hint="eastAsia" w:ascii="宋体" w:hAnsi="宋体" w:cs="宋体"/>
              <w:color w:val="auto"/>
              <w:sz w:val="22"/>
              <w:highlight w:val="none"/>
            </w:rPr>
            <w:t>五、评分细则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63</w:t>
          </w:r>
          <w:r>
            <w:rPr>
              <w:color w:val="auto"/>
              <w:sz w:val="22"/>
              <w:szCs w:val="28"/>
              <w:highlight w:val="none"/>
            </w:rPr>
            <w:fldChar w:fldCharType="end"/>
          </w:r>
          <w:r>
            <w:rPr>
              <w:color w:val="auto"/>
              <w:sz w:val="22"/>
              <w:szCs w:val="28"/>
              <w:highlight w:val="none"/>
            </w:rPr>
            <w:fldChar w:fldCharType="end"/>
          </w:r>
        </w:p>
        <w:p w14:paraId="7FA6C9F0">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"_Toc4727" </w:instrText>
          </w:r>
          <w:r>
            <w:rPr>
              <w:color w:val="auto"/>
              <w:highlight w:val="none"/>
            </w:rPr>
            <w:fldChar w:fldCharType="separate"/>
          </w:r>
          <w:r>
            <w:rPr>
              <w:rFonts w:hint="eastAsia" w:ascii="宋体" w:hAnsi="宋体" w:cs="宋体"/>
              <w:bCs/>
              <w:color w:val="auto"/>
              <w:sz w:val="22"/>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65</w:t>
          </w:r>
          <w:r>
            <w:rPr>
              <w:color w:val="auto"/>
              <w:sz w:val="22"/>
              <w:szCs w:val="28"/>
              <w:highlight w:val="none"/>
            </w:rPr>
            <w:fldChar w:fldCharType="end"/>
          </w:r>
          <w:r>
            <w:rPr>
              <w:color w:val="auto"/>
              <w:sz w:val="22"/>
              <w:szCs w:val="28"/>
              <w:highlight w:val="none"/>
            </w:rPr>
            <w:fldChar w:fldCharType="end"/>
          </w:r>
        </w:p>
        <w:p w14:paraId="70F13D2D">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"_Toc3629" </w:instrText>
          </w:r>
          <w:r>
            <w:rPr>
              <w:color w:val="auto"/>
              <w:highlight w:val="none"/>
            </w:rPr>
            <w:fldChar w:fldCharType="separate"/>
          </w:r>
          <w:r>
            <w:rPr>
              <w:rFonts w:hint="eastAsia" w:ascii="宋体" w:hAnsi="宋体" w:cs="宋体"/>
              <w:color w:val="auto"/>
              <w:sz w:val="22"/>
              <w:highlight w:val="none"/>
            </w:rPr>
            <w:t>七、投标人义务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66</w:t>
          </w:r>
          <w:r>
            <w:rPr>
              <w:color w:val="auto"/>
              <w:sz w:val="22"/>
              <w:szCs w:val="28"/>
              <w:highlight w:val="none"/>
            </w:rPr>
            <w:fldChar w:fldCharType="end"/>
          </w:r>
          <w:r>
            <w:rPr>
              <w:color w:val="auto"/>
              <w:sz w:val="22"/>
              <w:szCs w:val="28"/>
              <w:highlight w:val="none"/>
            </w:rPr>
            <w:fldChar w:fldCharType="end"/>
          </w:r>
        </w:p>
        <w:p w14:paraId="221032A7">
          <w:pPr>
            <w:spacing w:line="360" w:lineRule="auto"/>
            <w:ind w:firstLine="1870" w:firstLineChars="850"/>
            <w:rPr>
              <w:rFonts w:ascii="宋体" w:hAnsi="宋体" w:cs="宋体"/>
              <w:b/>
              <w:color w:val="auto"/>
              <w:sz w:val="22"/>
              <w:szCs w:val="22"/>
              <w:highlight w:val="none"/>
            </w:rPr>
          </w:pPr>
          <w:r>
            <w:rPr>
              <w:rFonts w:hint="eastAsia" w:ascii="宋体" w:hAnsi="宋体" w:cs="宋体"/>
              <w:color w:val="auto"/>
              <w:sz w:val="22"/>
              <w:szCs w:val="40"/>
              <w:highlight w:val="none"/>
            </w:rPr>
            <w:fldChar w:fldCharType="end"/>
          </w:r>
        </w:p>
      </w:sdtContent>
    </w:sdt>
    <w:p w14:paraId="6EF1F1F5">
      <w:pPr>
        <w:pStyle w:val="5"/>
        <w:rPr>
          <w:rFonts w:ascii="宋体" w:hAnsi="宋体" w:eastAsia="宋体" w:cs="宋体"/>
          <w:color w:val="auto"/>
          <w:highlight w:val="none"/>
        </w:rPr>
      </w:pPr>
      <w:bookmarkStart w:id="2" w:name="_Toc32649"/>
      <w:bookmarkStart w:id="3" w:name="_Toc6599"/>
      <w:r>
        <w:rPr>
          <w:rFonts w:hint="eastAsia" w:ascii="宋体" w:hAnsi="宋体" w:eastAsia="宋体" w:cs="宋体"/>
          <w:color w:val="auto"/>
          <w:highlight w:val="none"/>
        </w:rPr>
        <w:t>招标公告</w:t>
      </w:r>
      <w:bookmarkEnd w:id="2"/>
      <w:bookmarkEnd w:id="3"/>
    </w:p>
    <w:p w14:paraId="3786A67D">
      <w:pPr>
        <w:tabs>
          <w:tab w:val="left" w:pos="360"/>
        </w:tabs>
        <w:spacing w:line="460" w:lineRule="exact"/>
        <w:ind w:firstLine="552" w:firstLineChars="250"/>
        <w:rPr>
          <w:rFonts w:ascii="宋体" w:hAnsi="宋体" w:cs="宋体"/>
          <w:b/>
          <w:bCs/>
          <w:color w:val="auto"/>
          <w:sz w:val="22"/>
          <w:highlight w:val="none"/>
        </w:rPr>
      </w:pPr>
      <w:r>
        <w:rPr>
          <w:b/>
          <w:bCs/>
          <w:color w:val="auto"/>
          <w:sz w:val="22"/>
          <w:highlight w:val="none"/>
        </w:rPr>
        <w:pict>
          <v:rect id="_x0000_s1026" o:spid="_x0000_s1026" o:spt="1" style="position:absolute;left:0pt;margin-left:-3.5pt;margin-top:0.3pt;height:75.05pt;width:493.05pt;z-index:251662336;v-text-anchor:middle;mso-width-relative:page;mso-height-relative:page;" filled="f" stroked="t" coordsize="21600,21600" o:gfxdata="UEsDBAoAAAAAAIdO4kAAAAAAAAAAAAAAAAAEAAAAZHJzL1BLAwQUAAAACACHTuJAl+uukNgAAAAI&#10;AQAADwAAAGRycy9kb3ducmV2LnhtbE2PMU/DMBSEdyT+g/WQ2Fo7hRQa4nQIYkAgVZQu3dzkkQTi&#10;58h2kvLveUwwnu50912+PdteTOhD50hDslQgkCpXd9RoOLw/Le5BhGioNr0j1PCNAbbF5UVustrN&#10;9IbTPjaCSyhkRkMb45BJGaoWrQlLNyCx9+G8NZGlb2TtzczltpcrpdbSmo54oTUDli1WX/vRajim&#10;n3LXlbMZX58fX9LJO1XeOq2vrxL1ACLiOf6F4Ref0aFgppMbqQ6i17C4SfhL1LAGwfZms0pBnDiX&#10;qjuQRS7/Hyh+AFBLAwQUAAAACACHTuJA2yveaAMCAAARBAAADgAAAGRycy9lMm9Eb2MueG1srVNL&#10;jhMxEN0jcQfLe9JJhgyklc4sJgwbBCPNcICK7e625J/Kzu80SOw4BMdBXIOyu8nAsMmCLDplu/yq&#10;3qvn1c3RGrZXGLV3DZ9NppwpJ7zUrmv458e7V285iwmcBOOdavhJRX6zfvlidQi1mvveG6mQEYiL&#10;9SE0vE8p1FUVRa8sxIkPytFh69FCoiV2lUQ4ELo11Xw6va4OHmVAL1SMtLsZDvmIiJcA+rbVQm28&#10;2Fnl0oCKykAiSrHXIfJ16bZtlUif2jaqxEzDiWkqXypC8TZ/q/UK6g4h9FqMLcAlLTzjZEE7KnqG&#10;2kACtkP9D5TVAn30bZoIb6uBSFGEWMymz7R56CGowoWkjuEsevx/sOLj/h6ZluQEzhxYGvjPL99+&#10;fP/KZlmbQ4g1pTyEexxXkcJM9Niizf9EgR2LnqeznuqYmKDN69fL5Xy+4EzQ2XJxNbtaZNDq6XbA&#10;mN4rb1kOGo40ryIj7D/ENKT+TsnFnL/TxtA+1MaxAzU9fzOlUQogI7ZkAAptIDLRdQUneqNlvpOv&#10;ROy2twbZHrIZym9s56+0XHADsR/yylFOgxr9zskS9QrkOydZOgUSzNE74bkbqyRnRtGzylHJTKDN&#10;JZmkiXEkTRZ8kDhHWy9PNB5wovdkWpGQj4vbNJh4F1B3PUlXxlWuk1OKxqOrsxX/XJciTy95/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666Q2AAAAAgBAAAPAAAAAAAAAAEAIAAAACIAAABkcnMv&#10;ZG93bnJldi54bWxQSwECFAAUAAAACACHTuJA2yveaAMCAAARBAAADgAAAAAAAAABACAAAAAnAQAA&#10;ZHJzL2Uyb0RvYy54bWxQSwUGAAAAAAYABgBZAQAAnAUAAAAA&#10;">
            <v:path/>
            <v:fill on="f" focussize="0,0"/>
            <v:stroke weight="1pt" color="#000000" joinstyle="round"/>
            <v:imagedata o:title=""/>
            <o:lock v:ext="edit" aspectratio="f"/>
          </v:rect>
        </w:pict>
      </w:r>
      <w:r>
        <w:rPr>
          <w:rFonts w:hint="eastAsia" w:ascii="宋体" w:hAnsi="宋体" w:cs="宋体"/>
          <w:b/>
          <w:bCs/>
          <w:color w:val="auto"/>
          <w:sz w:val="22"/>
          <w:highlight w:val="none"/>
        </w:rPr>
        <w:t>项目概况</w:t>
      </w:r>
    </w:p>
    <w:p w14:paraId="2D9CF2DA">
      <w:pPr>
        <w:tabs>
          <w:tab w:val="left" w:pos="360"/>
        </w:tabs>
        <w:spacing w:line="4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eastAsia="zh-CN"/>
        </w:rPr>
        <w:t>医技检查预约平台项目</w:t>
      </w:r>
      <w:r>
        <w:rPr>
          <w:rFonts w:hint="eastAsia" w:ascii="宋体" w:hAnsi="宋体" w:cs="宋体"/>
          <w:color w:val="auto"/>
          <w:sz w:val="22"/>
          <w:highlight w:val="none"/>
        </w:rPr>
        <w:t>招标项目的潜在投标人应在</w:t>
      </w:r>
      <w:r>
        <w:rPr>
          <w:rFonts w:hint="eastAsia" w:ascii="宋体" w:hAnsi="宋体" w:cs="宋体"/>
          <w:color w:val="auto"/>
          <w:sz w:val="22"/>
          <w:highlight w:val="none"/>
          <w:lang w:val="en-US" w:eastAsia="zh-CN"/>
        </w:rPr>
        <w:t>乐采云平台</w:t>
      </w:r>
      <w:r>
        <w:rPr>
          <w:rFonts w:hint="eastAsia" w:ascii="宋体" w:hAnsi="宋体" w:cs="宋体"/>
          <w:color w:val="auto"/>
          <w:sz w:val="22"/>
          <w:highlight w:val="none"/>
        </w:rPr>
        <w:t>获取（下载）招标文件，并</w:t>
      </w:r>
      <w:r>
        <w:rPr>
          <w:rFonts w:hint="eastAsia" w:ascii="宋体" w:hAnsi="宋体" w:eastAsia="宋体" w:cs="宋体"/>
          <w:color w:val="auto"/>
          <w:sz w:val="22"/>
          <w:highlight w:val="none"/>
        </w:rPr>
        <w:t>于</w:t>
      </w:r>
      <w:r>
        <w:rPr>
          <w:rFonts w:hint="eastAsia" w:ascii="宋体" w:hAnsi="宋体" w:eastAsia="宋体" w:cs="宋体"/>
          <w:color w:val="auto"/>
          <w:sz w:val="22"/>
          <w:highlight w:val="none"/>
          <w:lang w:val="en-US" w:eastAsia="zh-CN"/>
        </w:rPr>
        <w:t>202</w:t>
      </w: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lang w:val="en-US" w:eastAsia="zh-CN"/>
        </w:rPr>
        <w:t>年</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val="en-US" w:eastAsia="zh-CN"/>
        </w:rPr>
        <w:t>月</w:t>
      </w:r>
      <w:r>
        <w:rPr>
          <w:rFonts w:hint="eastAsia" w:ascii="宋体" w:hAnsi="宋体" w:cs="宋体"/>
          <w:color w:val="auto"/>
          <w:sz w:val="22"/>
          <w:highlight w:val="none"/>
          <w:lang w:val="en-US" w:eastAsia="zh-CN"/>
        </w:rPr>
        <w:t>4</w:t>
      </w:r>
      <w:r>
        <w:rPr>
          <w:rFonts w:hint="eastAsia" w:ascii="宋体" w:hAnsi="宋体" w:eastAsia="宋体" w:cs="宋体"/>
          <w:color w:val="auto"/>
          <w:sz w:val="22"/>
          <w:highlight w:val="none"/>
          <w:lang w:val="en-US"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rPr>
        <w:t>点30分（北京</w:t>
      </w:r>
      <w:r>
        <w:rPr>
          <w:rFonts w:hint="eastAsia" w:ascii="宋体" w:hAnsi="宋体" w:cs="宋体"/>
          <w:color w:val="auto"/>
          <w:sz w:val="22"/>
          <w:highlight w:val="none"/>
        </w:rPr>
        <w:t>时间）前递交（上传）投标文件。</w:t>
      </w:r>
    </w:p>
    <w:p w14:paraId="0664DB04">
      <w:pPr>
        <w:pStyle w:val="50"/>
        <w:spacing w:before="0" w:beforeAutospacing="0" w:after="0" w:afterAutospacing="0" w:line="460" w:lineRule="exact"/>
        <w:rPr>
          <w:b/>
          <w:bCs/>
          <w:color w:val="auto"/>
          <w:sz w:val="22"/>
          <w:szCs w:val="22"/>
          <w:highlight w:val="none"/>
        </w:rPr>
      </w:pPr>
    </w:p>
    <w:p w14:paraId="6DEDE22C">
      <w:pPr>
        <w:pStyle w:val="50"/>
        <w:spacing w:before="0" w:beforeAutospacing="0" w:after="0" w:afterAutospacing="0" w:line="460" w:lineRule="exact"/>
        <w:rPr>
          <w:color w:val="auto"/>
          <w:sz w:val="22"/>
          <w:szCs w:val="22"/>
          <w:highlight w:val="none"/>
        </w:rPr>
      </w:pPr>
      <w:r>
        <w:rPr>
          <w:rFonts w:hint="eastAsia"/>
          <w:b/>
          <w:bCs/>
          <w:color w:val="auto"/>
          <w:sz w:val="22"/>
          <w:szCs w:val="22"/>
          <w:highlight w:val="none"/>
        </w:rPr>
        <w:t>一、项目基本情况</w:t>
      </w:r>
      <w:r>
        <w:rPr>
          <w:rFonts w:hint="eastAsia"/>
          <w:color w:val="auto"/>
          <w:sz w:val="22"/>
          <w:szCs w:val="22"/>
          <w:highlight w:val="none"/>
        </w:rPr>
        <w:t>                                           </w:t>
      </w:r>
    </w:p>
    <w:p w14:paraId="11709DC7">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项目编号：</w:t>
      </w:r>
      <w:r>
        <w:rPr>
          <w:rFonts w:hint="eastAsia"/>
          <w:color w:val="auto"/>
          <w:sz w:val="22"/>
          <w:szCs w:val="22"/>
          <w:highlight w:val="none"/>
          <w:lang w:eastAsia="zh-CN"/>
        </w:rPr>
        <w:t>WZLCZB（W）-2026-02024</w:t>
      </w:r>
      <w:r>
        <w:rPr>
          <w:rFonts w:hint="eastAsia"/>
          <w:color w:val="auto"/>
          <w:sz w:val="22"/>
          <w:szCs w:val="22"/>
          <w:highlight w:val="none"/>
        </w:rPr>
        <w:t> </w:t>
      </w:r>
    </w:p>
    <w:p w14:paraId="5F25AD59">
      <w:pPr>
        <w:pStyle w:val="50"/>
        <w:spacing w:before="0" w:beforeAutospacing="0" w:after="0" w:afterAutospacing="0" w:line="460" w:lineRule="exact"/>
        <w:ind w:firstLine="440" w:firstLineChars="200"/>
        <w:rPr>
          <w:rFonts w:hint="eastAsia" w:eastAsia="宋体"/>
          <w:color w:val="auto"/>
          <w:sz w:val="22"/>
          <w:szCs w:val="22"/>
          <w:highlight w:val="none"/>
          <w:lang w:eastAsia="zh-CN"/>
        </w:rPr>
      </w:pPr>
      <w:r>
        <w:rPr>
          <w:rFonts w:hint="eastAsia"/>
          <w:color w:val="auto"/>
          <w:sz w:val="22"/>
          <w:szCs w:val="22"/>
          <w:highlight w:val="none"/>
        </w:rPr>
        <w:t>项目名称：</w:t>
      </w:r>
      <w:r>
        <w:rPr>
          <w:rFonts w:hint="eastAsia"/>
          <w:color w:val="auto"/>
          <w:sz w:val="22"/>
          <w:szCs w:val="22"/>
          <w:highlight w:val="none"/>
          <w:lang w:eastAsia="zh-CN"/>
        </w:rPr>
        <w:t>医技检查预约平台项目</w:t>
      </w:r>
    </w:p>
    <w:p w14:paraId="5B6E5292">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预算金额（元）：</w:t>
      </w:r>
      <w:r>
        <w:rPr>
          <w:rFonts w:hint="eastAsia"/>
          <w:color w:val="auto"/>
          <w:sz w:val="22"/>
          <w:szCs w:val="22"/>
          <w:highlight w:val="none"/>
          <w:lang w:val="en-US" w:eastAsia="zh-CN"/>
        </w:rPr>
        <w:t>400</w:t>
      </w:r>
      <w:r>
        <w:rPr>
          <w:rFonts w:hint="eastAsia"/>
          <w:color w:val="auto"/>
          <w:sz w:val="22"/>
          <w:szCs w:val="22"/>
          <w:highlight w:val="none"/>
        </w:rPr>
        <w:t>000  </w:t>
      </w:r>
    </w:p>
    <w:p w14:paraId="0BAB2F19">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最高限价（元）：</w:t>
      </w:r>
      <w:r>
        <w:rPr>
          <w:rFonts w:hint="eastAsia"/>
          <w:color w:val="auto"/>
          <w:sz w:val="22"/>
          <w:szCs w:val="22"/>
          <w:highlight w:val="none"/>
          <w:lang w:val="en-US" w:eastAsia="zh-CN"/>
        </w:rPr>
        <w:t>400</w:t>
      </w:r>
      <w:r>
        <w:rPr>
          <w:rFonts w:hint="eastAsia"/>
          <w:color w:val="auto"/>
          <w:sz w:val="22"/>
          <w:szCs w:val="22"/>
          <w:highlight w:val="none"/>
        </w:rPr>
        <w:t>000 </w:t>
      </w:r>
    </w:p>
    <w:p w14:paraId="417004C0">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采购需求：</w:t>
      </w:r>
    </w:p>
    <w:p w14:paraId="6FA83BF2">
      <w:pPr>
        <w:pStyle w:val="50"/>
        <w:spacing w:before="0" w:beforeAutospacing="0" w:after="0" w:afterAutospacing="0" w:line="460" w:lineRule="exact"/>
        <w:ind w:firstLine="440" w:firstLineChars="200"/>
        <w:rPr>
          <w:rFonts w:hint="eastAsia" w:eastAsia="宋体"/>
          <w:color w:val="auto"/>
          <w:sz w:val="22"/>
          <w:szCs w:val="22"/>
          <w:highlight w:val="none"/>
          <w:lang w:eastAsia="zh-CN"/>
        </w:rPr>
      </w:pPr>
      <w:r>
        <w:rPr>
          <w:rFonts w:hint="eastAsia"/>
          <w:color w:val="auto"/>
          <w:sz w:val="22"/>
          <w:szCs w:val="22"/>
          <w:highlight w:val="none"/>
        </w:rPr>
        <w:t>标项名称:</w:t>
      </w:r>
      <w:r>
        <w:rPr>
          <w:rFonts w:hint="eastAsia"/>
          <w:color w:val="auto"/>
          <w:sz w:val="22"/>
          <w:szCs w:val="22"/>
          <w:highlight w:val="none"/>
          <w:lang w:eastAsia="zh-CN"/>
        </w:rPr>
        <w:t>医技检查预约平台项目</w:t>
      </w:r>
    </w:p>
    <w:p w14:paraId="3259E68D">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数量:</w:t>
      </w:r>
      <w:r>
        <w:rPr>
          <w:rFonts w:hint="eastAsia"/>
          <w:color w:val="auto"/>
          <w:sz w:val="22"/>
          <w:szCs w:val="22"/>
          <w:highlight w:val="none"/>
          <w:lang w:val="en-US" w:eastAsia="zh-CN"/>
        </w:rPr>
        <w:t>1</w:t>
      </w:r>
      <w:r>
        <w:rPr>
          <w:rFonts w:hint="eastAsia"/>
          <w:color w:val="auto"/>
          <w:sz w:val="22"/>
          <w:szCs w:val="22"/>
          <w:highlight w:val="none"/>
        </w:rPr>
        <w:t>  </w:t>
      </w:r>
    </w:p>
    <w:p w14:paraId="4D153AFF">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预算金额（元）：</w:t>
      </w:r>
      <w:r>
        <w:rPr>
          <w:rFonts w:hint="eastAsia"/>
          <w:color w:val="auto"/>
          <w:sz w:val="22"/>
          <w:szCs w:val="22"/>
          <w:highlight w:val="none"/>
          <w:lang w:val="en-US" w:eastAsia="zh-CN"/>
        </w:rPr>
        <w:t>400</w:t>
      </w:r>
      <w:r>
        <w:rPr>
          <w:rFonts w:hint="eastAsia"/>
          <w:color w:val="auto"/>
          <w:sz w:val="22"/>
          <w:szCs w:val="22"/>
          <w:highlight w:val="none"/>
        </w:rPr>
        <w:t>000</w:t>
      </w:r>
    </w:p>
    <w:p w14:paraId="5E02A7E3">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简要规格描述或项目基本概况介绍、用途：具体详见招标文件 </w:t>
      </w:r>
    </w:p>
    <w:p w14:paraId="14C46E9E">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备注： </w:t>
      </w:r>
    </w:p>
    <w:p w14:paraId="34D0B8B6">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合同履约期限：标项 1，具体详见招标文件</w:t>
      </w:r>
    </w:p>
    <w:p w14:paraId="4AA16839">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本项目不接受联合体投标。</w:t>
      </w:r>
    </w:p>
    <w:p w14:paraId="6E809C2E">
      <w:pPr>
        <w:pStyle w:val="50"/>
        <w:spacing w:before="0" w:beforeAutospacing="0" w:after="0" w:afterAutospacing="0" w:line="460" w:lineRule="exact"/>
        <w:rPr>
          <w:color w:val="auto"/>
          <w:sz w:val="22"/>
          <w:szCs w:val="22"/>
          <w:highlight w:val="none"/>
        </w:rPr>
      </w:pPr>
      <w:r>
        <w:rPr>
          <w:rFonts w:hint="eastAsia"/>
          <w:b/>
          <w:bCs/>
          <w:color w:val="auto"/>
          <w:sz w:val="22"/>
          <w:szCs w:val="22"/>
          <w:highlight w:val="none"/>
        </w:rPr>
        <w:t>二、申请人的资格要求：</w:t>
      </w:r>
    </w:p>
    <w:p w14:paraId="45ED384D">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4D5F99D">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2.落实政府采购政策需满足的资格要求：无</w:t>
      </w:r>
      <w:r>
        <w:rPr>
          <w:rFonts w:hint="eastAsia"/>
          <w:color w:val="auto"/>
          <w:sz w:val="22"/>
          <w:szCs w:val="22"/>
          <w:highlight w:val="none"/>
          <w:lang w:eastAsia="zh-CN"/>
        </w:rPr>
        <w:t>。</w:t>
      </w:r>
      <w:r>
        <w:rPr>
          <w:rFonts w:hint="eastAsia"/>
          <w:color w:val="auto"/>
          <w:sz w:val="22"/>
          <w:szCs w:val="22"/>
          <w:highlight w:val="none"/>
        </w:rPr>
        <w:t> </w:t>
      </w:r>
    </w:p>
    <w:p w14:paraId="0447B998">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3.本项目的特定资格要求：无</w:t>
      </w:r>
      <w:r>
        <w:rPr>
          <w:rFonts w:hint="eastAsia"/>
          <w:color w:val="auto"/>
          <w:sz w:val="22"/>
          <w:szCs w:val="22"/>
          <w:highlight w:val="none"/>
          <w:lang w:eastAsia="zh-CN"/>
        </w:rPr>
        <w:t>。</w:t>
      </w:r>
      <w:r>
        <w:rPr>
          <w:rFonts w:hint="eastAsia"/>
          <w:color w:val="auto"/>
          <w:sz w:val="22"/>
          <w:szCs w:val="22"/>
          <w:highlight w:val="none"/>
        </w:rPr>
        <w:t>  </w:t>
      </w:r>
    </w:p>
    <w:p w14:paraId="146D9516">
      <w:pPr>
        <w:pStyle w:val="50"/>
        <w:spacing w:before="0" w:beforeAutospacing="0" w:after="0" w:afterAutospacing="0" w:line="460" w:lineRule="exact"/>
        <w:rPr>
          <w:b/>
          <w:bCs/>
          <w:color w:val="auto"/>
          <w:sz w:val="22"/>
          <w:szCs w:val="22"/>
          <w:highlight w:val="none"/>
        </w:rPr>
      </w:pPr>
      <w:r>
        <w:rPr>
          <w:rFonts w:hint="eastAsia"/>
          <w:b/>
          <w:bCs/>
          <w:color w:val="auto"/>
          <w:sz w:val="22"/>
          <w:szCs w:val="22"/>
          <w:highlight w:val="none"/>
        </w:rPr>
        <w:t>三、获取招标文件 </w:t>
      </w:r>
    </w:p>
    <w:p w14:paraId="7D13366E">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时间：</w:t>
      </w:r>
      <w:r>
        <w:rPr>
          <w:rFonts w:hint="eastAsia" w:cs="宋体"/>
          <w:color w:val="auto"/>
          <w:sz w:val="22"/>
          <w:highlight w:val="none"/>
          <w:lang w:val="en-US" w:eastAsia="zh-CN"/>
        </w:rPr>
        <w:t>2026年2月11日</w:t>
      </w:r>
      <w:r>
        <w:rPr>
          <w:rFonts w:hint="eastAsia"/>
          <w:color w:val="auto"/>
          <w:sz w:val="22"/>
          <w:szCs w:val="22"/>
          <w:highlight w:val="none"/>
        </w:rPr>
        <w:t>至提交投标文件截止时间</w:t>
      </w:r>
      <w:r>
        <w:rPr>
          <w:rFonts w:hint="eastAsia"/>
          <w:color w:val="auto"/>
          <w:sz w:val="22"/>
          <w:szCs w:val="22"/>
          <w:highlight w:val="none"/>
          <w:lang w:val="en-US" w:eastAsia="zh-CN"/>
        </w:rPr>
        <w:t>止</w:t>
      </w:r>
      <w:r>
        <w:rPr>
          <w:rFonts w:hint="eastAsia"/>
          <w:color w:val="auto"/>
          <w:sz w:val="22"/>
          <w:szCs w:val="22"/>
          <w:highlight w:val="none"/>
        </w:rPr>
        <w:t>，每天上午00:00至12:00，下午12:00至23:59（北京时间，线上获取法定节假日均可，线下获取文件法定节假日除外）</w:t>
      </w:r>
    </w:p>
    <w:p w14:paraId="5B0A8483">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地点：</w:t>
      </w:r>
      <w:r>
        <w:rPr>
          <w:rFonts w:hint="eastAsia"/>
          <w:color w:val="auto"/>
          <w:sz w:val="22"/>
          <w:szCs w:val="22"/>
          <w:highlight w:val="none"/>
          <w:lang w:val="en-US" w:eastAsia="zh-CN"/>
        </w:rPr>
        <w:t>乐采云平台线上获取</w:t>
      </w:r>
      <w:r>
        <w:rPr>
          <w:rFonts w:hint="eastAsia"/>
          <w:color w:val="auto"/>
          <w:sz w:val="22"/>
          <w:szCs w:val="22"/>
          <w:highlight w:val="none"/>
        </w:rPr>
        <w:t> </w:t>
      </w:r>
    </w:p>
    <w:p w14:paraId="7DBB5F1F">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方式：供应商登录</w:t>
      </w:r>
      <w:r>
        <w:rPr>
          <w:rFonts w:hint="eastAsia"/>
          <w:color w:val="auto"/>
          <w:sz w:val="22"/>
          <w:szCs w:val="22"/>
          <w:highlight w:val="none"/>
          <w:lang w:val="en-US" w:eastAsia="zh-CN"/>
        </w:rPr>
        <w:t>乐</w:t>
      </w:r>
      <w:r>
        <w:rPr>
          <w:rFonts w:hint="eastAsia"/>
          <w:color w:val="auto"/>
          <w:sz w:val="22"/>
          <w:szCs w:val="22"/>
          <w:highlight w:val="none"/>
        </w:rPr>
        <w:t>采云平台www.lecaiyun.com在线申请获取采购文件（进入“项目采购”应用，在获取采购文件菜单中选择项目，申请获取采购文件）</w:t>
      </w:r>
    </w:p>
    <w:p w14:paraId="51425A64">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售价（元）：0 </w:t>
      </w:r>
    </w:p>
    <w:p w14:paraId="77758AC8">
      <w:pPr>
        <w:pStyle w:val="50"/>
        <w:spacing w:before="0" w:beforeAutospacing="0" w:after="0" w:afterAutospacing="0" w:line="460" w:lineRule="exact"/>
        <w:rPr>
          <w:b/>
          <w:bCs/>
          <w:color w:val="auto"/>
          <w:sz w:val="22"/>
          <w:szCs w:val="22"/>
          <w:highlight w:val="none"/>
        </w:rPr>
      </w:pPr>
      <w:r>
        <w:rPr>
          <w:rFonts w:hint="eastAsia"/>
          <w:b/>
          <w:bCs/>
          <w:color w:val="auto"/>
          <w:sz w:val="22"/>
          <w:szCs w:val="22"/>
          <w:highlight w:val="none"/>
        </w:rPr>
        <w:t>四、提交投标文件截止时间、开标时间和地点</w:t>
      </w:r>
    </w:p>
    <w:p w14:paraId="04F77D0D">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提交投标文件截止时间：</w:t>
      </w:r>
      <w:r>
        <w:rPr>
          <w:rFonts w:hint="eastAsia" w:cs="宋体"/>
          <w:color w:val="auto"/>
          <w:sz w:val="22"/>
          <w:highlight w:val="none"/>
          <w:lang w:val="en-US" w:eastAsia="zh-CN"/>
        </w:rPr>
        <w:t>2026年3月4日09</w:t>
      </w:r>
      <w:r>
        <w:rPr>
          <w:rFonts w:hint="eastAsia"/>
          <w:color w:val="auto"/>
          <w:sz w:val="22"/>
          <w:highlight w:val="none"/>
        </w:rPr>
        <w:t>点30分</w:t>
      </w:r>
      <w:r>
        <w:rPr>
          <w:rFonts w:hint="eastAsia"/>
          <w:color w:val="auto"/>
          <w:sz w:val="22"/>
          <w:szCs w:val="22"/>
          <w:highlight w:val="none"/>
        </w:rPr>
        <w:t>（北京时间）</w:t>
      </w:r>
    </w:p>
    <w:p w14:paraId="6AA915FF">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投标地点（网址）：</w:t>
      </w:r>
      <w:r>
        <w:rPr>
          <w:rFonts w:hint="eastAsia"/>
          <w:color w:val="auto"/>
          <w:sz w:val="22"/>
          <w:highlight w:val="none"/>
        </w:rPr>
        <w:t>温州市鹿城区南汇街道勤民路鹿城壹号18幢803室（</w:t>
      </w:r>
      <w:r>
        <w:rPr>
          <w:rFonts w:hint="eastAsia"/>
          <w:color w:val="auto"/>
          <w:sz w:val="22"/>
          <w:highlight w:val="none"/>
          <w:lang w:val="en-US" w:eastAsia="zh-CN"/>
        </w:rPr>
        <w:t>乐</w:t>
      </w:r>
      <w:r>
        <w:rPr>
          <w:rFonts w:hint="eastAsia"/>
          <w:color w:val="auto"/>
          <w:sz w:val="22"/>
          <w:highlight w:val="none"/>
        </w:rPr>
        <w:t>采云平台：www.lecaiyun.com）</w:t>
      </w:r>
    </w:p>
    <w:p w14:paraId="7E20C726">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开标时间：</w:t>
      </w:r>
      <w:r>
        <w:rPr>
          <w:rFonts w:hint="eastAsia" w:cs="宋体"/>
          <w:color w:val="auto"/>
          <w:sz w:val="22"/>
          <w:highlight w:val="none"/>
          <w:lang w:val="en-US" w:eastAsia="zh-CN"/>
        </w:rPr>
        <w:t>2026年3月4日09</w:t>
      </w:r>
      <w:r>
        <w:rPr>
          <w:rFonts w:hint="eastAsia"/>
          <w:color w:val="auto"/>
          <w:sz w:val="22"/>
          <w:highlight w:val="none"/>
        </w:rPr>
        <w:t>点30分</w:t>
      </w:r>
      <w:bookmarkStart w:id="75" w:name="_GoBack"/>
      <w:bookmarkEnd w:id="75"/>
    </w:p>
    <w:p w14:paraId="362F83A7">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开标地点（网址）：</w:t>
      </w:r>
      <w:r>
        <w:rPr>
          <w:rFonts w:hint="eastAsia"/>
          <w:color w:val="auto"/>
          <w:sz w:val="22"/>
          <w:highlight w:val="none"/>
        </w:rPr>
        <w:t>温州市鹿城区南汇街道勤民路鹿城壹号18幢803室（</w:t>
      </w:r>
      <w:r>
        <w:rPr>
          <w:rFonts w:hint="eastAsia"/>
          <w:color w:val="auto"/>
          <w:sz w:val="22"/>
          <w:highlight w:val="none"/>
          <w:lang w:val="en-US" w:eastAsia="zh-CN"/>
        </w:rPr>
        <w:t>乐</w:t>
      </w:r>
      <w:r>
        <w:rPr>
          <w:rFonts w:hint="eastAsia"/>
          <w:color w:val="auto"/>
          <w:sz w:val="22"/>
          <w:highlight w:val="none"/>
        </w:rPr>
        <w:t>采云平台：www.lecaiyun.com）</w:t>
      </w:r>
    </w:p>
    <w:p w14:paraId="443D7C6F">
      <w:pPr>
        <w:pStyle w:val="50"/>
        <w:spacing w:before="0" w:beforeAutospacing="0" w:after="0" w:afterAutospacing="0" w:line="460" w:lineRule="exact"/>
        <w:rPr>
          <w:color w:val="auto"/>
          <w:sz w:val="22"/>
          <w:szCs w:val="22"/>
          <w:highlight w:val="none"/>
        </w:rPr>
      </w:pPr>
      <w:r>
        <w:rPr>
          <w:rFonts w:hint="eastAsia"/>
          <w:b/>
          <w:bCs/>
          <w:color w:val="auto"/>
          <w:sz w:val="22"/>
          <w:szCs w:val="22"/>
          <w:highlight w:val="none"/>
        </w:rPr>
        <w:t>五、公告期限</w:t>
      </w:r>
      <w:r>
        <w:rPr>
          <w:rFonts w:hint="eastAsia"/>
          <w:color w:val="auto"/>
          <w:sz w:val="22"/>
          <w:szCs w:val="22"/>
          <w:highlight w:val="none"/>
        </w:rPr>
        <w:t> </w:t>
      </w:r>
    </w:p>
    <w:p w14:paraId="30974A92">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自本公告发布之日起5个工作日。</w:t>
      </w:r>
    </w:p>
    <w:p w14:paraId="369D923E">
      <w:pPr>
        <w:pStyle w:val="50"/>
        <w:spacing w:before="0" w:beforeAutospacing="0" w:after="0" w:afterAutospacing="0" w:line="460" w:lineRule="exact"/>
        <w:rPr>
          <w:b/>
          <w:bCs/>
          <w:color w:val="auto"/>
          <w:sz w:val="22"/>
          <w:szCs w:val="22"/>
          <w:highlight w:val="none"/>
        </w:rPr>
      </w:pPr>
      <w:r>
        <w:rPr>
          <w:rFonts w:hint="eastAsia"/>
          <w:b/>
          <w:bCs/>
          <w:color w:val="auto"/>
          <w:sz w:val="22"/>
          <w:szCs w:val="22"/>
          <w:highlight w:val="none"/>
        </w:rPr>
        <w:t>六、其他补充事宜</w:t>
      </w:r>
    </w:p>
    <w:p w14:paraId="48FDC31F">
      <w:pPr>
        <w:pStyle w:val="50"/>
        <w:spacing w:before="0" w:beforeAutospacing="0" w:after="0" w:afterAutospacing="0" w:line="460" w:lineRule="exact"/>
        <w:ind w:firstLine="440" w:firstLineChars="200"/>
        <w:rPr>
          <w:rFonts w:hint="eastAsia"/>
          <w:color w:val="auto"/>
          <w:sz w:val="22"/>
          <w:highlight w:val="none"/>
          <w:lang w:val="en-US" w:eastAsia="zh-CN"/>
        </w:rPr>
      </w:pPr>
      <w:r>
        <w:rPr>
          <w:rFonts w:hint="eastAsia"/>
          <w:color w:val="auto"/>
          <w:sz w:val="22"/>
          <w:highlight w:val="none"/>
          <w:lang w:val="en-US" w:eastAsia="zh-CN"/>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采购监督管理部门投诉。</w:t>
      </w:r>
    </w:p>
    <w:p w14:paraId="4086FD35">
      <w:pPr>
        <w:pStyle w:val="50"/>
        <w:spacing w:before="0" w:beforeAutospacing="0" w:after="0" w:afterAutospacing="0" w:line="460" w:lineRule="exact"/>
        <w:ind w:firstLine="440" w:firstLineChars="200"/>
        <w:rPr>
          <w:rFonts w:hint="eastAsia"/>
          <w:color w:val="auto"/>
          <w:sz w:val="22"/>
          <w:highlight w:val="none"/>
          <w:lang w:val="en-US" w:eastAsia="zh-CN"/>
        </w:rPr>
      </w:pPr>
      <w:r>
        <w:rPr>
          <w:rFonts w:hint="eastAsia"/>
          <w:color w:val="auto"/>
          <w:sz w:val="22"/>
          <w:highlight w:val="none"/>
          <w:lang w:val="en-US" w:eastAsia="zh-CN"/>
        </w:rPr>
        <w:t>2、电子招投标的说明：①电子招投标：本项目以数据电文形式，依托“乐采云平台（www.lecaiyun.com）”进行招投标活动，不接受纸质投标文件；②具体操作流程问题可咨询乐采云人工客服热线（咨询电话：95763）。</w:t>
      </w:r>
    </w:p>
    <w:p w14:paraId="09262E65">
      <w:pPr>
        <w:pStyle w:val="50"/>
        <w:spacing w:before="0" w:beforeAutospacing="0" w:after="0" w:afterAutospacing="0" w:line="460" w:lineRule="exact"/>
        <w:ind w:firstLine="440" w:firstLineChars="200"/>
        <w:rPr>
          <w:rFonts w:hint="eastAsia"/>
          <w:color w:val="auto"/>
          <w:sz w:val="22"/>
          <w:highlight w:val="none"/>
        </w:rPr>
      </w:pPr>
      <w:r>
        <w:rPr>
          <w:rFonts w:hint="eastAsia"/>
          <w:color w:val="auto"/>
          <w:sz w:val="22"/>
          <w:highlight w:val="none"/>
          <w:lang w:val="en-US" w:eastAsia="zh-CN"/>
        </w:rPr>
        <w:t>3、招标公告附件的采购文件仅供阅览使用，未按照本公告规定的方式获取采购文件的潜在供应商提起的质疑采购组织机构将不予受理、答复。</w:t>
      </w:r>
      <w:r>
        <w:rPr>
          <w:rFonts w:hint="eastAsia"/>
          <w:color w:val="auto"/>
          <w:sz w:val="22"/>
          <w:highlight w:val="none"/>
        </w:rPr>
        <w:t xml:space="preserve">  </w:t>
      </w:r>
    </w:p>
    <w:p w14:paraId="6F06A50C">
      <w:pPr>
        <w:tabs>
          <w:tab w:val="left" w:pos="360"/>
        </w:tabs>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七、对本次招标提出询问，请按以下方式联系</w:t>
      </w:r>
      <w:r>
        <w:rPr>
          <w:rFonts w:hint="eastAsia" w:ascii="宋体" w:hAnsi="宋体" w:cs="宋体"/>
          <w:color w:val="auto"/>
          <w:sz w:val="22"/>
          <w:szCs w:val="22"/>
          <w:highlight w:val="none"/>
        </w:rPr>
        <w:t>　　　　　　　　　　　　</w:t>
      </w:r>
    </w:p>
    <w:p w14:paraId="094B354A">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1.采购人信息</w:t>
      </w:r>
    </w:p>
    <w:p w14:paraId="70B70C42">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名  称：温州市中医院</w:t>
      </w:r>
    </w:p>
    <w:p w14:paraId="4C63E625">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  址：</w:t>
      </w:r>
      <w:r>
        <w:rPr>
          <w:rFonts w:hint="eastAsia"/>
          <w:color w:val="auto"/>
          <w:sz w:val="22"/>
          <w:szCs w:val="22"/>
          <w:highlight w:val="none"/>
          <w:shd w:val="clear" w:color="auto" w:fill="FFFFFF"/>
        </w:rPr>
        <w:t>温州市六虹桥蛟尾路9号</w:t>
      </w:r>
      <w:r>
        <w:rPr>
          <w:rFonts w:hint="eastAsia"/>
          <w:color w:val="auto"/>
          <w:sz w:val="22"/>
          <w:szCs w:val="22"/>
          <w:highlight w:val="none"/>
        </w:rPr>
        <w:t>    　　</w:t>
      </w:r>
    </w:p>
    <w:p w14:paraId="387F482E">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项目联系人：</w:t>
      </w:r>
      <w:r>
        <w:rPr>
          <w:rFonts w:hint="eastAsia"/>
          <w:color w:val="auto"/>
          <w:sz w:val="22"/>
          <w:szCs w:val="22"/>
          <w:highlight w:val="none"/>
          <w:shd w:val="clear" w:color="auto" w:fill="FFFFFF"/>
        </w:rPr>
        <w:t>秦</w:t>
      </w:r>
      <w:r>
        <w:rPr>
          <w:rFonts w:hint="eastAsia"/>
          <w:color w:val="auto"/>
          <w:sz w:val="22"/>
          <w:szCs w:val="22"/>
          <w:highlight w:val="none"/>
          <w:shd w:val="clear" w:color="auto" w:fill="FFFFFF"/>
          <w:lang w:val="en-US" w:eastAsia="zh-CN"/>
        </w:rPr>
        <w:t>先生</w:t>
      </w:r>
      <w:r>
        <w:rPr>
          <w:rFonts w:hint="eastAsia"/>
          <w:color w:val="auto"/>
          <w:sz w:val="22"/>
          <w:szCs w:val="22"/>
          <w:highlight w:val="none"/>
        </w:rPr>
        <w:t> </w:t>
      </w:r>
    </w:p>
    <w:p w14:paraId="0E4B15AC">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项目联系方式：</w:t>
      </w:r>
      <w:r>
        <w:rPr>
          <w:rFonts w:hint="eastAsia"/>
          <w:color w:val="auto"/>
          <w:sz w:val="22"/>
          <w:szCs w:val="22"/>
          <w:highlight w:val="none"/>
          <w:shd w:val="clear" w:color="auto" w:fill="FFFFFF"/>
        </w:rPr>
        <w:t>0577-566715</w:t>
      </w:r>
      <w:r>
        <w:rPr>
          <w:rFonts w:hint="eastAsia"/>
          <w:color w:val="auto"/>
          <w:sz w:val="22"/>
          <w:szCs w:val="22"/>
          <w:highlight w:val="none"/>
          <w:shd w:val="clear" w:color="auto" w:fill="FFFFFF"/>
          <w:lang w:val="en-US" w:eastAsia="zh-CN"/>
        </w:rPr>
        <w:t>91</w:t>
      </w:r>
      <w:r>
        <w:rPr>
          <w:rFonts w:hint="eastAsia"/>
          <w:color w:val="auto"/>
          <w:sz w:val="22"/>
          <w:szCs w:val="22"/>
          <w:highlight w:val="none"/>
        </w:rPr>
        <w:t>　　　　　</w:t>
      </w:r>
    </w:p>
    <w:p w14:paraId="7504B9CC">
      <w:pPr>
        <w:pStyle w:val="50"/>
        <w:spacing w:before="0" w:beforeAutospacing="0" w:after="0" w:afterAutospacing="0" w:line="460" w:lineRule="exact"/>
        <w:rPr>
          <w:color w:val="auto"/>
          <w:sz w:val="22"/>
          <w:szCs w:val="22"/>
          <w:highlight w:val="none"/>
        </w:rPr>
      </w:pPr>
      <w:r>
        <w:rPr>
          <w:rFonts w:hint="eastAsia"/>
          <w:color w:val="auto"/>
          <w:sz w:val="22"/>
          <w:szCs w:val="22"/>
          <w:highlight w:val="none"/>
        </w:rPr>
        <w:t>  2.采购代理机构信息</w:t>
      </w:r>
    </w:p>
    <w:p w14:paraId="2F57E765">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名  称：温州历程招标有限公司 </w:t>
      </w:r>
    </w:p>
    <w:p w14:paraId="2F3FBF9C">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  址：温州市鹿城区南汇街道勤民路鹿城壹号18幢803室</w:t>
      </w:r>
    </w:p>
    <w:p w14:paraId="7A1E7DC6">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 xml:space="preserve">传  真：0577-89887255   </w:t>
      </w:r>
    </w:p>
    <w:p w14:paraId="6406FD8A">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项目联系人（询问）：温碧霞、郑永强</w:t>
      </w:r>
    </w:p>
    <w:p w14:paraId="2A617564">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项目联系方式（询问）：0577-89887322、13757727199</w:t>
      </w:r>
    </w:p>
    <w:p w14:paraId="3B9978B1">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质疑联系人：肖忠文</w:t>
      </w:r>
    </w:p>
    <w:p w14:paraId="2EE88F33">
      <w:pPr>
        <w:pStyle w:val="5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质疑联系方式：13757727199 </w:t>
      </w:r>
    </w:p>
    <w:p w14:paraId="6CC81A9E">
      <w:pPr>
        <w:pStyle w:val="50"/>
        <w:numPr>
          <w:ilvl w:val="0"/>
          <w:numId w:val="0"/>
        </w:numPr>
        <w:spacing w:before="0" w:beforeAutospacing="0" w:after="0" w:afterAutospacing="0" w:line="460" w:lineRule="exact"/>
        <w:ind w:firstLine="440" w:firstLineChars="200"/>
        <w:rPr>
          <w:color w:val="auto"/>
          <w:sz w:val="22"/>
          <w:highlight w:val="none"/>
        </w:rPr>
      </w:pPr>
      <w:r>
        <w:rPr>
          <w:rFonts w:ascii="宋体" w:hAnsi="宋体" w:eastAsia="宋体" w:cs="宋体"/>
          <w:color w:val="auto"/>
          <w:kern w:val="0"/>
          <w:sz w:val="22"/>
          <w:szCs w:val="24"/>
          <w:highlight w:val="none"/>
          <w:lang w:val="en-US" w:eastAsia="zh-CN" w:bidi="ar-SA"/>
        </w:rPr>
        <w:t>3.</w:t>
      </w:r>
      <w:r>
        <w:rPr>
          <w:rFonts w:hint="eastAsia"/>
          <w:color w:val="auto"/>
          <w:sz w:val="22"/>
          <w:highlight w:val="none"/>
        </w:rPr>
        <w:t>采购监督管理部门</w:t>
      </w:r>
    </w:p>
    <w:p w14:paraId="5D75A005">
      <w:pPr>
        <w:pStyle w:val="50"/>
        <w:spacing w:before="0" w:beforeAutospacing="0" w:after="0" w:afterAutospacing="0" w:line="460" w:lineRule="exact"/>
        <w:ind w:firstLine="440" w:firstLineChars="200"/>
        <w:rPr>
          <w:color w:val="auto"/>
          <w:sz w:val="22"/>
          <w:highlight w:val="none"/>
        </w:rPr>
      </w:pPr>
      <w:r>
        <w:rPr>
          <w:rFonts w:hint="eastAsia"/>
          <w:color w:val="auto"/>
          <w:sz w:val="22"/>
          <w:highlight w:val="none"/>
        </w:rPr>
        <w:t>名 称：</w:t>
      </w:r>
      <w:r>
        <w:rPr>
          <w:rFonts w:hint="eastAsia"/>
          <w:color w:val="auto"/>
          <w:sz w:val="22"/>
          <w:szCs w:val="22"/>
          <w:highlight w:val="none"/>
        </w:rPr>
        <w:t>温州市中医院监察室</w:t>
      </w:r>
      <w:r>
        <w:rPr>
          <w:rFonts w:hint="eastAsia"/>
          <w:color w:val="auto"/>
          <w:sz w:val="22"/>
          <w:highlight w:val="none"/>
        </w:rPr>
        <w:t> </w:t>
      </w:r>
    </w:p>
    <w:p w14:paraId="1D08E95B">
      <w:pPr>
        <w:tabs>
          <w:tab w:val="left" w:pos="360"/>
        </w:tabs>
        <w:spacing w:line="4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电话：0577-56671511</w:t>
      </w:r>
    </w:p>
    <w:p w14:paraId="607FB8D9">
      <w:pPr>
        <w:pStyle w:val="50"/>
        <w:spacing w:before="0" w:beforeAutospacing="0" w:after="0" w:afterAutospacing="0" w:line="460" w:lineRule="exact"/>
        <w:rPr>
          <w:color w:val="auto"/>
          <w:sz w:val="22"/>
          <w:szCs w:val="22"/>
          <w:highlight w:val="none"/>
        </w:rPr>
      </w:pPr>
      <w:r>
        <w:rPr>
          <w:rFonts w:hint="eastAsia"/>
          <w:color w:val="auto"/>
          <w:sz w:val="22"/>
          <w:szCs w:val="22"/>
          <w:highlight w:val="none"/>
        </w:rPr>
        <w:t>　</w:t>
      </w:r>
    </w:p>
    <w:p w14:paraId="34CD9B54">
      <w:pPr>
        <w:rPr>
          <w:rFonts w:ascii="宋体" w:hAnsi="宋体" w:cs="宋体"/>
          <w:color w:val="auto"/>
          <w:highlight w:val="none"/>
        </w:rPr>
      </w:pPr>
      <w:bookmarkStart w:id="4" w:name="_Toc10401"/>
      <w:bookmarkStart w:id="5" w:name="_Toc5772"/>
      <w:r>
        <w:rPr>
          <w:rFonts w:hint="eastAsia" w:ascii="宋体" w:hAnsi="宋体" w:cs="宋体"/>
          <w:color w:val="auto"/>
          <w:highlight w:val="none"/>
        </w:rPr>
        <w:br w:type="page"/>
      </w:r>
    </w:p>
    <w:p w14:paraId="213FEECD">
      <w:pPr>
        <w:pStyle w:val="5"/>
        <w:rPr>
          <w:rFonts w:ascii="宋体" w:hAnsi="宋体" w:eastAsia="宋体" w:cs="宋体"/>
          <w:color w:val="auto"/>
          <w:highlight w:val="none"/>
        </w:rPr>
      </w:pPr>
      <w:r>
        <w:rPr>
          <w:rFonts w:hint="eastAsia" w:ascii="宋体" w:hAnsi="宋体" w:eastAsia="宋体" w:cs="宋体"/>
          <w:color w:val="auto"/>
          <w:highlight w:val="none"/>
        </w:rPr>
        <w:t>第一部分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投标人须知</w:t>
      </w:r>
      <w:bookmarkEnd w:id="4"/>
      <w:bookmarkEnd w:id="5"/>
    </w:p>
    <w:p w14:paraId="5C523717">
      <w:pPr>
        <w:keepNext/>
        <w:keepLines/>
        <w:shd w:val="clear" w:color="auto" w:fill="FFFFFF"/>
        <w:tabs>
          <w:tab w:val="left" w:pos="706"/>
        </w:tabs>
        <w:snapToGrid w:val="0"/>
        <w:spacing w:line="360" w:lineRule="auto"/>
        <w:jc w:val="center"/>
        <w:outlineLvl w:val="1"/>
        <w:rPr>
          <w:rFonts w:ascii="宋体" w:hAnsi="宋体" w:cs="宋体"/>
          <w:b/>
          <w:bCs/>
          <w:color w:val="auto"/>
          <w:sz w:val="24"/>
          <w:highlight w:val="none"/>
        </w:rPr>
      </w:pPr>
      <w:bookmarkStart w:id="6" w:name="_Toc1839"/>
      <w:bookmarkStart w:id="7" w:name="_Toc354996695"/>
      <w:bookmarkStart w:id="8" w:name="_Toc6224"/>
      <w:bookmarkStart w:id="9" w:name="_Toc33194387"/>
      <w:bookmarkStart w:id="10" w:name="_Toc233618971"/>
      <w:r>
        <w:rPr>
          <w:rFonts w:hint="eastAsia" w:ascii="宋体" w:hAnsi="宋体" w:cs="宋体"/>
          <w:b/>
          <w:bCs/>
          <w:color w:val="auto"/>
          <w:sz w:val="24"/>
          <w:highlight w:val="none"/>
        </w:rPr>
        <w:t>前附表</w:t>
      </w:r>
      <w:bookmarkEnd w:id="6"/>
      <w:bookmarkEnd w:id="7"/>
      <w:bookmarkEnd w:id="8"/>
      <w:bookmarkEnd w:id="9"/>
      <w:bookmarkEnd w:id="10"/>
    </w:p>
    <w:tbl>
      <w:tblPr>
        <w:tblStyle w:val="54"/>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16BD2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70BB1976">
            <w:pPr>
              <w:snapToGrid w:val="0"/>
              <w:spacing w:line="460" w:lineRule="exact"/>
              <w:jc w:val="center"/>
              <w:rPr>
                <w:rFonts w:ascii="宋体" w:hAnsi="宋体" w:cs="宋体"/>
                <w:color w:val="auto"/>
                <w:sz w:val="22"/>
                <w:szCs w:val="22"/>
                <w:highlight w:val="none"/>
              </w:rPr>
            </w:pPr>
            <w:r>
              <w:rPr>
                <w:rFonts w:hint="eastAsia" w:ascii="宋体" w:hAnsi="宋体" w:cs="宋体"/>
                <w:b/>
                <w:bCs/>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3D73BB66">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内容规定</w:t>
            </w:r>
          </w:p>
        </w:tc>
      </w:tr>
      <w:tr w14:paraId="0C701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9F823EC">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339F0A60">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一、项目名称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医技检查预约平台项目</w:t>
            </w:r>
          </w:p>
          <w:p w14:paraId="5B880734">
            <w:pPr>
              <w:spacing w:line="460" w:lineRule="exact"/>
              <w:rPr>
                <w:rFonts w:ascii="宋体" w:hAnsi="宋体" w:cs="宋体"/>
                <w:b/>
                <w:bCs/>
                <w:color w:val="auto"/>
                <w:sz w:val="22"/>
                <w:szCs w:val="22"/>
                <w:highlight w:val="none"/>
              </w:rPr>
            </w:pPr>
            <w:bookmarkStart w:id="11" w:name="_Hlt75139851"/>
            <w:bookmarkEnd w:id="11"/>
            <w:r>
              <w:rPr>
                <w:rFonts w:hint="eastAsia" w:ascii="宋体" w:hAnsi="宋体" w:cs="宋体"/>
                <w:b/>
                <w:bCs/>
                <w:color w:val="auto"/>
                <w:sz w:val="22"/>
                <w:szCs w:val="22"/>
                <w:highlight w:val="none"/>
              </w:rPr>
              <w:t>二、采购内容：</w:t>
            </w:r>
          </w:p>
          <w:tbl>
            <w:tblPr>
              <w:tblStyle w:val="54"/>
              <w:tblW w:w="9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8"/>
              <w:gridCol w:w="2903"/>
              <w:gridCol w:w="960"/>
              <w:gridCol w:w="1372"/>
              <w:gridCol w:w="3287"/>
            </w:tblGrid>
            <w:tr w14:paraId="0FB04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75AC2075">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序号</w:t>
                  </w:r>
                </w:p>
              </w:tc>
              <w:tc>
                <w:tcPr>
                  <w:tcW w:w="2903" w:type="dxa"/>
                  <w:tcBorders>
                    <w:top w:val="single" w:color="auto" w:sz="4" w:space="0"/>
                    <w:left w:val="single" w:color="auto" w:sz="4" w:space="0"/>
                    <w:bottom w:val="single" w:color="auto" w:sz="4" w:space="0"/>
                    <w:right w:val="single" w:color="auto" w:sz="4" w:space="0"/>
                  </w:tcBorders>
                  <w:vAlign w:val="center"/>
                </w:tcPr>
                <w:p w14:paraId="3E32C2B9">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960" w:type="dxa"/>
                  <w:tcBorders>
                    <w:top w:val="single" w:color="auto" w:sz="4" w:space="0"/>
                    <w:left w:val="single" w:color="auto" w:sz="4" w:space="0"/>
                    <w:bottom w:val="single" w:color="auto" w:sz="4" w:space="0"/>
                    <w:right w:val="single" w:color="auto" w:sz="4" w:space="0"/>
                  </w:tcBorders>
                  <w:vAlign w:val="center"/>
                </w:tcPr>
                <w:p w14:paraId="4E2B9666">
                  <w:pPr>
                    <w:tabs>
                      <w:tab w:val="left" w:pos="360"/>
                    </w:tabs>
                    <w:spacing w:line="460" w:lineRule="exact"/>
                    <w:jc w:val="center"/>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lang w:val="en-US" w:eastAsia="zh-CN"/>
                    </w:rPr>
                    <w:t>数量</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EDEC88A">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highlight w:val="none"/>
                    </w:rPr>
                    <w:t>预算金额</w:t>
                  </w:r>
                </w:p>
              </w:tc>
              <w:tc>
                <w:tcPr>
                  <w:tcW w:w="3287" w:type="dxa"/>
                  <w:tcBorders>
                    <w:top w:val="single" w:color="auto" w:sz="4" w:space="0"/>
                    <w:left w:val="single" w:color="auto" w:sz="4" w:space="0"/>
                    <w:bottom w:val="single" w:color="auto" w:sz="4" w:space="0"/>
                    <w:right w:val="single" w:color="auto" w:sz="4" w:space="0"/>
                  </w:tcBorders>
                  <w:vAlign w:val="center"/>
                </w:tcPr>
                <w:p w14:paraId="297EC77C">
                  <w:pPr>
                    <w:widowControl/>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简要技术要求、用途</w:t>
                  </w:r>
                </w:p>
              </w:tc>
            </w:tr>
            <w:tr w14:paraId="1A80C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48" w:type="dxa"/>
                  <w:tcBorders>
                    <w:top w:val="single" w:color="auto" w:sz="4" w:space="0"/>
                    <w:left w:val="single" w:color="auto" w:sz="4" w:space="0"/>
                    <w:right w:val="single" w:color="auto" w:sz="4" w:space="0"/>
                  </w:tcBorders>
                  <w:vAlign w:val="center"/>
                </w:tcPr>
                <w:p w14:paraId="1934D0FB">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903" w:type="dxa"/>
                  <w:tcBorders>
                    <w:top w:val="single" w:color="auto" w:sz="4" w:space="0"/>
                    <w:left w:val="single" w:color="auto" w:sz="4" w:space="0"/>
                    <w:right w:val="single" w:color="auto" w:sz="4" w:space="0"/>
                  </w:tcBorders>
                  <w:vAlign w:val="center"/>
                </w:tcPr>
                <w:p w14:paraId="068F8C19">
                  <w:pPr>
                    <w:spacing w:line="46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医技检查预约平台项目</w:t>
                  </w:r>
                </w:p>
              </w:tc>
              <w:tc>
                <w:tcPr>
                  <w:tcW w:w="960" w:type="dxa"/>
                  <w:tcBorders>
                    <w:top w:val="single" w:color="auto" w:sz="4" w:space="0"/>
                    <w:left w:val="single" w:color="auto" w:sz="4" w:space="0"/>
                    <w:bottom w:val="single" w:color="auto" w:sz="4" w:space="0"/>
                    <w:right w:val="single" w:color="auto" w:sz="4" w:space="0"/>
                  </w:tcBorders>
                  <w:vAlign w:val="center"/>
                </w:tcPr>
                <w:p w14:paraId="63649E03">
                  <w:pPr>
                    <w:tabs>
                      <w:tab w:val="left" w:pos="360"/>
                    </w:tabs>
                    <w:spacing w:line="460" w:lineRule="exact"/>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1</w:t>
                  </w:r>
                </w:p>
              </w:tc>
              <w:tc>
                <w:tcPr>
                  <w:tcW w:w="1372" w:type="dxa"/>
                  <w:tcBorders>
                    <w:top w:val="single" w:color="auto" w:sz="4" w:space="0"/>
                    <w:left w:val="single" w:color="auto" w:sz="4" w:space="0"/>
                    <w:right w:val="single" w:color="auto" w:sz="4" w:space="0"/>
                  </w:tcBorders>
                  <w:shd w:val="clear" w:color="auto" w:fill="auto"/>
                  <w:vAlign w:val="center"/>
                </w:tcPr>
                <w:p w14:paraId="7AD6F690">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lang w:val="en-US" w:eastAsia="zh-CN"/>
                    </w:rPr>
                    <w:t>400</w:t>
                  </w:r>
                  <w:r>
                    <w:rPr>
                      <w:rFonts w:hint="eastAsia" w:ascii="宋体" w:hAnsi="宋体" w:cs="宋体"/>
                      <w:color w:val="auto"/>
                      <w:sz w:val="22"/>
                      <w:szCs w:val="22"/>
                      <w:highlight w:val="none"/>
                      <w:shd w:val="clear" w:color="auto" w:fill="FFFFFF"/>
                    </w:rPr>
                    <w:t>000</w:t>
                  </w:r>
                  <w:r>
                    <w:rPr>
                      <w:rFonts w:hint="eastAsia" w:ascii="宋体" w:hAnsi="宋体" w:cs="宋体"/>
                      <w:color w:val="auto"/>
                      <w:sz w:val="22"/>
                      <w:highlight w:val="none"/>
                    </w:rPr>
                    <w:t>元</w:t>
                  </w:r>
                </w:p>
              </w:tc>
              <w:tc>
                <w:tcPr>
                  <w:tcW w:w="3287" w:type="dxa"/>
                  <w:tcBorders>
                    <w:top w:val="single" w:color="auto" w:sz="4" w:space="0"/>
                    <w:left w:val="single" w:color="auto" w:sz="4" w:space="0"/>
                    <w:right w:val="single" w:color="auto" w:sz="4" w:space="0"/>
                  </w:tcBorders>
                  <w:vAlign w:val="center"/>
                </w:tcPr>
                <w:p w14:paraId="62087509">
                  <w:pPr>
                    <w:shd w:val="clear" w:color="auto" w:fill="FFFFFF"/>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详见招标文件第四部分“项目技术规范和服务要求”</w:t>
                  </w:r>
                </w:p>
              </w:tc>
            </w:tr>
          </w:tbl>
          <w:p w14:paraId="5C2AD312">
            <w:pPr>
              <w:tabs>
                <w:tab w:val="left" w:pos="360"/>
              </w:tabs>
              <w:spacing w:line="460" w:lineRule="exact"/>
              <w:rPr>
                <w:rFonts w:ascii="宋体" w:hAnsi="宋体" w:cs="宋体"/>
                <w:color w:val="auto"/>
                <w:highlight w:val="none"/>
              </w:rPr>
            </w:pPr>
            <w:r>
              <w:rPr>
                <w:rFonts w:hint="eastAsia" w:ascii="宋体" w:hAnsi="宋体" w:cs="宋体"/>
                <w:b/>
                <w:color w:val="auto"/>
                <w:sz w:val="22"/>
                <w:szCs w:val="22"/>
                <w:highlight w:val="none"/>
              </w:rPr>
              <w:t>如投标人报价超过预算金额按无效标处理。</w:t>
            </w:r>
          </w:p>
        </w:tc>
      </w:tr>
      <w:tr w14:paraId="6E51E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CF00D59">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77CE7697">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val="zh-CN"/>
              </w:rPr>
              <w:t>投标</w:t>
            </w:r>
            <w:r>
              <w:rPr>
                <w:rFonts w:hint="eastAsia" w:ascii="宋体" w:hAnsi="宋体" w:cs="宋体"/>
                <w:b/>
                <w:bCs/>
                <w:color w:val="auto"/>
                <w:sz w:val="22"/>
                <w:szCs w:val="22"/>
                <w:highlight w:val="none"/>
              </w:rPr>
              <w:t>有效期：</w:t>
            </w:r>
            <w:r>
              <w:rPr>
                <w:rFonts w:hint="eastAsia" w:ascii="宋体" w:hAnsi="宋体" w:cs="宋体"/>
                <w:color w:val="auto"/>
                <w:sz w:val="22"/>
                <w:szCs w:val="22"/>
                <w:highlight w:val="none"/>
              </w:rPr>
              <w:t>自投标截止日起120天。</w:t>
            </w:r>
          </w:p>
        </w:tc>
      </w:tr>
      <w:tr w14:paraId="3190E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A8954A4">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72A303EF">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投标保证金数额：</w:t>
            </w:r>
            <w:r>
              <w:rPr>
                <w:rFonts w:hint="eastAsia" w:ascii="宋体" w:hAnsi="宋体" w:cs="宋体"/>
                <w:color w:val="auto"/>
                <w:sz w:val="22"/>
                <w:szCs w:val="22"/>
                <w:highlight w:val="none"/>
              </w:rPr>
              <w:t>无。</w:t>
            </w:r>
          </w:p>
        </w:tc>
      </w:tr>
      <w:tr w14:paraId="69C25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1C6C983">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720C6A75">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招标服务费：</w:t>
            </w:r>
            <w:r>
              <w:rPr>
                <w:rFonts w:hint="eastAsia" w:ascii="宋体" w:hAnsi="宋体" w:cs="宋体"/>
                <w:color w:val="auto"/>
                <w:sz w:val="22"/>
                <w:szCs w:val="22"/>
                <w:highlight w:val="none"/>
              </w:rPr>
              <w:t>根据国家计委计价格【2002】1980号《招标代理服务收费管理暂行办法》规定标准的75%收取,由中标人在领取中标通知书时支付。</w:t>
            </w:r>
          </w:p>
          <w:p w14:paraId="37140C4F">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户 名：温州历程招标有限公司乐清分公司</w:t>
            </w:r>
          </w:p>
          <w:p w14:paraId="4BCD4771">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账 号：33050162870400000619</w:t>
            </w:r>
          </w:p>
          <w:p w14:paraId="37F7303E">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开户银行：中国建设银行股份有限公司温州新城支行</w:t>
            </w:r>
          </w:p>
          <w:p w14:paraId="2A3C93AC">
            <w:pPr>
              <w:spacing w:line="460" w:lineRule="exact"/>
              <w:ind w:firstLine="440" w:firstLineChars="200"/>
              <w:rPr>
                <w:rFonts w:ascii="宋体" w:hAnsi="宋体" w:cs="宋体"/>
                <w:color w:val="auto"/>
                <w:highlight w:val="none"/>
              </w:rPr>
            </w:pPr>
            <w:r>
              <w:rPr>
                <w:rFonts w:hint="eastAsia" w:ascii="宋体" w:hAnsi="宋体" w:cs="宋体"/>
                <w:color w:val="auto"/>
                <w:sz w:val="22"/>
                <w:szCs w:val="22"/>
                <w:highlight w:val="none"/>
              </w:rPr>
              <w:t>行号：105333000038</w:t>
            </w:r>
          </w:p>
        </w:tc>
      </w:tr>
      <w:tr w14:paraId="27C5E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ADADD62">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25D4409A">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投标文件的组成：</w:t>
            </w:r>
            <w:r>
              <w:rPr>
                <w:rFonts w:hint="eastAsia" w:ascii="宋体" w:hAnsi="宋体" w:cs="宋体"/>
                <w:color w:val="auto"/>
                <w:sz w:val="22"/>
                <w:szCs w:val="22"/>
                <w:highlight w:val="none"/>
              </w:rPr>
              <w:t>完整的《投标文件》由“资格文件”、“报价文件”和“商务技术文件”三个部分组成。</w:t>
            </w:r>
          </w:p>
        </w:tc>
      </w:tr>
      <w:tr w14:paraId="27FDB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1E4D48D">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66EBE9BC">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投标文件的编制：</w:t>
            </w:r>
            <w:r>
              <w:rPr>
                <w:rFonts w:hint="eastAsia" w:ascii="宋体" w:hAnsi="宋体" w:cs="宋体"/>
                <w:color w:val="auto"/>
                <w:sz w:val="22"/>
                <w:szCs w:val="22"/>
                <w:highlight w:val="none"/>
              </w:rPr>
              <w:t>供应商应先安装“</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”的要求，通过“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电子交易客户端”编制并加密投标文件。</w:t>
            </w:r>
          </w:p>
        </w:tc>
      </w:tr>
      <w:tr w14:paraId="4FBF8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BB2BFBB">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6DD27B53">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投标文件的签章：</w:t>
            </w:r>
            <w:r>
              <w:rPr>
                <w:rFonts w:hint="eastAsia" w:ascii="宋体" w:hAnsi="宋体" w:cs="宋体"/>
                <w:color w:val="auto"/>
                <w:sz w:val="22"/>
                <w:szCs w:val="22"/>
                <w:highlight w:val="none"/>
              </w:rPr>
              <w:t>电子签章。</w:t>
            </w:r>
          </w:p>
        </w:tc>
      </w:tr>
      <w:tr w14:paraId="6D737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1B8C503">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477FBA10">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投标文件的形式：</w:t>
            </w:r>
            <w:r>
              <w:rPr>
                <w:rFonts w:hint="eastAsia" w:ascii="宋体" w:hAnsi="宋体" w:cs="宋体"/>
                <w:color w:val="auto"/>
                <w:sz w:val="22"/>
                <w:szCs w:val="22"/>
                <w:highlight w:val="none"/>
              </w:rPr>
              <w:t>☑电子投标文件（包括“电子加密投标文件”和“备份投标文件”，在投标文件编制完成后同时生成）；</w:t>
            </w:r>
          </w:p>
          <w:p w14:paraId="49F52C65">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（1）“电子加密投标文件”是指通过“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电子交易客户端”完成投标文件编制后生成并加密的数据电文形式的投标文件。</w:t>
            </w:r>
          </w:p>
          <w:p w14:paraId="07473134">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74983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1123FB8">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74C7DDE2">
            <w:pPr>
              <w:spacing w:line="460" w:lineRule="exact"/>
              <w:rPr>
                <w:color w:val="auto"/>
                <w:sz w:val="22"/>
                <w:szCs w:val="28"/>
                <w:highlight w:val="none"/>
              </w:rPr>
            </w:pPr>
            <w:r>
              <w:rPr>
                <w:rFonts w:hint="eastAsia"/>
                <w:color w:val="auto"/>
                <w:sz w:val="22"/>
                <w:szCs w:val="28"/>
                <w:highlight w:val="none"/>
              </w:rPr>
              <w:t>投标文件份数：</w:t>
            </w:r>
          </w:p>
          <w:p w14:paraId="110406DE">
            <w:pPr>
              <w:numPr>
                <w:ilvl w:val="0"/>
                <w:numId w:val="1"/>
              </w:numPr>
              <w:spacing w:line="460" w:lineRule="exact"/>
              <w:rPr>
                <w:color w:val="auto"/>
                <w:sz w:val="22"/>
                <w:szCs w:val="28"/>
                <w:highlight w:val="none"/>
              </w:rPr>
            </w:pPr>
            <w:r>
              <w:rPr>
                <w:rFonts w:hint="eastAsia"/>
                <w:color w:val="auto"/>
                <w:sz w:val="22"/>
                <w:szCs w:val="28"/>
                <w:highlight w:val="none"/>
              </w:rPr>
              <w:t>“电子加密投标文件”：在线上传、递交一份。</w:t>
            </w:r>
          </w:p>
          <w:p w14:paraId="32B7A509">
            <w:pPr>
              <w:numPr>
                <w:ilvl w:val="0"/>
                <w:numId w:val="1"/>
              </w:numPr>
              <w:spacing w:line="460" w:lineRule="exact"/>
              <w:rPr>
                <w:color w:val="auto"/>
                <w:sz w:val="22"/>
                <w:szCs w:val="28"/>
                <w:highlight w:val="none"/>
              </w:rPr>
            </w:pPr>
            <w:r>
              <w:rPr>
                <w:rFonts w:hint="eastAsia"/>
                <w:color w:val="auto"/>
                <w:sz w:val="22"/>
                <w:szCs w:val="28"/>
                <w:highlight w:val="none"/>
              </w:rPr>
              <w:t>“备份投标文件”：密封包装后投标截止时间前递交一份</w:t>
            </w:r>
          </w:p>
          <w:p w14:paraId="49A53692">
            <w:pPr>
              <w:spacing w:line="460" w:lineRule="exact"/>
              <w:rPr>
                <w:color w:val="auto"/>
                <w:sz w:val="22"/>
                <w:szCs w:val="28"/>
                <w:highlight w:val="none"/>
              </w:rPr>
            </w:pPr>
            <w:r>
              <w:rPr>
                <w:rFonts w:hint="eastAsia"/>
                <w:color w:val="auto"/>
                <w:sz w:val="22"/>
                <w:szCs w:val="28"/>
                <w:highlight w:val="none"/>
              </w:rPr>
              <w:t>（若不提供备份投标文件，开标当天电子加密投标文件解密失败，投标人自行负责。）</w:t>
            </w:r>
          </w:p>
          <w:p w14:paraId="5BC52940">
            <w:pPr>
              <w:tabs>
                <w:tab w:val="left" w:pos="360"/>
              </w:tabs>
              <w:spacing w:line="460" w:lineRule="exact"/>
              <w:rPr>
                <w:color w:val="auto"/>
                <w:sz w:val="22"/>
                <w:szCs w:val="28"/>
                <w:highlight w:val="none"/>
              </w:rPr>
            </w:pPr>
            <w:r>
              <w:rPr>
                <w:rFonts w:hint="eastAsia"/>
                <w:color w:val="auto"/>
                <w:sz w:val="22"/>
                <w:szCs w:val="28"/>
                <w:highlight w:val="none"/>
              </w:rPr>
              <w:t>可以（邮寄形式，建议顺丰）在投标截止时间前递交，并需采购代理机构确认是否收到，</w:t>
            </w:r>
          </w:p>
          <w:p w14:paraId="6C49B6B4">
            <w:pPr>
              <w:spacing w:line="460" w:lineRule="exact"/>
              <w:rPr>
                <w:color w:val="auto"/>
                <w:sz w:val="22"/>
                <w:szCs w:val="28"/>
                <w:highlight w:val="none"/>
              </w:rPr>
            </w:pPr>
            <w:r>
              <w:rPr>
                <w:rFonts w:hint="eastAsia"/>
                <w:color w:val="auto"/>
                <w:sz w:val="22"/>
                <w:szCs w:val="28"/>
                <w:highlight w:val="none"/>
              </w:rPr>
              <w:t>邮寄地址：温州市鹿城区南汇街道勤民</w:t>
            </w:r>
            <w:r>
              <w:rPr>
                <w:rFonts w:hint="eastAsia" w:ascii="Times New Roman" w:hAnsi="Times New Roman" w:eastAsia="宋体" w:cs="Times New Roman"/>
                <w:color w:val="auto"/>
                <w:sz w:val="22"/>
                <w:szCs w:val="28"/>
                <w:highlight w:val="none"/>
              </w:rPr>
              <w:t>路鹿城壹号18幢803室</w:t>
            </w:r>
          </w:p>
          <w:p w14:paraId="79FDC5E6">
            <w:pPr>
              <w:spacing w:line="460" w:lineRule="exact"/>
              <w:rPr>
                <w:color w:val="auto"/>
                <w:highlight w:val="none"/>
              </w:rPr>
            </w:pPr>
            <w:r>
              <w:rPr>
                <w:rFonts w:hint="eastAsia"/>
                <w:color w:val="auto"/>
                <w:sz w:val="22"/>
                <w:szCs w:val="28"/>
                <w:highlight w:val="none"/>
              </w:rPr>
              <w:t>联系人：温先生 联系电话：</w:t>
            </w:r>
            <w:r>
              <w:rPr>
                <w:rFonts w:hint="eastAsia" w:ascii="宋体" w:hAnsi="宋体" w:cs="宋体"/>
                <w:color w:val="auto"/>
                <w:sz w:val="22"/>
                <w:szCs w:val="28"/>
                <w:highlight w:val="none"/>
              </w:rPr>
              <w:t>13757727199</w:t>
            </w:r>
          </w:p>
        </w:tc>
      </w:tr>
      <w:tr w14:paraId="0E595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C6B02FB">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49A3581D">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投标文件的上传和递交：</w:t>
            </w:r>
          </w:p>
          <w:p w14:paraId="5D87D82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0F1CB3C9">
            <w:pPr>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a.投标人应在投标截止时间前将“电子加密投标文件”成功上传递交至“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”，否则投标无效。</w:t>
            </w:r>
          </w:p>
          <w:p w14:paraId="40B7BAC8">
            <w:pPr>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4C8D2534">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0E9474FD">
            <w:pPr>
              <w:tabs>
                <w:tab w:val="left" w:pos="360"/>
              </w:tabs>
              <w:spacing w:line="460" w:lineRule="exact"/>
              <w:ind w:firstLine="550" w:firstLineChars="250"/>
              <w:rPr>
                <w:rFonts w:ascii="宋体" w:hAnsi="宋体" w:cs="宋体"/>
                <w:b/>
                <w:bCs/>
                <w:color w:val="auto"/>
                <w:sz w:val="22"/>
                <w:szCs w:val="22"/>
                <w:highlight w:val="none"/>
              </w:rPr>
            </w:pPr>
            <w:r>
              <w:rPr>
                <w:rFonts w:hint="eastAsia" w:ascii="宋体" w:hAnsi="宋体" w:cs="宋体"/>
                <w:color w:val="auto"/>
                <w:sz w:val="22"/>
                <w:szCs w:val="22"/>
                <w:highlight w:val="none"/>
              </w:rPr>
              <w:t>a.投标人在“</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”完成“电子加密投标文件”的上传递交后，</w:t>
            </w:r>
            <w:r>
              <w:rPr>
                <w:rFonts w:hint="eastAsia" w:ascii="宋体" w:hAnsi="宋体" w:cs="宋体"/>
                <w:b/>
                <w:bCs/>
                <w:color w:val="auto"/>
                <w:sz w:val="22"/>
                <w:szCs w:val="22"/>
                <w:highlight w:val="none"/>
              </w:rPr>
              <w:t>还可以在投标截止时间前递交以介质（U盘）存储的数据电文形式的“备份投标文件”，（可以</w:t>
            </w:r>
            <w:r>
              <w:rPr>
                <w:rFonts w:hint="eastAsia" w:ascii="宋体" w:hAnsi="宋体" w:cs="宋体"/>
                <w:b/>
                <w:color w:val="auto"/>
                <w:sz w:val="22"/>
                <w:szCs w:val="22"/>
                <w:highlight w:val="none"/>
                <w:u w:val="single"/>
              </w:rPr>
              <w:t>（邮寄形式，建议顺丰）在投标截止时间前递交，并需采购代理机构确认是否收到</w:t>
            </w:r>
            <w:r>
              <w:rPr>
                <w:rFonts w:hint="eastAsia" w:ascii="宋体" w:hAnsi="宋体" w:cs="宋体"/>
                <w:b/>
                <w:bCs/>
                <w:color w:val="auto"/>
                <w:sz w:val="22"/>
                <w:szCs w:val="22"/>
                <w:highlight w:val="none"/>
              </w:rPr>
              <w:t>）</w:t>
            </w:r>
          </w:p>
          <w:p w14:paraId="61FDADEC">
            <w:pPr>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16350C43">
            <w:pPr>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c.通过“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”成功上传递交的“电子加密投标文件”已按时解密的，“备份投标文件”自动失效。投标截止时间前，投标人仅递交了“备份投标文件”而未将“电子加密投标文件”成功上传至“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”的，投标无效。</w:t>
            </w:r>
          </w:p>
        </w:tc>
      </w:tr>
      <w:tr w14:paraId="61E88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AB31EB4">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0F1B5942">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电子加密投标文件的解密和异常情况处理：</w:t>
            </w:r>
          </w:p>
          <w:p w14:paraId="0AEBCD97">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（1）开标后，采购组织机构将向各投标人发出“电子加密投标文件”的解密通知，各投标人代表应当在接到解密通知后在系统规定的时间自行完成“电子加密投标文件”的在线解密。</w:t>
            </w:r>
          </w:p>
          <w:p w14:paraId="3745D9F0">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”成功上传递交的“电子加密投标文件”无法按时解密，投标人如按规定递交了“备份投标文件”的，以“备份投标文件”为依据（由采购组织机构按“</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”操作规范将“备份投标文件”上传至“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”，上传成功后，“电子加密投标文件”自动失效），否则视为投标文件撤回。</w:t>
            </w:r>
          </w:p>
          <w:p w14:paraId="5B9F0FAF">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（3）投标截止时间前，投标人仅递交了“备份投标文件”而未将电子加密投标文件上传至“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”的，投标无效。</w:t>
            </w:r>
          </w:p>
        </w:tc>
      </w:tr>
      <w:tr w14:paraId="5E6AA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25F946D">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1FD7EFA1">
            <w:pPr>
              <w:widowControl/>
              <w:snapToGrid w:val="0"/>
              <w:spacing w:line="460" w:lineRule="exact"/>
              <w:jc w:val="left"/>
              <w:rPr>
                <w:rFonts w:hint="default" w:eastAsia="宋体"/>
                <w:color w:val="auto"/>
                <w:highlight w:val="none"/>
                <w:lang w:val="en-US" w:eastAsia="zh-CN"/>
              </w:rPr>
            </w:pPr>
            <w:r>
              <w:rPr>
                <w:rFonts w:hint="eastAsia" w:ascii="宋体" w:hAnsi="宋体" w:cs="宋体"/>
                <w:color w:val="auto"/>
                <w:sz w:val="22"/>
                <w:szCs w:val="22"/>
                <w:highlight w:val="none"/>
              </w:rPr>
              <w:t>提交投标文件截止时间</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地点</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具体详见招标公告。</w:t>
            </w:r>
          </w:p>
        </w:tc>
      </w:tr>
      <w:tr w14:paraId="54425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29016E3F">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9590" w:type="dxa"/>
            <w:tcBorders>
              <w:top w:val="single" w:color="000000" w:sz="2" w:space="0"/>
              <w:left w:val="single" w:color="000000" w:sz="2" w:space="0"/>
              <w:bottom w:val="single" w:color="auto" w:sz="4" w:space="0"/>
              <w:right w:val="single" w:color="000000" w:sz="8" w:space="0"/>
            </w:tcBorders>
            <w:vAlign w:val="center"/>
          </w:tcPr>
          <w:p w14:paraId="1A4811D0">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开标时间</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地点</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具体详见招标公告。</w:t>
            </w:r>
          </w:p>
        </w:tc>
      </w:tr>
      <w:tr w14:paraId="44493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229B5D7C">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9590" w:type="dxa"/>
            <w:tcBorders>
              <w:top w:val="single" w:color="auto" w:sz="4" w:space="0"/>
              <w:left w:val="single" w:color="000000" w:sz="2" w:space="0"/>
              <w:bottom w:val="single" w:color="auto" w:sz="4" w:space="0"/>
              <w:right w:val="single" w:color="000000" w:sz="8" w:space="0"/>
            </w:tcBorders>
            <w:vAlign w:val="center"/>
          </w:tcPr>
          <w:p w14:paraId="6793A14F">
            <w:pPr>
              <w:snapToGrid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tc>
      </w:tr>
      <w:tr w14:paraId="59592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695301B">
            <w:pPr>
              <w:widowControl/>
              <w:snapToGrid w:val="0"/>
              <w:spacing w:line="46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15</w:t>
            </w:r>
          </w:p>
        </w:tc>
        <w:tc>
          <w:tcPr>
            <w:tcW w:w="9590" w:type="dxa"/>
            <w:tcBorders>
              <w:top w:val="single" w:color="000000" w:sz="2" w:space="0"/>
              <w:left w:val="single" w:color="000000" w:sz="2" w:space="0"/>
              <w:bottom w:val="single" w:color="000000" w:sz="2" w:space="0"/>
              <w:right w:val="single" w:color="000000" w:sz="8" w:space="0"/>
            </w:tcBorders>
            <w:vAlign w:val="center"/>
          </w:tcPr>
          <w:p w14:paraId="0E30C78B">
            <w:pPr>
              <w:snapToGrid w:val="0"/>
              <w:spacing w:line="460" w:lineRule="exact"/>
              <w:rPr>
                <w:rFonts w:ascii="宋体" w:hAnsi="宋体" w:cs="宋体"/>
                <w:color w:val="auto"/>
                <w:sz w:val="22"/>
                <w:szCs w:val="22"/>
                <w:highlight w:val="none"/>
              </w:rPr>
            </w:pPr>
            <w:r>
              <w:rPr>
                <w:rFonts w:hint="eastAsia" w:ascii="宋体" w:hAnsi="宋体" w:cs="宋体"/>
                <w:b/>
                <w:color w:val="auto"/>
                <w:kern w:val="10"/>
                <w:sz w:val="22"/>
                <w:szCs w:val="22"/>
                <w:highlight w:val="none"/>
              </w:rPr>
              <w:t>潜在供应商需在</w:t>
            </w:r>
            <w:r>
              <w:rPr>
                <w:rFonts w:hint="eastAsia" w:ascii="宋体" w:hAnsi="宋体" w:cs="宋体"/>
                <w:b/>
                <w:color w:val="auto"/>
                <w:kern w:val="10"/>
                <w:sz w:val="22"/>
                <w:szCs w:val="22"/>
                <w:highlight w:val="none"/>
                <w:lang w:val="en-US" w:eastAsia="zh-CN"/>
              </w:rPr>
              <w:t>乐采云www.lecaiyun.com</w:t>
            </w:r>
            <w:r>
              <w:rPr>
                <w:rFonts w:hint="eastAsia" w:ascii="宋体" w:hAnsi="宋体" w:cs="宋体"/>
                <w:b/>
                <w:color w:val="auto"/>
                <w:kern w:val="10"/>
                <w:sz w:val="22"/>
                <w:szCs w:val="22"/>
                <w:highlight w:val="none"/>
              </w:rPr>
              <w:t>进行免费注册，具体详见</w:t>
            </w:r>
            <w:r>
              <w:rPr>
                <w:rFonts w:hint="eastAsia" w:ascii="宋体" w:hAnsi="宋体" w:cs="宋体"/>
                <w:b/>
                <w:color w:val="auto"/>
                <w:kern w:val="10"/>
                <w:sz w:val="22"/>
                <w:szCs w:val="22"/>
                <w:highlight w:val="none"/>
                <w:lang w:val="en-US" w:eastAsia="zh-CN"/>
              </w:rPr>
              <w:t>乐采云</w:t>
            </w:r>
            <w:r>
              <w:rPr>
                <w:rFonts w:hint="eastAsia" w:ascii="宋体" w:hAnsi="宋体" w:cs="宋体"/>
                <w:b/>
                <w:color w:val="auto"/>
                <w:kern w:val="10"/>
                <w:sz w:val="22"/>
                <w:szCs w:val="22"/>
                <w:highlight w:val="none"/>
              </w:rPr>
              <w:t>供应商注册要求。</w:t>
            </w:r>
          </w:p>
        </w:tc>
      </w:tr>
      <w:tr w14:paraId="7DF72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75FE68B">
            <w:pPr>
              <w:widowControl/>
              <w:snapToGrid w:val="0"/>
              <w:spacing w:line="46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16</w:t>
            </w:r>
          </w:p>
        </w:tc>
        <w:tc>
          <w:tcPr>
            <w:tcW w:w="9590" w:type="dxa"/>
            <w:tcBorders>
              <w:top w:val="single" w:color="000000" w:sz="2" w:space="0"/>
              <w:left w:val="single" w:color="000000" w:sz="2" w:space="0"/>
              <w:bottom w:val="single" w:color="000000" w:sz="2" w:space="0"/>
              <w:right w:val="single" w:color="000000" w:sz="8" w:space="0"/>
            </w:tcBorders>
            <w:vAlign w:val="center"/>
          </w:tcPr>
          <w:p w14:paraId="7096AC6B">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1、本项目对符合财政扶持政策的中小企业（小型、微型）、监狱企业、残疾人福利性单位给予价格优惠扶持，价格优惠扶持见：</w:t>
            </w:r>
          </w:p>
          <w:p w14:paraId="528798F5">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满足转发财政部工业和信息化部关于印发《政府采购促进中小企业发展管理办法》的通知（财库﹝2020﹞46号）的规定的中小企业可享受优惠扶持。</w:t>
            </w:r>
          </w:p>
          <w:p w14:paraId="6E9B83BC">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满足关于政府采购支持监狱企业发展有关问题的通知（财库[2014]68号）的规定的供应商可享受优惠扶持。</w:t>
            </w:r>
          </w:p>
          <w:p w14:paraId="2400969A">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满足关于促进残疾人就业政府采购政策的通知（财库[2017]141号）的规定的供应商可享受优惠扶持。</w:t>
            </w:r>
          </w:p>
          <w:p w14:paraId="26E9DCAF">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2、节能产品、环境标志产品的强制采购政策</w:t>
            </w:r>
          </w:p>
          <w:p w14:paraId="5CD0006C">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4AC67BC3">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3、节能产品、环境标志产品的优先采购政策</w:t>
            </w:r>
          </w:p>
          <w:p w14:paraId="4EBF49A1">
            <w:pPr>
              <w:widowControl/>
              <w:snapToGrid w:val="0"/>
              <w:spacing w:line="460" w:lineRule="exact"/>
              <w:ind w:firstLine="440" w:firstLineChars="200"/>
              <w:jc w:val="lef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13BEB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B72C430">
            <w:pPr>
              <w:widowControl/>
              <w:snapToGrid w:val="0"/>
              <w:spacing w:line="46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2E9ACA6B">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sz w:val="22"/>
                <w:szCs w:val="22"/>
                <w:highlight w:val="none"/>
              </w:rPr>
              <w:t>根据《关于在政府采购活动中查询及使用信用记录有关问题的通知》财库[2016]125号的规定：</w:t>
            </w:r>
          </w:p>
          <w:p w14:paraId="4E3A6A17">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1）招标人或采购代理机构将对本项目供应商的信用记录进行查询。查询渠道为信用中国网站（www.creditchina.gov.cn）、中国政府采购网（www.ccgp.gov.cn）；</w:t>
            </w:r>
          </w:p>
          <w:p w14:paraId="0C4B4481">
            <w:pPr>
              <w:snapToGrid w:val="0"/>
              <w:spacing w:line="460" w:lineRule="exact"/>
              <w:ind w:firstLine="110" w:firstLine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2）截止时点：</w:t>
            </w:r>
            <w:r>
              <w:rPr>
                <w:rFonts w:hint="eastAsia" w:ascii="宋体" w:hAnsi="宋体" w:cs="宋体"/>
                <w:color w:val="auto"/>
                <w:sz w:val="22"/>
                <w:highlight w:val="none"/>
              </w:rPr>
              <w:t>招标公告发布之日至投标截止时间前</w:t>
            </w:r>
            <w:r>
              <w:rPr>
                <w:rFonts w:hint="eastAsia" w:ascii="宋体" w:hAnsi="宋体" w:cs="宋体"/>
                <w:color w:val="auto"/>
                <w:sz w:val="22"/>
                <w:szCs w:val="22"/>
                <w:highlight w:val="none"/>
              </w:rPr>
              <w:t>；</w:t>
            </w:r>
          </w:p>
          <w:p w14:paraId="01A49D22">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3）查询记录和证据的留存：信用信息查询记录和证据以网页截图等方式留存。</w:t>
            </w:r>
          </w:p>
          <w:p w14:paraId="21424C90">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71C059DD">
            <w:pPr>
              <w:snapToGrid w:val="0"/>
              <w:spacing w:line="460" w:lineRule="exac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5）联合体成员任意一方存在不良信用记录的，视同联合体存在不良信用记录。</w:t>
            </w:r>
          </w:p>
        </w:tc>
      </w:tr>
      <w:tr w14:paraId="50FC4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E9DA45F">
            <w:pPr>
              <w:widowControl/>
              <w:snapToGrid w:val="0"/>
              <w:spacing w:line="460" w:lineRule="exact"/>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18</w:t>
            </w:r>
          </w:p>
        </w:tc>
        <w:tc>
          <w:tcPr>
            <w:tcW w:w="9590" w:type="dxa"/>
            <w:tcBorders>
              <w:top w:val="single" w:color="000000" w:sz="2" w:space="0"/>
              <w:left w:val="single" w:color="000000" w:sz="2" w:space="0"/>
              <w:bottom w:val="single" w:color="000000" w:sz="2" w:space="0"/>
              <w:right w:val="single" w:color="000000" w:sz="8" w:space="0"/>
            </w:tcBorders>
            <w:vAlign w:val="center"/>
          </w:tcPr>
          <w:p w14:paraId="4BB0DCDC">
            <w:pPr>
              <w:snapToGrid w:val="0"/>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highlight w:val="none"/>
                <w:lang w:bidi="ar"/>
              </w:rPr>
              <w:t>对本国产品的支持政策</w:t>
            </w:r>
            <w:r>
              <w:rPr>
                <w:rFonts w:hint="eastAsia" w:ascii="宋体" w:hAnsi="宋体" w:eastAsia="宋体" w:cs="宋体"/>
                <w:color w:val="auto"/>
                <w:sz w:val="21"/>
                <w:szCs w:val="21"/>
                <w:highlight w:val="none"/>
                <w:lang w:eastAsia="zh-CN" w:bidi="ar"/>
              </w:rPr>
              <w:t>：</w:t>
            </w:r>
          </w:p>
          <w:p w14:paraId="545C475C">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1、本国产品标准的适用范围：</w:t>
            </w:r>
          </w:p>
          <w:p w14:paraId="6D018EDF">
            <w:pPr>
              <w:snapToGrid w:val="0"/>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本国产品标准适用于货物，包括政府采购货物项目和服务项目中涉及的货物。</w:t>
            </w:r>
          </w:p>
          <w:p w14:paraId="21190290">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2、本采购项目：</w:t>
            </w:r>
          </w:p>
          <w:p w14:paraId="01FA7032">
            <w:pPr>
              <w:snapToGrid w:val="0"/>
              <w:spacing w:line="460" w:lineRule="exact"/>
              <w:ind w:left="105" w:leftChars="50"/>
              <w:rPr>
                <w:rFonts w:hint="eastAsia" w:ascii="宋体" w:hAnsi="宋体" w:eastAsia="宋体" w:cs="宋体"/>
                <w:color w:val="auto"/>
                <w:sz w:val="22"/>
                <w:szCs w:val="22"/>
                <w:highlight w:val="none"/>
              </w:rPr>
            </w:pPr>
            <w:r>
              <w:rPr>
                <w:rFonts w:hint="eastAsia" w:ascii="仿宋" w:hAnsi="仿宋" w:eastAsia="仿宋" w:cs="仿宋"/>
                <w:color w:val="auto"/>
                <w:kern w:val="0"/>
                <w:sz w:val="24"/>
                <w:highlight w:val="none"/>
                <w:u w:val="none"/>
              </w:rPr>
              <w:sym w:font="Wingdings" w:char="00FE"/>
            </w:r>
            <w:r>
              <w:rPr>
                <w:rFonts w:hint="eastAsia" w:ascii="宋体" w:hAnsi="宋体" w:eastAsia="宋体" w:cs="宋体"/>
                <w:color w:val="auto"/>
                <w:sz w:val="22"/>
                <w:szCs w:val="22"/>
                <w:highlight w:val="none"/>
              </w:rPr>
              <w:t>不适用本国产品标准及相关政策。</w:t>
            </w:r>
          </w:p>
          <w:p w14:paraId="1590E7DA">
            <w:pPr>
              <w:snapToGrid w:val="0"/>
              <w:spacing w:line="460" w:lineRule="exact"/>
              <w:ind w:left="105" w:leftChars="50"/>
              <w:rPr>
                <w:rFonts w:hint="eastAsia" w:ascii="宋体" w:hAnsi="宋体" w:eastAsia="宋体" w:cs="宋体"/>
                <w:color w:val="auto"/>
                <w:sz w:val="22"/>
                <w:szCs w:val="22"/>
                <w:highlight w:val="none"/>
              </w:rPr>
            </w:pPr>
            <w:r>
              <w:rPr>
                <w:rFonts w:hint="eastAsia" w:ascii="仿宋" w:hAnsi="仿宋" w:eastAsia="仿宋" w:cs="仿宋"/>
                <w:color w:val="auto"/>
                <w:kern w:val="0"/>
                <w:sz w:val="24"/>
                <w:highlight w:val="none"/>
                <w:u w:val="none"/>
              </w:rPr>
              <w:sym w:font="Wingdings" w:char="00A8"/>
            </w:r>
            <w:r>
              <w:rPr>
                <w:rFonts w:hint="eastAsia" w:ascii="宋体" w:hAnsi="宋体" w:eastAsia="宋体" w:cs="宋体"/>
                <w:color w:val="auto"/>
                <w:sz w:val="22"/>
                <w:szCs w:val="22"/>
                <w:highlight w:val="none"/>
              </w:rPr>
              <w:t>适用本国产品标准及相关政策。</w:t>
            </w:r>
          </w:p>
          <w:p w14:paraId="7685A5F8">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3、本国产品标准：</w:t>
            </w:r>
          </w:p>
          <w:p w14:paraId="23A38D70">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（1）产品在中国境内生产；</w:t>
            </w:r>
          </w:p>
          <w:p w14:paraId="52577AA1">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（2）产品在中国境内生产的组件成本占比达到规定比例</w:t>
            </w:r>
          </w:p>
          <w:p w14:paraId="793C5C1D">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（3）产品关键组件符合相关要求</w:t>
            </w:r>
          </w:p>
          <w:p w14:paraId="28FD19E2">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（4）产品关键工序符合相关要求</w:t>
            </w:r>
          </w:p>
          <w:p w14:paraId="7AA85BB2">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4、出具符合要求的《关于符合本国产品标准的声明函》（格式见</w:t>
            </w:r>
            <w:r>
              <w:rPr>
                <w:rFonts w:hint="eastAsia" w:ascii="宋体" w:hAnsi="宋体" w:eastAsia="宋体" w:cs="宋体"/>
                <w:color w:val="auto"/>
                <w:sz w:val="22"/>
                <w:szCs w:val="22"/>
                <w:highlight w:val="none"/>
                <w:lang w:val="en-US" w:eastAsia="zh-CN"/>
              </w:rPr>
              <w:t>附件</w:t>
            </w:r>
            <w:r>
              <w:rPr>
                <w:rFonts w:hint="eastAsia" w:ascii="宋体" w:hAnsi="宋体" w:eastAsia="宋体" w:cs="宋体"/>
                <w:color w:val="auto"/>
                <w:sz w:val="22"/>
                <w:szCs w:val="22"/>
                <w:highlight w:val="none"/>
              </w:rPr>
              <w:t>）或财政部会同有关部门规定的有关证明文件的，该产品视为本国产品。</w:t>
            </w:r>
          </w:p>
          <w:p w14:paraId="42CD670D">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5、对本国产品的支持政策：</w:t>
            </w:r>
          </w:p>
          <w:p w14:paraId="265CFA30">
            <w:pPr>
              <w:snapToGrid w:val="0"/>
              <w:spacing w:line="460" w:lineRule="exact"/>
              <w:ind w:left="105" w:leftChars="5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政府采购活动中既有本国产品又有非本国产品参与竞争的，依法对本国产品给予价格评审优惠，对本国产品的报价给予20%的价格扣除，用扣除后的价格参与评审。</w:t>
            </w:r>
          </w:p>
          <w:p w14:paraId="7612539D">
            <w:pPr>
              <w:snapToGrid w:val="0"/>
              <w:spacing w:line="460" w:lineRule="exact"/>
              <w:rPr>
                <w:rFonts w:hint="eastAsia" w:ascii="宋体" w:hAnsi="宋体" w:cs="宋体"/>
                <w:color w:val="auto"/>
                <w:kern w:val="0"/>
                <w:sz w:val="22"/>
                <w:szCs w:val="22"/>
                <w:highlight w:val="none"/>
              </w:rPr>
            </w:pPr>
            <w:r>
              <w:rPr>
                <w:rFonts w:hint="eastAsia" w:ascii="宋体" w:hAnsi="宋体" w:eastAsia="宋体" w:cs="宋体"/>
                <w:color w:val="auto"/>
                <w:sz w:val="22"/>
                <w:szCs w:val="22"/>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bl>
    <w:p w14:paraId="2A66E6FF">
      <w:pPr>
        <w:rPr>
          <w:rFonts w:ascii="宋体" w:hAnsi="宋体" w:cs="宋体"/>
          <w:b/>
          <w:bCs/>
          <w:color w:val="auto"/>
          <w:sz w:val="26"/>
          <w:szCs w:val="26"/>
          <w:highlight w:val="none"/>
        </w:rPr>
      </w:pPr>
      <w:r>
        <w:rPr>
          <w:rFonts w:hint="eastAsia" w:ascii="宋体" w:hAnsi="宋体" w:cs="宋体"/>
          <w:b/>
          <w:bCs/>
          <w:color w:val="auto"/>
          <w:sz w:val="26"/>
          <w:szCs w:val="26"/>
          <w:highlight w:val="none"/>
        </w:rPr>
        <w:br w:type="page"/>
      </w:r>
    </w:p>
    <w:p w14:paraId="73DF578E">
      <w:pPr>
        <w:spacing w:before="100" w:beforeAutospacing="1" w:after="100" w:afterAutospacing="1" w:line="460" w:lineRule="exact"/>
        <w:jc w:val="center"/>
        <w:outlineLvl w:val="1"/>
        <w:rPr>
          <w:rFonts w:ascii="宋体" w:hAnsi="宋体" w:cs="宋体"/>
          <w:b/>
          <w:bCs/>
          <w:color w:val="auto"/>
          <w:sz w:val="32"/>
          <w:szCs w:val="32"/>
          <w:highlight w:val="none"/>
        </w:rPr>
      </w:pPr>
      <w:bookmarkStart w:id="12" w:name="_Toc19070"/>
      <w:bookmarkStart w:id="13" w:name="_Toc20846"/>
      <w:r>
        <w:rPr>
          <w:rFonts w:hint="eastAsia" w:ascii="宋体" w:hAnsi="宋体" w:cs="宋体"/>
          <w:b/>
          <w:bCs/>
          <w:color w:val="auto"/>
          <w:sz w:val="26"/>
          <w:szCs w:val="26"/>
          <w:highlight w:val="none"/>
        </w:rPr>
        <w:t>一、说明</w:t>
      </w:r>
      <w:bookmarkEnd w:id="12"/>
      <w:bookmarkEnd w:id="13"/>
    </w:p>
    <w:p w14:paraId="680DDA7C">
      <w:pPr>
        <w:tabs>
          <w:tab w:val="left" w:pos="360"/>
        </w:tabs>
        <w:spacing w:line="460" w:lineRule="exact"/>
        <w:ind w:firstLine="550" w:firstLineChars="250"/>
        <w:rPr>
          <w:rFonts w:ascii="宋体" w:hAnsi="宋体" w:cs="宋体"/>
          <w:b/>
          <w:color w:val="auto"/>
          <w:sz w:val="22"/>
          <w:szCs w:val="22"/>
          <w:highlight w:val="none"/>
        </w:rPr>
      </w:pPr>
      <w:r>
        <w:rPr>
          <w:rFonts w:hint="eastAsia" w:ascii="宋体" w:hAnsi="宋体" w:cs="宋体"/>
          <w:color w:val="auto"/>
          <w:sz w:val="22"/>
          <w:szCs w:val="22"/>
          <w:highlight w:val="none"/>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1351A6E8">
      <w:pPr>
        <w:tabs>
          <w:tab w:val="left" w:pos="360"/>
        </w:tabs>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14:paraId="25E41381">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招标人：是指依法进行政府采购的国家机关、事业单位、团体组织</w:t>
      </w:r>
    </w:p>
    <w:p w14:paraId="7C51B803">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招标代理机构：受招标人委托，在委托的范围内办理政府采购事宜的机构；</w:t>
      </w:r>
    </w:p>
    <w:p w14:paraId="7D5D103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投标人：是指参加本政府采购项目投标的供应商；</w:t>
      </w:r>
    </w:p>
    <w:p w14:paraId="3FD787C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投标人代表：是指参加本项目投标活动的供应商法定代表人或法定代表人授权代表；</w:t>
      </w:r>
    </w:p>
    <w:p w14:paraId="0BC99D3A">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投标联合体：是指两个以上供应商组成联合体，以一个供应商的身份参加投标；</w:t>
      </w:r>
    </w:p>
    <w:p w14:paraId="5123E0E5">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甲方：是指合同签订的一方，一般与招标人、用户相同；</w:t>
      </w:r>
    </w:p>
    <w:p w14:paraId="592D3FE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乙方：是指合同签订的另一方，与中标人相同；</w:t>
      </w:r>
    </w:p>
    <w:p w14:paraId="6D3B2C8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制造商：是指拥有投标产品自主知识产权的单位；</w:t>
      </w:r>
    </w:p>
    <w:p w14:paraId="6884C5F9">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其不利的评定，一切后果由供应商自行承担。</w:t>
      </w:r>
    </w:p>
    <w:p w14:paraId="66BCF9FF">
      <w:pPr>
        <w:tabs>
          <w:tab w:val="left" w:pos="360"/>
        </w:tabs>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p w14:paraId="638CA62E">
      <w:pPr>
        <w:tabs>
          <w:tab w:val="left" w:pos="360"/>
        </w:tabs>
        <w:spacing w:line="460" w:lineRule="exact"/>
        <w:ind w:firstLine="541" w:firstLineChars="245"/>
        <w:rPr>
          <w:rFonts w:ascii="宋体" w:hAnsi="宋体" w:cs="宋体"/>
          <w:color w:val="auto"/>
          <w:sz w:val="22"/>
          <w:szCs w:val="22"/>
          <w:highlight w:val="none"/>
        </w:rPr>
      </w:pPr>
      <w:r>
        <w:rPr>
          <w:rFonts w:hint="eastAsia" w:ascii="宋体" w:hAnsi="宋体" w:cs="宋体"/>
          <w:b/>
          <w:color w:val="auto"/>
          <w:sz w:val="22"/>
          <w:szCs w:val="22"/>
          <w:highlight w:val="none"/>
        </w:rPr>
        <w:t>3、投标人代表</w:t>
      </w:r>
    </w:p>
    <w:p w14:paraId="3ABBF1F7">
      <w:pPr>
        <w:tabs>
          <w:tab w:val="left" w:pos="360"/>
        </w:tabs>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szCs w:val="22"/>
          <w:highlight w:val="none"/>
        </w:rPr>
        <w:t>3.1</w:t>
      </w:r>
      <w:r>
        <w:rPr>
          <w:rFonts w:hint="eastAsia" w:ascii="宋体" w:hAnsi="宋体" w:cs="宋体"/>
          <w:bCs/>
          <w:color w:val="auto"/>
          <w:sz w:val="22"/>
          <w:highlight w:val="none"/>
        </w:rPr>
        <w:t>指全权代表投标人参加投标活动并签署投标文件的人。如果投标人代表不是法定代表人，须持有《法定代表人授权书》（见附件）</w:t>
      </w:r>
    </w:p>
    <w:p w14:paraId="75233285">
      <w:pPr>
        <w:tabs>
          <w:tab w:val="left" w:pos="360"/>
        </w:tabs>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cs="宋体"/>
          <w:b/>
          <w:color w:val="auto"/>
          <w:sz w:val="22"/>
          <w:szCs w:val="22"/>
          <w:highlight w:val="none"/>
        </w:rPr>
        <w:t>。</w:t>
      </w:r>
    </w:p>
    <w:p w14:paraId="7995CF38">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4、投标费用</w:t>
      </w:r>
    </w:p>
    <w:p w14:paraId="1428EB80">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4.1投</w:t>
      </w:r>
      <w:r>
        <w:rPr>
          <w:rFonts w:hint="eastAsia" w:ascii="宋体" w:hAnsi="宋体" w:cs="宋体"/>
          <w:color w:val="auto"/>
          <w:sz w:val="22"/>
          <w:szCs w:val="22"/>
          <w:highlight w:val="none"/>
        </w:rPr>
        <w:t>标人应承担所有与准备和参加投标有关费用，不论投标的结果如何，招标人或招标代理机构均无义务和责任承担这些费用。</w:t>
      </w:r>
    </w:p>
    <w:p w14:paraId="70219F4E">
      <w:pPr>
        <w:spacing w:before="100" w:beforeAutospacing="1" w:after="100" w:afterAutospacing="1" w:line="460" w:lineRule="exact"/>
        <w:jc w:val="center"/>
        <w:outlineLvl w:val="1"/>
        <w:rPr>
          <w:rFonts w:ascii="宋体" w:hAnsi="宋体" w:cs="宋体"/>
          <w:b/>
          <w:bCs/>
          <w:color w:val="auto"/>
          <w:sz w:val="26"/>
          <w:szCs w:val="26"/>
          <w:highlight w:val="none"/>
        </w:rPr>
      </w:pPr>
      <w:bookmarkStart w:id="14" w:name="_Toc28278"/>
      <w:bookmarkStart w:id="15" w:name="_Toc9899"/>
      <w:r>
        <w:rPr>
          <w:rFonts w:hint="eastAsia" w:ascii="宋体" w:hAnsi="宋体" w:cs="宋体"/>
          <w:b/>
          <w:bCs/>
          <w:color w:val="auto"/>
          <w:sz w:val="26"/>
          <w:szCs w:val="26"/>
          <w:highlight w:val="none"/>
        </w:rPr>
        <w:t>二、招标文件</w:t>
      </w:r>
      <w:bookmarkEnd w:id="14"/>
      <w:bookmarkEnd w:id="15"/>
    </w:p>
    <w:p w14:paraId="6C776A1A">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1、招标文件由招标文件目录所列内容及相关资料组成。</w:t>
      </w:r>
    </w:p>
    <w:p w14:paraId="1D80B68E">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2、招标文件的澄清</w:t>
      </w:r>
    </w:p>
    <w:p w14:paraId="4934AF8E">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1C3E236E">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3、招标文件的修改</w:t>
      </w:r>
    </w:p>
    <w:p w14:paraId="7293C02F">
      <w:pPr>
        <w:spacing w:beforeAutospacing="0" w:afterAutospacing="0" w:line="460" w:lineRule="exact"/>
        <w:ind w:firstLine="539" w:firstLineChars="245"/>
        <w:rPr>
          <w:rFonts w:hint="eastAsia" w:ascii="新宋体" w:hAnsi="新宋体" w:eastAsia="新宋体"/>
          <w:color w:val="auto"/>
          <w:sz w:val="22"/>
          <w:highlight w:val="none"/>
        </w:rPr>
      </w:pPr>
      <w:r>
        <w:rPr>
          <w:rFonts w:hint="eastAsia" w:ascii="新宋体" w:hAnsi="新宋体" w:eastAsia="新宋体"/>
          <w:color w:val="auto"/>
          <w:sz w:val="22"/>
          <w:highlight w:val="none"/>
        </w:rPr>
        <w:t>3.1招标人或采购代理机构对已发出的招标文件进行必要的澄清或者修改的，在指定的采购信息发布媒体上发布更正公告。该澄清或修改内容为招标文件的组成部分。</w:t>
      </w:r>
    </w:p>
    <w:p w14:paraId="0E63BC32">
      <w:pPr>
        <w:spacing w:beforeAutospacing="0" w:afterAutospacing="0" w:line="460" w:lineRule="exact"/>
        <w:ind w:firstLine="539" w:firstLineChars="245"/>
        <w:rPr>
          <w:rFonts w:hint="eastAsia" w:ascii="新宋体" w:hAnsi="新宋体" w:eastAsia="新宋体"/>
          <w:color w:val="auto"/>
          <w:sz w:val="22"/>
          <w:highlight w:val="none"/>
        </w:rPr>
      </w:pPr>
      <w:r>
        <w:rPr>
          <w:rFonts w:hint="eastAsia" w:ascii="新宋体" w:hAnsi="新宋体" w:eastAsia="新宋体"/>
          <w:color w:val="auto"/>
          <w:sz w:val="22"/>
          <w:highlight w:val="none"/>
        </w:rPr>
        <w:t>3.2招标人、采购代理机构可以视采购的具体情况决定是否延长投标截止时间和开标时间，并在招标文件要求递交投标文件的截止时间前，将变更时间书面通知所有招标文件收受人，同时在指定的采购信息发布媒体上发布变更公告。</w:t>
      </w:r>
    </w:p>
    <w:p w14:paraId="017D2E59">
      <w:pPr>
        <w:spacing w:line="460" w:lineRule="exact"/>
        <w:ind w:firstLine="539" w:firstLineChars="245"/>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注：</w:t>
      </w:r>
      <w:r>
        <w:rPr>
          <w:rFonts w:hint="eastAsia" w:ascii="宋体" w:hAnsi="宋体" w:eastAsia="宋体" w:cs="宋体"/>
          <w:color w:val="auto"/>
          <w:sz w:val="22"/>
          <w:highlight w:val="none"/>
        </w:rPr>
        <w:t>潜在投标人应自行关注网站公告，</w:t>
      </w:r>
      <w:r>
        <w:rPr>
          <w:rFonts w:hint="eastAsia" w:ascii="宋体" w:hAnsi="宋体" w:cs="宋体"/>
          <w:color w:val="auto"/>
          <w:sz w:val="22"/>
          <w:highlight w:val="none"/>
        </w:rPr>
        <w:t>招标人、招标代理机构</w:t>
      </w:r>
      <w:r>
        <w:rPr>
          <w:rFonts w:hint="eastAsia" w:ascii="宋体" w:hAnsi="宋体" w:eastAsia="宋体" w:cs="宋体"/>
          <w:color w:val="auto"/>
          <w:sz w:val="22"/>
          <w:highlight w:val="none"/>
        </w:rPr>
        <w:t>不再一一通知。投标人因自身贻误行为导致投标失败的，责任自负。</w:t>
      </w:r>
    </w:p>
    <w:p w14:paraId="71675330">
      <w:pPr>
        <w:spacing w:line="460" w:lineRule="exact"/>
        <w:ind w:firstLine="541" w:firstLineChars="245"/>
        <w:rPr>
          <w:rFonts w:ascii="宋体" w:hAnsi="宋体" w:cs="宋体"/>
          <w:b/>
          <w:color w:val="auto"/>
          <w:sz w:val="22"/>
          <w:szCs w:val="22"/>
          <w:highlight w:val="none"/>
        </w:rPr>
      </w:pPr>
    </w:p>
    <w:p w14:paraId="763C0C9A">
      <w:pPr>
        <w:spacing w:before="100" w:beforeAutospacing="1" w:after="100" w:afterAutospacing="1" w:line="460" w:lineRule="exact"/>
        <w:jc w:val="center"/>
        <w:outlineLvl w:val="1"/>
        <w:rPr>
          <w:rFonts w:ascii="宋体" w:hAnsi="宋体" w:cs="宋体"/>
          <w:b/>
          <w:bCs/>
          <w:color w:val="auto"/>
          <w:sz w:val="26"/>
          <w:szCs w:val="26"/>
          <w:highlight w:val="none"/>
        </w:rPr>
      </w:pPr>
      <w:bookmarkStart w:id="16" w:name="_Toc12726"/>
      <w:bookmarkStart w:id="17" w:name="_Toc22646"/>
      <w:r>
        <w:rPr>
          <w:rFonts w:hint="eastAsia" w:ascii="宋体" w:hAnsi="宋体" w:cs="宋体"/>
          <w:b/>
          <w:bCs/>
          <w:color w:val="auto"/>
          <w:sz w:val="26"/>
          <w:szCs w:val="26"/>
          <w:highlight w:val="none"/>
        </w:rPr>
        <w:t>三、投标文件的编制</w:t>
      </w:r>
      <w:bookmarkEnd w:id="16"/>
      <w:bookmarkEnd w:id="17"/>
    </w:p>
    <w:p w14:paraId="575ED490">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6896816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highlight w:val="none"/>
        </w:rPr>
        <w:t>2、投标人应保证所提供文件资料的真实性，所有文件资料必须是针对本次投标的。如发现投标人提供了虚假文件资料，其投标将被否决，并自行承担相应的法律责任。</w:t>
      </w:r>
    </w:p>
    <w:p w14:paraId="6FAE1236">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bCs/>
          <w:color w:val="auto"/>
          <w:sz w:val="22"/>
          <w:szCs w:val="22"/>
          <w:highlight w:val="none"/>
        </w:rPr>
        <w:t>投标文件的构成：</w:t>
      </w:r>
    </w:p>
    <w:p w14:paraId="5E4764C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rPr>
        <w:t>投标</w:t>
      </w:r>
      <w:r>
        <w:rPr>
          <w:rFonts w:hint="eastAsia" w:ascii="宋体" w:hAnsi="宋体" w:cs="宋体"/>
          <w:color w:val="auto"/>
          <w:kern w:val="0"/>
          <w:sz w:val="22"/>
          <w:szCs w:val="22"/>
          <w:highlight w:val="none"/>
          <w:lang w:val="zh-CN"/>
        </w:rPr>
        <w:t>文件应当包括以下主要内容：资格文件、报价文件、商务技术文件。</w:t>
      </w:r>
    </w:p>
    <w:p w14:paraId="65DAE6C7">
      <w:pPr>
        <w:spacing w:line="460" w:lineRule="exact"/>
        <w:ind w:firstLine="541" w:firstLineChars="245"/>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3.1</w:t>
      </w:r>
      <w:r>
        <w:rPr>
          <w:rFonts w:hint="eastAsia" w:ascii="宋体" w:hAnsi="宋体" w:cs="宋体"/>
          <w:b/>
          <w:bCs/>
          <w:color w:val="auto"/>
          <w:kern w:val="0"/>
          <w:sz w:val="22"/>
          <w:szCs w:val="22"/>
          <w:highlight w:val="none"/>
          <w:lang w:val="zh-CN"/>
        </w:rPr>
        <w:t>投标人的资格文件至少应包括以下内容：</w:t>
      </w:r>
    </w:p>
    <w:p w14:paraId="63B93109">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基本资格条件审查材料：</w:t>
      </w:r>
      <w:r>
        <w:rPr>
          <w:rFonts w:hint="eastAsia" w:ascii="宋体" w:hAnsi="宋体" w:cs="宋体"/>
          <w:color w:val="auto"/>
          <w:kern w:val="0"/>
          <w:sz w:val="22"/>
          <w:szCs w:val="22"/>
          <w:highlight w:val="none"/>
        </w:rPr>
        <w:t>即证明供应商</w:t>
      </w:r>
      <w:r>
        <w:rPr>
          <w:rFonts w:hint="eastAsia" w:ascii="宋体" w:hAnsi="宋体" w:cs="宋体"/>
          <w:color w:val="auto"/>
          <w:kern w:val="0"/>
          <w:sz w:val="22"/>
          <w:szCs w:val="22"/>
          <w:highlight w:val="none"/>
          <w:lang w:val="zh-CN"/>
        </w:rPr>
        <w:t>参加本次政府采购活动前3年内</w:t>
      </w:r>
      <w:r>
        <w:rPr>
          <w:rFonts w:hint="eastAsia"/>
          <w:color w:val="auto"/>
          <w:sz w:val="22"/>
          <w:szCs w:val="22"/>
          <w:highlight w:val="none"/>
        </w:rPr>
        <w:t>满足《中华人民共和国政府采购法》</w:t>
      </w:r>
      <w:r>
        <w:rPr>
          <w:rFonts w:hint="eastAsia" w:ascii="宋体" w:hAnsi="宋体" w:cs="宋体"/>
          <w:color w:val="auto"/>
          <w:kern w:val="0"/>
          <w:sz w:val="22"/>
          <w:szCs w:val="22"/>
          <w:highlight w:val="none"/>
          <w:lang w:val="zh-CN"/>
        </w:rPr>
        <w:t>的有关资格证明文件。</w:t>
      </w:r>
      <w:r>
        <w:rPr>
          <w:rFonts w:hint="eastAsia" w:ascii="宋体" w:hAnsi="宋体" w:cs="宋体"/>
          <w:color w:val="auto"/>
          <w:kern w:val="0"/>
          <w:sz w:val="22"/>
          <w:szCs w:val="22"/>
          <w:highlight w:val="none"/>
        </w:rPr>
        <w:t>包括：</w:t>
      </w:r>
    </w:p>
    <w:p w14:paraId="030B590B">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（1）资格条件承诺函；</w:t>
      </w:r>
    </w:p>
    <w:p w14:paraId="5DCDD573">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（2）营业执照(或事业法人登记证书或其它工商等登记证明材料；自然人参与政府采购，提供身份证)复印件；</w:t>
      </w:r>
    </w:p>
    <w:p w14:paraId="60F8626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986EED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（3）投标人信用查询；</w:t>
      </w:r>
    </w:p>
    <w:p w14:paraId="59BBD1A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（4）采购活动现场确认声明书；</w:t>
      </w:r>
    </w:p>
    <w:p w14:paraId="514FE4CE">
      <w:pPr>
        <w:snapToGrid w:val="0"/>
        <w:spacing w:line="46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上述资格条件审查材料有一项不提供的，视为资格审查不通过。</w:t>
      </w:r>
    </w:p>
    <w:p w14:paraId="2CC8CEC6">
      <w:pPr>
        <w:snapToGrid w:val="0"/>
        <w:spacing w:line="460" w:lineRule="exact"/>
        <w:ind w:left="105" w:leftChars="50" w:firstLine="442" w:firstLineChars="200"/>
        <w:rPr>
          <w:rFonts w:ascii="宋体" w:hAnsi="宋体" w:cs="宋体"/>
          <w:color w:val="auto"/>
          <w:sz w:val="22"/>
          <w:szCs w:val="22"/>
          <w:highlight w:val="none"/>
          <w:u w:val="single"/>
          <w:lang w:val="zh-CN"/>
        </w:rPr>
      </w:pPr>
      <w:r>
        <w:rPr>
          <w:rFonts w:hint="eastAsia" w:ascii="宋体" w:hAnsi="宋体" w:cs="宋体"/>
          <w:b/>
          <w:bCs/>
          <w:color w:val="auto"/>
          <w:sz w:val="22"/>
          <w:szCs w:val="22"/>
          <w:highlight w:val="none"/>
        </w:rPr>
        <w:t>3.2投标人的报价文件至少应包括以下内容：</w:t>
      </w:r>
    </w:p>
    <w:p w14:paraId="39E299C8">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（1）投标函；</w:t>
      </w:r>
    </w:p>
    <w:p w14:paraId="41E04A20">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（2）投标报价一览表；</w:t>
      </w:r>
    </w:p>
    <w:p w14:paraId="5D013F30">
      <w:pPr>
        <w:snapToGrid w:val="0"/>
        <w:spacing w:line="460" w:lineRule="exact"/>
        <w:ind w:left="105" w:leftChars="5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（3）投标分项报价表</w:t>
      </w:r>
      <w:r>
        <w:rPr>
          <w:rFonts w:hint="eastAsia" w:ascii="宋体" w:hAnsi="宋体" w:cs="宋体"/>
          <w:color w:val="auto"/>
          <w:sz w:val="22"/>
          <w:szCs w:val="22"/>
          <w:highlight w:val="none"/>
          <w:lang w:val="en-US" w:eastAsia="zh-CN"/>
        </w:rPr>
        <w:t>；</w:t>
      </w:r>
    </w:p>
    <w:p w14:paraId="3980529A">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（4）中小企业声明函、监狱企业、残疾人福利性单位及其他相关的充分的证明材料。（如有）</w:t>
      </w:r>
    </w:p>
    <w:p w14:paraId="50948B95">
      <w:pPr>
        <w:snapToGrid w:val="0"/>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3.3</w:t>
      </w:r>
      <w:r>
        <w:rPr>
          <w:rFonts w:hint="eastAsia" w:ascii="宋体" w:hAnsi="宋体" w:cs="宋体"/>
          <w:b/>
          <w:bCs/>
          <w:color w:val="auto"/>
          <w:kern w:val="0"/>
          <w:sz w:val="22"/>
          <w:szCs w:val="22"/>
          <w:highlight w:val="none"/>
          <w:lang w:val="zh-CN"/>
        </w:rPr>
        <w:t>投标人的商务技术文件应包括以下内容：</w:t>
      </w:r>
    </w:p>
    <w:p w14:paraId="202642B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（1）法定代表人授权委托书（需提供法定代表人及授权委托人的身份证复印件加盖公章）；</w:t>
      </w:r>
    </w:p>
    <w:p w14:paraId="4A5D9650">
      <w:pPr>
        <w:snapToGrid w:val="0"/>
        <w:spacing w:line="46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（2）投标人情况表</w:t>
      </w:r>
    </w:p>
    <w:p w14:paraId="52FD778A">
      <w:pPr>
        <w:snapToGrid w:val="0"/>
        <w:spacing w:line="46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（3）偏离表（商务、技术偏离）</w:t>
      </w:r>
    </w:p>
    <w:p w14:paraId="4BB6E637">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val="zh-CN"/>
        </w:rPr>
        <w:t>）投标人综合情况</w:t>
      </w:r>
    </w:p>
    <w:p w14:paraId="713B5313">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val="zh-CN"/>
        </w:rPr>
        <w:t>）技术指标响应</w:t>
      </w:r>
    </w:p>
    <w:p w14:paraId="49D97F51">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val="zh-CN"/>
        </w:rPr>
        <w:t>）总体建设方案</w:t>
      </w:r>
    </w:p>
    <w:p w14:paraId="3343AC18">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val="zh-CN"/>
        </w:rPr>
        <w:t>）实施部署方案</w:t>
      </w:r>
    </w:p>
    <w:p w14:paraId="5D8C21A2">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val="zh-CN"/>
        </w:rPr>
        <w:t>）项目团队</w:t>
      </w:r>
    </w:p>
    <w:p w14:paraId="390C91C5">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val="zh-CN"/>
        </w:rPr>
        <w:t>）与院内PACS/RIS系统对接</w:t>
      </w:r>
    </w:p>
    <w:p w14:paraId="2997AD07">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lang w:val="zh-CN"/>
        </w:rPr>
        <w:t>）培训及售后服务</w:t>
      </w:r>
    </w:p>
    <w:p w14:paraId="3603B04B">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lang w:val="zh-CN"/>
        </w:rPr>
        <w:t>）信息技术应用创新能力</w:t>
      </w:r>
    </w:p>
    <w:p w14:paraId="0D6A27BB">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lang w:val="zh-CN"/>
        </w:rPr>
        <w:t>）业绩情况</w:t>
      </w:r>
    </w:p>
    <w:p w14:paraId="377F7A15">
      <w:pPr>
        <w:snapToGrid w:val="0"/>
        <w:spacing w:line="46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）其他必要提供的资料。</w:t>
      </w:r>
    </w:p>
    <w:p w14:paraId="1455F431">
      <w:pPr>
        <w:spacing w:line="460" w:lineRule="exact"/>
        <w:ind w:firstLine="440"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投标文件中所需的各种证书、证件、证明资料如是复印件，须在复印件上加盖有效公章。</w:t>
      </w:r>
    </w:p>
    <w:p w14:paraId="1F6F4E07">
      <w:pPr>
        <w:pStyle w:val="31"/>
        <w:snapToGrid w:val="0"/>
        <w:spacing w:line="460" w:lineRule="exact"/>
        <w:ind w:firstLine="440" w:firstLineChars="200"/>
        <w:rPr>
          <w:rFonts w:hAnsi="宋体" w:cs="宋体"/>
          <w:b w:val="0"/>
          <w:bCs/>
          <w:color w:val="auto"/>
          <w:sz w:val="22"/>
          <w:szCs w:val="22"/>
          <w:highlight w:val="none"/>
        </w:rPr>
      </w:pPr>
      <w:r>
        <w:rPr>
          <w:rFonts w:hint="eastAsia" w:hAnsi="宋体" w:cs="宋体"/>
          <w:b w:val="0"/>
          <w:bCs/>
          <w:color w:val="auto"/>
          <w:sz w:val="22"/>
          <w:szCs w:val="22"/>
          <w:highlight w:val="none"/>
          <w:lang w:val="zh-CN"/>
        </w:rPr>
        <w:t>投标人的</w:t>
      </w:r>
      <w:r>
        <w:rPr>
          <w:rFonts w:hint="eastAsia" w:hAnsi="宋体" w:cs="宋体"/>
          <w:b w:val="0"/>
          <w:bCs/>
          <w:color w:val="auto"/>
          <w:sz w:val="22"/>
          <w:szCs w:val="22"/>
          <w:highlight w:val="none"/>
        </w:rPr>
        <w:t>投标文件必须按照招标文件要求制作。</w:t>
      </w:r>
    </w:p>
    <w:p w14:paraId="789436C2">
      <w:pPr>
        <w:pStyle w:val="31"/>
        <w:snapToGrid w:val="0"/>
        <w:spacing w:line="460" w:lineRule="exact"/>
        <w:ind w:firstLine="440" w:firstLineChars="200"/>
        <w:rPr>
          <w:rFonts w:hAnsi="宋体" w:cs="宋体"/>
          <w:bCs/>
          <w:color w:val="auto"/>
          <w:sz w:val="22"/>
          <w:szCs w:val="22"/>
          <w:highlight w:val="none"/>
        </w:rPr>
      </w:pPr>
      <w:r>
        <w:rPr>
          <w:rFonts w:hint="eastAsia" w:hAnsi="宋体" w:cs="宋体"/>
          <w:b w:val="0"/>
          <w:bCs/>
          <w:color w:val="auto"/>
          <w:sz w:val="22"/>
          <w:szCs w:val="22"/>
          <w:highlight w:val="none"/>
        </w:rPr>
        <w:t>投标人可在招标文件中对招标货物的技术规格和要求选用替代标准，但这些替代标准必须相当于或优于招标文件中提出的相应要求，并使招标人满意，同时在技术偏离表中作出详细说明。</w:t>
      </w:r>
    </w:p>
    <w:p w14:paraId="5F6108D0">
      <w:pPr>
        <w:spacing w:line="460" w:lineRule="exact"/>
        <w:ind w:firstLine="541" w:firstLineChars="245"/>
        <w:rPr>
          <w:rFonts w:ascii="宋体" w:hAnsi="宋体" w:cs="宋体"/>
          <w:b/>
          <w:color w:val="auto"/>
          <w:sz w:val="22"/>
          <w:szCs w:val="22"/>
          <w:highlight w:val="none"/>
        </w:rPr>
      </w:pPr>
      <w:r>
        <w:rPr>
          <w:rFonts w:hint="eastAsia" w:ascii="宋体" w:hAnsi="宋体" w:cs="宋体"/>
          <w:b/>
          <w:bCs/>
          <w:color w:val="auto"/>
          <w:sz w:val="22"/>
          <w:szCs w:val="22"/>
          <w:highlight w:val="none"/>
        </w:rPr>
        <w:t>4、投标报价</w:t>
      </w:r>
    </w:p>
    <w:p w14:paraId="61E2BDEF">
      <w:pPr>
        <w:spacing w:line="460" w:lineRule="exact"/>
        <w:ind w:firstLine="539" w:firstLineChars="245"/>
        <w:rPr>
          <w:rFonts w:ascii="宋体" w:hAnsi="宋体" w:cs="宋体"/>
          <w:bCs/>
          <w:color w:val="auto"/>
          <w:sz w:val="22"/>
          <w:szCs w:val="22"/>
          <w:highlight w:val="none"/>
        </w:rPr>
      </w:pPr>
      <w:r>
        <w:rPr>
          <w:rFonts w:hint="eastAsia" w:ascii="宋体" w:hAnsi="宋体" w:eastAsia="宋体" w:cs="宋体"/>
          <w:b w:val="0"/>
          <w:bCs/>
          <w:color w:val="auto"/>
          <w:sz w:val="22"/>
          <w:highlight w:val="none"/>
        </w:rPr>
        <w:t>4.1</w:t>
      </w:r>
      <w:r>
        <w:rPr>
          <w:rFonts w:hint="eastAsia" w:ascii="宋体" w:hAnsi="宋体" w:cs="宋体"/>
          <w:bCs/>
          <w:color w:val="auto"/>
          <w:sz w:val="22"/>
          <w:highlight w:val="none"/>
        </w:rPr>
        <w:t>投标报价以人民币为结算货币，承包报价必须包括完成本项目所提供相关服务所需的一切人员工资、奖金、各种加班费、高温补贴费、各种社会保险、食宿与交通、设备及工具、器材、消耗材料、管理费用、税费、利润、完成合同所需的一切本身和不可或缺的所有工作开支、政策性文件规定及合同包含的所有风险、责任等各项全部费用并承担一切风险责任。在合同服务期间内不得违反国家相关政策规定。</w:t>
      </w:r>
    </w:p>
    <w:p w14:paraId="456F0C8F">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4.2投标人必须按附件中的投标报价一览表、投标分项报价表内容填写价格，并由投标人代表签署。</w:t>
      </w:r>
    </w:p>
    <w:p w14:paraId="0EEAA73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4.3</w:t>
      </w:r>
      <w:r>
        <w:rPr>
          <w:rFonts w:hint="eastAsia" w:ascii="宋体" w:hAnsi="宋体" w:cs="宋体"/>
          <w:color w:val="auto"/>
          <w:sz w:val="22"/>
          <w:highlight w:val="none"/>
        </w:rPr>
        <w:t>投标货币以人民币进行投标</w:t>
      </w:r>
      <w:r>
        <w:rPr>
          <w:rFonts w:hint="eastAsia" w:ascii="宋体" w:hAnsi="宋体" w:cs="宋体"/>
          <w:color w:val="auto"/>
          <w:sz w:val="22"/>
          <w:szCs w:val="22"/>
          <w:highlight w:val="none"/>
        </w:rPr>
        <w:t>。</w:t>
      </w:r>
    </w:p>
    <w:p w14:paraId="26D64EA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4.4</w:t>
      </w:r>
      <w:r>
        <w:rPr>
          <w:rFonts w:hint="eastAsia" w:ascii="宋体" w:hAnsi="宋体" w:cs="宋体"/>
          <w:color w:val="auto"/>
          <w:sz w:val="22"/>
          <w:highlight w:val="none"/>
        </w:rPr>
        <w:t>招标人和招标代理机构不接受任何选择投标，对任何服务只允许一个价格。</w:t>
      </w:r>
    </w:p>
    <w:p w14:paraId="1B07EAE6">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4.5招标人和</w:t>
      </w:r>
      <w:r>
        <w:rPr>
          <w:rFonts w:hint="eastAsia" w:ascii="宋体" w:hAnsi="宋体" w:cs="宋体"/>
          <w:color w:val="auto"/>
          <w:sz w:val="22"/>
          <w:highlight w:val="none"/>
        </w:rPr>
        <w:t>招标代理机构</w:t>
      </w:r>
      <w:r>
        <w:rPr>
          <w:rFonts w:hint="eastAsia" w:ascii="宋体" w:hAnsi="宋体" w:cs="宋体"/>
          <w:color w:val="auto"/>
          <w:sz w:val="22"/>
          <w:szCs w:val="22"/>
          <w:highlight w:val="none"/>
        </w:rPr>
        <w:t>要求分类报价是为了方便评标，但在任何情况下不限制招标人以其认为最合适的条款、条件签订合同的权利。</w:t>
      </w:r>
    </w:p>
    <w:p w14:paraId="6080BE6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4.6投标报价报出后，投标人不得以任何理由予以变更。任何包含价格调整的要求，将被认为是非实质性响应投标而予以否决。</w:t>
      </w:r>
    </w:p>
    <w:p w14:paraId="79576239">
      <w:pPr>
        <w:spacing w:line="460" w:lineRule="exact"/>
        <w:ind w:firstLine="539" w:firstLineChars="245"/>
        <w:rPr>
          <w:rFonts w:ascii="宋体" w:hAnsi="宋体" w:cs="宋体"/>
          <w:b/>
          <w:color w:val="auto"/>
          <w:sz w:val="22"/>
          <w:szCs w:val="22"/>
          <w:highlight w:val="none"/>
        </w:rPr>
      </w:pPr>
      <w:r>
        <w:rPr>
          <w:rFonts w:hint="eastAsia" w:ascii="宋体" w:hAnsi="宋体" w:cs="宋体"/>
          <w:bCs/>
          <w:color w:val="auto"/>
          <w:sz w:val="22"/>
          <w:szCs w:val="22"/>
          <w:highlight w:val="none"/>
        </w:rPr>
        <w:t>4.7最低报价不能作为中标的保证。</w:t>
      </w:r>
    </w:p>
    <w:p w14:paraId="00A50522">
      <w:pPr>
        <w:spacing w:line="460" w:lineRule="exact"/>
        <w:ind w:firstLine="541" w:firstLineChars="245"/>
        <w:rPr>
          <w:rFonts w:ascii="宋体" w:hAnsi="宋体" w:cs="宋体"/>
          <w:b/>
          <w:color w:val="auto"/>
          <w:sz w:val="22"/>
          <w:szCs w:val="22"/>
          <w:highlight w:val="none"/>
        </w:rPr>
      </w:pPr>
      <w:r>
        <w:rPr>
          <w:rFonts w:hint="eastAsia" w:ascii="宋体" w:hAnsi="宋体" w:cs="宋体"/>
          <w:b/>
          <w:bCs/>
          <w:color w:val="auto"/>
          <w:sz w:val="22"/>
          <w:szCs w:val="22"/>
          <w:highlight w:val="none"/>
        </w:rPr>
        <w:t>5、投标有效期</w:t>
      </w:r>
    </w:p>
    <w:p w14:paraId="3480666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5.1自开标之日起 120 天内投标应保持有效。</w:t>
      </w:r>
    </w:p>
    <w:p w14:paraId="3229242C">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59594A84">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6、投标保证金</w:t>
      </w:r>
    </w:p>
    <w:p w14:paraId="131A4FBE">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无。</w:t>
      </w:r>
    </w:p>
    <w:p w14:paraId="52DAF133">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7、投标文件编制</w:t>
      </w:r>
    </w:p>
    <w:p w14:paraId="2B7DBD2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7.1本项目通过“</w:t>
      </w:r>
      <w:r>
        <w:rPr>
          <w:rFonts w:hint="eastAsia" w:ascii="宋体" w:hAnsi="宋体" w:cs="宋体"/>
          <w:color w:val="auto"/>
          <w:sz w:val="22"/>
          <w:szCs w:val="22"/>
          <w:highlight w:val="none"/>
          <w:lang w:eastAsia="zh-CN"/>
        </w:rPr>
        <w:t>乐采云平台（www.lecaiyun.com）</w:t>
      </w:r>
      <w:r>
        <w:rPr>
          <w:rFonts w:hint="eastAsia" w:ascii="宋体" w:hAnsi="宋体" w:cs="宋体"/>
          <w:color w:val="auto"/>
          <w:sz w:val="22"/>
          <w:szCs w:val="22"/>
          <w:highlight w:val="none"/>
        </w:rPr>
        <w:t>”实行在线投标响应（电子投标）。供应商应通过“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”的要求编制并加密投标文件。</w:t>
      </w:r>
    </w:p>
    <w:p w14:paraId="3F58104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7.2投标人应当按照本章节“投标文件的构成”规定的内容及顺序在“</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电子交易客户端”编制投标文件。其中《资格文件》和《商务技术文件》中不得出现本项目投标报价。</w:t>
      </w:r>
    </w:p>
    <w:p w14:paraId="197E4A9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7.3本文件《第三部分附件》中有提供格式的，投标人须参照格式进行编制（格式中要求提供相关证明材料的还需后附相关证明材料），并按格式要求在指定位置根据要求进行签章，否则视为未提供；本文件《第三部分附件》未提供格式的，请各投标人自行拟定格式，并加盖单位公章并由法定代表人或其授权代表签署（签字或盖章），否则视为未提供。</w:t>
      </w:r>
    </w:p>
    <w:p w14:paraId="33CDD35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7.4《投标文件》内容不完整、编排混乱导致《投标文件》被误读、漏读或者查找不到相关内容的，投标人自行负责。</w:t>
      </w:r>
    </w:p>
    <w:p w14:paraId="357818F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7.5《投标文件》因字迹潦草或表达不清所引起的后果由投标人负责。</w:t>
      </w:r>
    </w:p>
    <w:p w14:paraId="017FC2E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7.6投标人没有按照本章节“投标文件的构成”要求提供全部资料，或者没有仔细阅读招标文件，或者没有对招标文件在各方面的要求作出实质性响应是投标人的风险，由此造成的一切后果由投标人自行承担。</w:t>
      </w:r>
    </w:p>
    <w:p w14:paraId="4D60C85A">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8、投标文件的签章</w:t>
      </w:r>
    </w:p>
    <w:p w14:paraId="505876A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8.1《投标文件》的签章：见《前附表》；</w:t>
      </w:r>
    </w:p>
    <w:p w14:paraId="7EB8D6B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8.2《投标文件》应由投标人法定代表人或其授权代表签字（或盖章），并时加盖投标人公章。</w:t>
      </w:r>
    </w:p>
    <w:p w14:paraId="3D250DD4">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8.3电子签章操作指南详见采购公告附件《供应商项目采购-电子招投标操作指南》。</w:t>
      </w:r>
    </w:p>
    <w:p w14:paraId="61D8CC3F">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9、投标文件的形式</w:t>
      </w:r>
    </w:p>
    <w:p w14:paraId="0E3C4A1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9.1投标文件的形式：见《前附表》；</w:t>
      </w:r>
    </w:p>
    <w:p w14:paraId="21A0A7E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9.2“电子加密投标文件”：“电子加密投标文件”是指通过“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电子交易客户端”完成投标文件编制后生成并加密的数据电文形式的投标文件。</w:t>
      </w:r>
    </w:p>
    <w:p w14:paraId="1B410D2C">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04FC5D34">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10、投标文件的份数</w:t>
      </w:r>
    </w:p>
    <w:p w14:paraId="504F9BC4">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10.1投标文件的份数：见《前附表》。</w:t>
      </w:r>
    </w:p>
    <w:p w14:paraId="0412C63B">
      <w:pPr>
        <w:spacing w:before="100" w:beforeAutospacing="1" w:after="100" w:afterAutospacing="1" w:line="440" w:lineRule="exact"/>
        <w:jc w:val="center"/>
        <w:outlineLvl w:val="1"/>
        <w:rPr>
          <w:rFonts w:ascii="宋体" w:hAnsi="宋体" w:cs="宋体"/>
          <w:b/>
          <w:bCs/>
          <w:color w:val="auto"/>
          <w:sz w:val="22"/>
          <w:szCs w:val="22"/>
          <w:highlight w:val="none"/>
        </w:rPr>
      </w:pPr>
      <w:bookmarkStart w:id="18" w:name="_Toc15422"/>
      <w:bookmarkStart w:id="19" w:name="_Toc18542"/>
      <w:r>
        <w:rPr>
          <w:rFonts w:hint="eastAsia" w:ascii="宋体" w:hAnsi="宋体" w:cs="宋体"/>
          <w:b/>
          <w:bCs/>
          <w:color w:val="auto"/>
          <w:sz w:val="22"/>
          <w:szCs w:val="22"/>
          <w:highlight w:val="none"/>
        </w:rPr>
        <w:t>四、投标文件的递交</w:t>
      </w:r>
      <w:bookmarkEnd w:id="18"/>
      <w:bookmarkEnd w:id="19"/>
    </w:p>
    <w:p w14:paraId="39882899">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1、投标文件的上传和递交</w:t>
      </w:r>
    </w:p>
    <w:p w14:paraId="1149ECB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1.1“投标文件”的上传、递交：见《前附表》。</w:t>
      </w:r>
    </w:p>
    <w:p w14:paraId="737124E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2、“电子加密投标文件”解密和异常情况处理</w:t>
      </w:r>
    </w:p>
    <w:p w14:paraId="7697A45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2.1“电子加密投标文件”解密：见《前附表》。</w:t>
      </w:r>
    </w:p>
    <w:p w14:paraId="101D183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3、投标文件的补充、修改或撤回</w:t>
      </w:r>
    </w:p>
    <w:p w14:paraId="74D4C3F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”将予以拒收。</w:t>
      </w:r>
    </w:p>
    <w:p w14:paraId="742E069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3.2投标截止时间后，投标人不得撤回、修改《投标文件》。</w:t>
      </w:r>
    </w:p>
    <w:p w14:paraId="38A9F37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4、投标文件的备选方案</w:t>
      </w:r>
    </w:p>
    <w:p w14:paraId="5030001E">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7BC42E10">
      <w:pPr>
        <w:spacing w:before="100" w:beforeAutospacing="1" w:after="100" w:afterAutospacing="1" w:line="460" w:lineRule="exact"/>
        <w:jc w:val="center"/>
        <w:outlineLvl w:val="1"/>
        <w:rPr>
          <w:rFonts w:ascii="宋体" w:hAnsi="宋体" w:cs="宋体"/>
          <w:b/>
          <w:bCs/>
          <w:color w:val="auto"/>
          <w:sz w:val="22"/>
          <w:szCs w:val="22"/>
          <w:highlight w:val="none"/>
        </w:rPr>
      </w:pPr>
      <w:bookmarkStart w:id="20" w:name="_Toc8079"/>
      <w:bookmarkStart w:id="21" w:name="_Toc30172"/>
      <w:r>
        <w:rPr>
          <w:rFonts w:hint="eastAsia" w:ascii="宋体" w:hAnsi="宋体" w:cs="宋体"/>
          <w:b/>
          <w:bCs/>
          <w:color w:val="auto"/>
          <w:sz w:val="22"/>
          <w:szCs w:val="22"/>
          <w:highlight w:val="none"/>
        </w:rPr>
        <w:t>五、开标和评标</w:t>
      </w:r>
      <w:bookmarkEnd w:id="20"/>
      <w:bookmarkEnd w:id="21"/>
    </w:p>
    <w:p w14:paraId="1E673504">
      <w:pPr>
        <w:spacing w:line="460" w:lineRule="exact"/>
        <w:ind w:firstLine="541" w:firstLineChars="245"/>
        <w:rPr>
          <w:rFonts w:ascii="宋体" w:hAnsi="宋体" w:cs="宋体"/>
          <w:b/>
          <w:color w:val="auto"/>
          <w:sz w:val="22"/>
          <w:szCs w:val="22"/>
          <w:highlight w:val="none"/>
        </w:rPr>
      </w:pPr>
      <w:r>
        <w:rPr>
          <w:rFonts w:hint="eastAsia" w:ascii="宋体" w:hAnsi="宋体" w:cs="宋体"/>
          <w:b/>
          <w:bCs/>
          <w:color w:val="auto"/>
          <w:sz w:val="22"/>
          <w:szCs w:val="22"/>
          <w:highlight w:val="none"/>
        </w:rPr>
        <w:t>1、评标委员会</w:t>
      </w:r>
    </w:p>
    <w:p w14:paraId="50F4A89D">
      <w:pPr>
        <w:spacing w:line="460" w:lineRule="exact"/>
        <w:ind w:firstLine="539" w:firstLineChars="245"/>
        <w:rPr>
          <w:rFonts w:ascii="宋体" w:hAnsi="宋体" w:cs="宋体"/>
          <w:b/>
          <w:color w:val="auto"/>
          <w:sz w:val="22"/>
          <w:szCs w:val="22"/>
          <w:highlight w:val="none"/>
        </w:rPr>
      </w:pPr>
      <w:r>
        <w:rPr>
          <w:rFonts w:hint="eastAsia" w:ascii="宋体" w:hAnsi="宋体" w:cs="宋体"/>
          <w:bCs/>
          <w:color w:val="auto"/>
          <w:sz w:val="22"/>
          <w:szCs w:val="22"/>
          <w:highlight w:val="none"/>
        </w:rPr>
        <w:t>招标人和招标代理机构组建评标委员会。评标委员会的成员在评标过程中必须严格遵守《政府采购法》等有关法律、法规的规定。</w:t>
      </w:r>
    </w:p>
    <w:p w14:paraId="2B0C0A3C">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2、评标过程的保密性</w:t>
      </w:r>
    </w:p>
    <w:p w14:paraId="1DAB683D">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4D54D565">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3、开标形式</w:t>
      </w:r>
    </w:p>
    <w:p w14:paraId="15126DD1">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采购组织机构将按照招标文件规定的时间通过“</w:t>
      </w:r>
      <w:r>
        <w:rPr>
          <w:rFonts w:hint="eastAsia" w:ascii="宋体" w:hAnsi="宋体" w:cs="宋体"/>
          <w:bCs/>
          <w:color w:val="auto"/>
          <w:sz w:val="22"/>
          <w:szCs w:val="22"/>
          <w:highlight w:val="none"/>
          <w:lang w:eastAsia="zh-CN"/>
        </w:rPr>
        <w:t>乐采云平台</w:t>
      </w:r>
      <w:r>
        <w:rPr>
          <w:rFonts w:hint="eastAsia" w:ascii="宋体" w:hAnsi="宋体" w:cs="宋体"/>
          <w:bCs/>
          <w:color w:val="auto"/>
          <w:sz w:val="22"/>
          <w:szCs w:val="22"/>
          <w:highlight w:val="none"/>
        </w:rPr>
        <w:t>”组织开标、开启投标文件，所有供应商均应当准时(在线)参加。</w:t>
      </w:r>
    </w:p>
    <w:p w14:paraId="238E347A">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4、开标准备</w:t>
      </w:r>
    </w:p>
    <w:p w14:paraId="11277601">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4.1开标的准备工作由采购组织机构负责落实；</w:t>
      </w:r>
    </w:p>
    <w:p w14:paraId="3FF88F5A">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4.2</w:t>
      </w:r>
      <w:r>
        <w:rPr>
          <w:rFonts w:hint="eastAsia" w:ascii="宋体" w:hAnsi="宋体" w:cs="宋体"/>
          <w:color w:val="auto"/>
          <w:sz w:val="22"/>
          <w:szCs w:val="22"/>
          <w:highlight w:val="none"/>
        </w:rPr>
        <w:t>采购组织机构将按照招标文件规定的时间通过“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”组织开标、开启投标文件，所有供应商均应当准时(在线)参加。</w:t>
      </w:r>
      <w:r>
        <w:rPr>
          <w:rFonts w:hint="eastAsia" w:ascii="宋体" w:hAnsi="宋体" w:cs="宋体"/>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17178D79">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5、开标流程</w:t>
      </w:r>
    </w:p>
    <w:p w14:paraId="51962EA7">
      <w:pPr>
        <w:spacing w:line="460" w:lineRule="exact"/>
        <w:ind w:firstLine="539" w:firstLineChars="245"/>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5.1开标、评标</w:t>
      </w:r>
    </w:p>
    <w:p w14:paraId="124BF76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定递交了备份投标文件的，将由采购组织机构按“</w:t>
      </w:r>
      <w:r>
        <w:rPr>
          <w:rFonts w:hint="eastAsia" w:ascii="宋体" w:hAnsi="宋体" w:cs="宋体"/>
          <w:color w:val="auto"/>
          <w:kern w:val="0"/>
          <w:sz w:val="22"/>
          <w:szCs w:val="22"/>
          <w:highlight w:val="none"/>
          <w:lang w:eastAsia="zh-CN"/>
        </w:rPr>
        <w:t>乐采云平台</w:t>
      </w:r>
      <w:r>
        <w:rPr>
          <w:rFonts w:hint="eastAsia" w:ascii="宋体" w:hAnsi="宋体" w:cs="宋体"/>
          <w:color w:val="auto"/>
          <w:kern w:val="0"/>
          <w:sz w:val="22"/>
          <w:szCs w:val="22"/>
          <w:highlight w:val="none"/>
        </w:rPr>
        <w:t>”操作规范将备份投标文件上传至“</w:t>
      </w:r>
      <w:r>
        <w:rPr>
          <w:rFonts w:hint="eastAsia" w:ascii="宋体" w:hAnsi="宋体" w:cs="宋体"/>
          <w:color w:val="auto"/>
          <w:kern w:val="0"/>
          <w:sz w:val="22"/>
          <w:szCs w:val="22"/>
          <w:highlight w:val="none"/>
          <w:lang w:eastAsia="zh-CN"/>
        </w:rPr>
        <w:t>乐采云平台</w:t>
      </w:r>
      <w:r>
        <w:rPr>
          <w:rFonts w:hint="eastAsia" w:ascii="宋体" w:hAnsi="宋体" w:cs="宋体"/>
          <w:color w:val="auto"/>
          <w:kern w:val="0"/>
          <w:sz w:val="22"/>
          <w:szCs w:val="22"/>
          <w:highlight w:val="none"/>
        </w:rPr>
        <w:t>”，上传成功后，“电子加密投标文件”自动失效；</w:t>
      </w:r>
    </w:p>
    <w:p w14:paraId="5A866BED">
      <w:pPr>
        <w:spacing w:line="460" w:lineRule="exact"/>
        <w:ind w:firstLine="539" w:firstLineChars="245"/>
        <w:rPr>
          <w:rFonts w:ascii="宋体" w:hAnsi="宋体" w:cs="宋体"/>
          <w:color w:val="auto"/>
          <w:highlight w:val="none"/>
        </w:rPr>
      </w:pPr>
      <w:r>
        <w:rPr>
          <w:rFonts w:hint="eastAsia" w:ascii="宋体" w:hAnsi="宋体" w:cs="宋体"/>
          <w:bCs/>
          <w:color w:val="auto"/>
          <w:sz w:val="22"/>
          <w:szCs w:val="22"/>
          <w:highlight w:val="none"/>
        </w:rPr>
        <w:t>投标人不足3家的，不得开标。</w:t>
      </w:r>
    </w:p>
    <w:p w14:paraId="28EEC8D8">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（2）解密成功后，开启投标人的《报价文件》，由供应商对自己报价文件相关内容进行签字确认，（不予确认的应说明理由，否则视为无异议）。</w:t>
      </w:r>
    </w:p>
    <w:p w14:paraId="19BC0568">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（3）开启《投标文件》，进入资格审查；</w:t>
      </w:r>
      <w:r>
        <w:rPr>
          <w:rFonts w:hint="eastAsia" w:ascii="宋体" w:hAnsi="宋体" w:cs="宋体"/>
          <w:bCs/>
          <w:color w:val="auto"/>
          <w:sz w:val="22"/>
          <w:szCs w:val="22"/>
          <w:highlight w:val="none"/>
        </w:rPr>
        <w:t>合格投标人不足3家的，不得评标。</w:t>
      </w:r>
    </w:p>
    <w:p w14:paraId="43C65085">
      <w:pPr>
        <w:spacing w:line="460" w:lineRule="exact"/>
        <w:ind w:firstLine="539" w:firstLineChars="245"/>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备注：开标大会的结束后，招标人或采购代理机构将对依法对投标人的资格进行审查，资格审查结束后进入符合性审查和商务技术的评审工作，具体见本章节“投标人资格审查”相关规定。</w:t>
      </w:r>
    </w:p>
    <w:p w14:paraId="68C3BD03">
      <w:pPr>
        <w:spacing w:line="460" w:lineRule="exact"/>
        <w:ind w:firstLine="539" w:firstLineChars="245"/>
        <w:rPr>
          <w:rFonts w:ascii="宋体" w:hAnsi="宋体" w:cs="宋体"/>
          <w:bCs/>
          <w:color w:val="auto"/>
          <w:sz w:val="22"/>
          <w:szCs w:val="22"/>
          <w:highlight w:val="none"/>
        </w:rPr>
      </w:pPr>
      <w:r>
        <w:rPr>
          <w:rFonts w:hint="eastAsia" w:ascii="宋体" w:hAnsi="宋体" w:cs="宋体"/>
          <w:color w:val="auto"/>
          <w:kern w:val="0"/>
          <w:sz w:val="22"/>
          <w:szCs w:val="22"/>
          <w:highlight w:val="none"/>
        </w:rPr>
        <w:t>（4）开启资格审查通过的投标人的商务技术文件进入符合性审查，</w:t>
      </w:r>
      <w:r>
        <w:rPr>
          <w:rFonts w:hint="eastAsia" w:ascii="宋体" w:hAnsi="宋体" w:cs="宋体"/>
          <w:bCs/>
          <w:color w:val="auto"/>
          <w:sz w:val="22"/>
          <w:szCs w:val="22"/>
          <w:highlight w:val="none"/>
        </w:rPr>
        <w:t>以确定其是否满足招标文件的实质性要求，合格投标人不足3家的，不得评标。</w:t>
      </w:r>
    </w:p>
    <w:p w14:paraId="6B2EF088">
      <w:pPr>
        <w:spacing w:line="460" w:lineRule="exact"/>
        <w:ind w:firstLine="541" w:firstLineChars="245"/>
        <w:rPr>
          <w:rFonts w:ascii="宋体" w:hAnsi="宋体" w:cs="宋体"/>
          <w:bCs/>
          <w:color w:val="auto"/>
          <w:sz w:val="22"/>
          <w:szCs w:val="22"/>
          <w:highlight w:val="none"/>
        </w:rPr>
      </w:pPr>
      <w:r>
        <w:rPr>
          <w:rFonts w:hint="eastAsia" w:ascii="宋体" w:hAnsi="宋体" w:cs="宋体"/>
          <w:b/>
          <w:color w:val="auto"/>
          <w:sz w:val="22"/>
          <w:szCs w:val="22"/>
          <w:highlight w:val="none"/>
        </w:rPr>
        <w:t>没有满足招标文件的实质性要求的投标作无效标处理。</w:t>
      </w:r>
      <w:r>
        <w:rPr>
          <w:rFonts w:hint="eastAsia" w:ascii="宋体" w:hAnsi="宋体" w:cs="宋体"/>
          <w:bCs/>
          <w:color w:val="auto"/>
          <w:sz w:val="22"/>
          <w:szCs w:val="22"/>
          <w:highlight w:val="none"/>
        </w:rPr>
        <w:t>评标委员会决定投标的实质性要求只根据投标文件本身的内容，而不寻求外部的证据。投标人不得通过修正或撤消不合要求的偏离或保留从而使其投标成为实质上响应的投标。</w:t>
      </w:r>
    </w:p>
    <w:p w14:paraId="3062ABC1">
      <w:pPr>
        <w:spacing w:line="460" w:lineRule="exact"/>
        <w:ind w:firstLine="539" w:firstLineChars="245"/>
        <w:rPr>
          <w:rFonts w:ascii="宋体" w:hAnsi="宋体" w:cs="宋体"/>
          <w:color w:val="auto"/>
          <w:highlight w:val="none"/>
        </w:rPr>
      </w:pPr>
      <w:r>
        <w:rPr>
          <w:rFonts w:hint="eastAsia" w:ascii="宋体" w:hAnsi="宋体" w:cs="宋体"/>
          <w:bCs/>
          <w:color w:val="auto"/>
          <w:sz w:val="22"/>
          <w:szCs w:val="22"/>
          <w:highlight w:val="none"/>
        </w:rPr>
        <w:t>（5）对通过资格审查、符合性审查的合格供应商进行商务技术部分的评审。</w:t>
      </w:r>
    </w:p>
    <w:p w14:paraId="194A5920">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（6）评标委员会对报价的合理性、准确性等进行审查核实。</w:t>
      </w:r>
    </w:p>
    <w:p w14:paraId="476FC8F8">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15CD08C3">
      <w:pPr>
        <w:spacing w:line="460" w:lineRule="exact"/>
        <w:ind w:firstLine="541" w:firstLineChars="245"/>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特别说明：如遇“</w:t>
      </w:r>
      <w:r>
        <w:rPr>
          <w:rFonts w:hint="eastAsia" w:ascii="宋体" w:hAnsi="宋体" w:cs="宋体"/>
          <w:b/>
          <w:color w:val="auto"/>
          <w:kern w:val="0"/>
          <w:sz w:val="22"/>
          <w:szCs w:val="22"/>
          <w:highlight w:val="none"/>
          <w:lang w:eastAsia="zh-CN"/>
        </w:rPr>
        <w:t>乐采云平台</w:t>
      </w:r>
      <w:r>
        <w:rPr>
          <w:rFonts w:hint="eastAsia" w:ascii="宋体" w:hAnsi="宋体" w:cs="宋体"/>
          <w:b/>
          <w:color w:val="auto"/>
          <w:kern w:val="0"/>
          <w:sz w:val="22"/>
          <w:szCs w:val="22"/>
          <w:highlight w:val="none"/>
        </w:rPr>
        <w:t>”电子化开标或评审程序调整的，按调整后程序执行。</w:t>
      </w:r>
    </w:p>
    <w:p w14:paraId="1C4EA842">
      <w:pPr>
        <w:spacing w:line="460" w:lineRule="exact"/>
        <w:ind w:firstLine="539" w:firstLineChars="245"/>
        <w:rPr>
          <w:rFonts w:ascii="宋体" w:hAnsi="宋体" w:cs="宋体"/>
          <w:color w:val="auto"/>
          <w:sz w:val="22"/>
          <w:szCs w:val="22"/>
          <w:highlight w:val="none"/>
        </w:rPr>
      </w:pPr>
      <w:bookmarkStart w:id="22" w:name="_Toc33194393"/>
      <w:bookmarkStart w:id="23" w:name="_Toc24550037"/>
      <w:r>
        <w:rPr>
          <w:rFonts w:hint="eastAsia" w:ascii="宋体" w:hAnsi="宋体" w:cs="宋体"/>
          <w:color w:val="auto"/>
          <w:sz w:val="22"/>
          <w:szCs w:val="22"/>
          <w:highlight w:val="none"/>
        </w:rPr>
        <w:t>6、投标人资格审查</w:t>
      </w:r>
      <w:bookmarkEnd w:id="22"/>
      <w:bookmarkEnd w:id="23"/>
    </w:p>
    <w:p w14:paraId="6D7CC799">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6.1开标大会结束后，招标人或采购代理机构首先依法对各投标人的资格进行审查，审查各投标人的资格是否满足招标文件的要求。招</w:t>
      </w:r>
      <w:r>
        <w:rPr>
          <w:rFonts w:hint="eastAsia" w:ascii="宋体" w:hAnsi="宋体" w:cs="宋体"/>
          <w:color w:val="auto"/>
          <w:sz w:val="22"/>
          <w:szCs w:val="22"/>
          <w:highlight w:val="none"/>
        </w:rPr>
        <w:t>标人或采购代理机构对投标人所提交的资格证明材料仅负审核的责任。如发现投标人所提交的资格证明材料不合法或与事实不符，招标人可取消其中标资格并追究投标人的法律责任。</w:t>
      </w:r>
    </w:p>
    <w:p w14:paraId="7DC730EB">
      <w:pPr>
        <w:spacing w:line="460" w:lineRule="exact"/>
        <w:ind w:firstLine="539" w:firstLineChars="245"/>
        <w:rPr>
          <w:rFonts w:ascii="宋体" w:hAnsi="宋体" w:cs="宋体"/>
          <w:bCs/>
          <w:color w:val="auto"/>
          <w:kern w:val="0"/>
          <w:sz w:val="22"/>
          <w:szCs w:val="22"/>
          <w:highlight w:val="none"/>
        </w:rPr>
      </w:pPr>
      <w:r>
        <w:rPr>
          <w:rFonts w:hint="eastAsia" w:ascii="宋体" w:hAnsi="宋体" w:cs="宋体"/>
          <w:bCs/>
          <w:color w:val="auto"/>
          <w:sz w:val="22"/>
          <w:szCs w:val="22"/>
          <w:highlight w:val="none"/>
        </w:rPr>
        <w:t>6.2投标人提交的资格证明材料无法证明其符合招标文件规定的“投标人资格要求”的，招标人或采购代理机构</w:t>
      </w:r>
      <w:r>
        <w:rPr>
          <w:rFonts w:hint="eastAsia" w:ascii="宋体" w:hAnsi="宋体" w:cs="宋体"/>
          <w:bCs/>
          <w:color w:val="auto"/>
          <w:kern w:val="0"/>
          <w:sz w:val="22"/>
          <w:szCs w:val="22"/>
          <w:highlight w:val="none"/>
        </w:rPr>
        <w:t>将对其作资格审查不通过处理（无效投标），并不再将其投标提交评标委员会进行后续评审。</w:t>
      </w:r>
    </w:p>
    <w:p w14:paraId="06EC1CC1">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kern w:val="0"/>
          <w:sz w:val="22"/>
          <w:szCs w:val="22"/>
          <w:highlight w:val="none"/>
        </w:rPr>
        <w:t>.3单位负责人为同一人或者存在直接控股、管理关系的不同供应商参加同一合同项下的政府采购活动的，相关投标人均作资格无效处理。</w:t>
      </w:r>
    </w:p>
    <w:p w14:paraId="0A93EB6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7、评标委员按照招标文件中规定的评标方法和标准，对投标文件进行商务和技术评估，综合比较与评价。</w:t>
      </w:r>
    </w:p>
    <w:p w14:paraId="49257BAE">
      <w:pPr>
        <w:spacing w:line="460" w:lineRule="exact"/>
        <w:ind w:firstLine="541" w:firstLineChars="245"/>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8、投标人存在下列情况之一的，投标无效：</w:t>
      </w:r>
    </w:p>
    <w:p w14:paraId="615C3E9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（1）投标文件未按招标文件要求签署、盖章的；</w:t>
      </w:r>
    </w:p>
    <w:p w14:paraId="4C73B785">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（2）不具备招标文件中规定的资格要求的；</w:t>
      </w:r>
    </w:p>
    <w:p w14:paraId="42F96456">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（3）明显不符合招标文件中主要技术规格、技术标准的；</w:t>
      </w:r>
    </w:p>
    <w:p w14:paraId="18E98C3C">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（4）投标文件内容不全或关键字迹模糊无法辨认的；</w:t>
      </w:r>
    </w:p>
    <w:p w14:paraId="49753F6A">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（5）报价超过招标文件中规定的预算金额的；</w:t>
      </w:r>
    </w:p>
    <w:p w14:paraId="5FC4192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（6）投标人代表没有法定代表人合法、有效委托的；</w:t>
      </w:r>
    </w:p>
    <w:p w14:paraId="42DBDCC7">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（7）投标文件存在一个或一个以上备选（替代）投标方案的；</w:t>
      </w:r>
    </w:p>
    <w:p w14:paraId="093D09D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（8）仅提交“备份投标文件”的；</w:t>
      </w:r>
    </w:p>
    <w:p w14:paraId="455D1099">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（9）投标文件含有招标人不能接受的附加条件的；</w:t>
      </w:r>
    </w:p>
    <w:p w14:paraId="161FCCA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（10）法律、法规和招标文件规定的其他无效情形。</w:t>
      </w:r>
    </w:p>
    <w:p w14:paraId="029B9584">
      <w:pPr>
        <w:spacing w:line="460" w:lineRule="exact"/>
        <w:ind w:firstLine="541" w:firstLineChars="245"/>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9、有下列情形之一的，视为投标人串通投标，其投标无效</w:t>
      </w:r>
    </w:p>
    <w:p w14:paraId="32DB9FC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（1）不同投标人的投标文件由同一单位或者个人编制；</w:t>
      </w:r>
    </w:p>
    <w:p w14:paraId="0FEBCA0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（2）不同投标人委托同一单位或者个人办理投标事宜；</w:t>
      </w:r>
    </w:p>
    <w:p w14:paraId="59BD1FF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（3）不同投标人的投标文件载明的项目管理成员或者联系人员为同一人；</w:t>
      </w:r>
    </w:p>
    <w:p w14:paraId="37433054">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（4）不同投标人的投标文件异常一致或者投标报价呈规律性差异；</w:t>
      </w:r>
    </w:p>
    <w:p w14:paraId="30BD405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（5）不同投标人的投标文件相互混装。</w:t>
      </w:r>
    </w:p>
    <w:p w14:paraId="363031F0">
      <w:pPr>
        <w:spacing w:line="460" w:lineRule="exact"/>
        <w:ind w:firstLine="541" w:firstLineChars="245"/>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10、投标文件报价出现前后不一致的，按照下列规定修正：</w:t>
      </w:r>
    </w:p>
    <w:p w14:paraId="03A5ED3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（1）系统上传的投标文件中开标一览表（报价表）（加盖公章）内容与投标文件中相应内容不一致的，以系统上传的投标文件中开标一览表（报价表）（加盖公章）为准；</w:t>
      </w:r>
    </w:p>
    <w:p w14:paraId="6ED43594">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（2）大写金额和小写金额不一致的，以大写金额为准；</w:t>
      </w:r>
    </w:p>
    <w:p w14:paraId="65781F2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（3）单价金额小数点或者百分比有明显错位的，以开标一览表的总价为准，并修改单价；</w:t>
      </w:r>
    </w:p>
    <w:p w14:paraId="3EB4428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（4）总价金额与按单价汇总金额不一致的，以单价金额计算结果为准。</w:t>
      </w:r>
    </w:p>
    <w:p w14:paraId="11900739">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同时出现两种以上不一致的，按照前款规定的顺序修正。修正后的报价按照本小节第12条第12.2款的规定经投标人确认后产生约束力，投标人不确认的，其投标无效。</w:t>
      </w:r>
    </w:p>
    <w:p w14:paraId="7FFF0E66">
      <w:pPr>
        <w:spacing w:line="460" w:lineRule="exact"/>
        <w:ind w:firstLine="759" w:firstLineChars="345"/>
        <w:rPr>
          <w:rFonts w:ascii="宋体" w:hAnsi="宋体" w:cs="宋体"/>
          <w:bCs/>
          <w:color w:val="auto"/>
          <w:sz w:val="22"/>
          <w:szCs w:val="22"/>
          <w:highlight w:val="none"/>
        </w:rPr>
      </w:pPr>
      <w:r>
        <w:rPr>
          <w:rFonts w:hint="eastAsia" w:ascii="宋体" w:hAnsi="宋体" w:cs="宋体"/>
          <w:bCs/>
          <w:color w:val="auto"/>
          <w:sz w:val="22"/>
          <w:szCs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1A8827BD">
      <w:pPr>
        <w:spacing w:line="460" w:lineRule="exact"/>
        <w:ind w:firstLine="759" w:firstLineChars="345"/>
        <w:rPr>
          <w:rFonts w:ascii="宋体" w:hAnsi="宋体" w:cs="宋体"/>
          <w:bCs/>
          <w:color w:val="auto"/>
          <w:sz w:val="22"/>
          <w:szCs w:val="22"/>
          <w:highlight w:val="none"/>
        </w:rPr>
      </w:pPr>
      <w:r>
        <w:rPr>
          <w:rFonts w:hint="eastAsia" w:ascii="宋体" w:hAnsi="宋体" w:cs="宋体"/>
          <w:bCs/>
          <w:color w:val="auto"/>
          <w:sz w:val="22"/>
          <w:szCs w:val="22"/>
          <w:highlight w:val="none"/>
        </w:rPr>
        <w:t>12、投标文件的澄清</w:t>
      </w:r>
    </w:p>
    <w:p w14:paraId="2F5FB082">
      <w:pPr>
        <w:spacing w:line="460" w:lineRule="exact"/>
        <w:ind w:firstLine="759" w:firstLineChars="345"/>
        <w:rPr>
          <w:rFonts w:ascii="宋体" w:hAnsi="宋体" w:cs="宋体"/>
          <w:bCs/>
          <w:color w:val="auto"/>
          <w:sz w:val="22"/>
          <w:szCs w:val="22"/>
          <w:highlight w:val="none"/>
        </w:rPr>
      </w:pPr>
      <w:r>
        <w:rPr>
          <w:rFonts w:hint="eastAsia" w:ascii="宋体" w:hAnsi="宋体" w:cs="宋体"/>
          <w:bCs/>
          <w:color w:val="auto"/>
          <w:sz w:val="22"/>
          <w:szCs w:val="22"/>
          <w:highlight w:val="none"/>
        </w:rPr>
        <w:t>12.1在评标期间，评标委员会可要求投标人对于投标文件中含义不明确、同类问题表述不一致或者有明显文字和计算错误的内容，评标委员会应当以书面形式（或通过“</w:t>
      </w:r>
      <w:r>
        <w:rPr>
          <w:rFonts w:hint="eastAsia" w:ascii="宋体" w:hAnsi="宋体" w:cs="宋体"/>
          <w:bCs/>
          <w:color w:val="auto"/>
          <w:sz w:val="22"/>
          <w:szCs w:val="22"/>
          <w:highlight w:val="none"/>
          <w:lang w:eastAsia="zh-CN"/>
        </w:rPr>
        <w:t>乐采云平台</w:t>
      </w:r>
      <w:r>
        <w:rPr>
          <w:rFonts w:hint="eastAsia" w:ascii="宋体" w:hAnsi="宋体" w:cs="宋体"/>
          <w:bCs/>
          <w:color w:val="auto"/>
          <w:sz w:val="22"/>
          <w:szCs w:val="22"/>
          <w:highlight w:val="none"/>
        </w:rPr>
        <w:t>”在线询标）要求投标人在规定的时间内作出必要的澄清、说明或者补正。投标人澄清、说明或补正时间为30分钟。</w:t>
      </w:r>
    </w:p>
    <w:p w14:paraId="669D7B0E">
      <w:pPr>
        <w:spacing w:line="460" w:lineRule="exact"/>
        <w:ind w:firstLine="759" w:firstLineChars="345"/>
        <w:rPr>
          <w:rFonts w:ascii="宋体" w:hAnsi="宋体" w:cs="宋体"/>
          <w:bCs/>
          <w:color w:val="auto"/>
          <w:sz w:val="22"/>
          <w:szCs w:val="22"/>
          <w:highlight w:val="none"/>
        </w:rPr>
      </w:pPr>
      <w:r>
        <w:rPr>
          <w:rFonts w:hint="eastAsia" w:ascii="宋体" w:hAnsi="宋体" w:cs="宋体"/>
          <w:bCs/>
          <w:color w:val="auto"/>
          <w:sz w:val="22"/>
          <w:szCs w:val="22"/>
          <w:highlight w:val="none"/>
        </w:rPr>
        <w:t>12.2投标人的澄清、说明或者补正应当采用书面形式（或通过“</w:t>
      </w:r>
      <w:r>
        <w:rPr>
          <w:rFonts w:hint="eastAsia" w:ascii="宋体" w:hAnsi="宋体" w:cs="宋体"/>
          <w:bCs/>
          <w:color w:val="auto"/>
          <w:sz w:val="22"/>
          <w:szCs w:val="22"/>
          <w:highlight w:val="none"/>
          <w:lang w:eastAsia="zh-CN"/>
        </w:rPr>
        <w:t>乐采云平台</w:t>
      </w:r>
      <w:r>
        <w:rPr>
          <w:rFonts w:hint="eastAsia" w:ascii="宋体" w:hAnsi="宋体" w:cs="宋体"/>
          <w:bCs/>
          <w:color w:val="auto"/>
          <w:sz w:val="22"/>
          <w:szCs w:val="22"/>
          <w:highlight w:val="none"/>
        </w:rPr>
        <w:t>”在线答复），并加盖公章，或者由法定代表人或其授权的代表签字。投标人的澄清、说明或者补正不得超出投标文件的范围或者改变投标文件的实质性内容。</w:t>
      </w:r>
    </w:p>
    <w:p w14:paraId="33A968F3">
      <w:pPr>
        <w:spacing w:line="460" w:lineRule="exact"/>
        <w:ind w:firstLine="759" w:firstLineChars="345"/>
        <w:rPr>
          <w:rFonts w:ascii="宋体" w:hAnsi="宋体" w:cs="宋体"/>
          <w:b/>
          <w:color w:val="auto"/>
          <w:sz w:val="22"/>
          <w:szCs w:val="22"/>
          <w:highlight w:val="none"/>
        </w:rPr>
      </w:pPr>
      <w:r>
        <w:rPr>
          <w:rFonts w:hint="eastAsia" w:ascii="宋体" w:hAnsi="宋体" w:cs="宋体"/>
          <w:color w:val="auto"/>
          <w:sz w:val="22"/>
          <w:szCs w:val="22"/>
          <w:highlight w:val="none"/>
        </w:rPr>
        <w:t>拒不按要求对其投标文件进行澄清，说明或补正的投标人，评标委员会可以否决其投标。</w:t>
      </w:r>
    </w:p>
    <w:p w14:paraId="1F9C1F73">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12.2经澄清后，若偏差仍存在，且不可接受，投标人则被认为是“没有实质性响应招标文件要求”，其投标将被拒绝。</w:t>
      </w:r>
    </w:p>
    <w:p w14:paraId="4CF1FDEA">
      <w:pPr>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cs="宋体"/>
          <w:b/>
          <w:bCs/>
          <w:color w:val="auto"/>
          <w:sz w:val="22"/>
          <w:szCs w:val="22"/>
          <w:highlight w:val="none"/>
          <w:u w:val="single"/>
          <w:lang w:val="en-US" w:eastAsia="zh-CN"/>
        </w:rPr>
        <w:t>13、</w:t>
      </w:r>
      <w:r>
        <w:rPr>
          <w:rFonts w:hint="eastAsia" w:ascii="宋体" w:hAnsi="宋体" w:eastAsia="宋体" w:cs="宋体"/>
          <w:b/>
          <w:bCs/>
          <w:color w:val="auto"/>
          <w:sz w:val="22"/>
          <w:szCs w:val="22"/>
          <w:highlight w:val="none"/>
          <w:u w:val="single"/>
        </w:rPr>
        <w:t>政府采购评审中出现下列情形之一的，评审委员会应当启动异常低价投标（响应）审查程序：</w:t>
      </w:r>
    </w:p>
    <w:p w14:paraId="651DD99B">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w:t>
      </w:r>
      <w:r>
        <w:rPr>
          <w:rFonts w:hint="eastAsia" w:ascii="宋体" w:hAnsi="宋体" w:eastAsia="宋体" w:cs="宋体"/>
          <w:b w:val="0"/>
          <w:bCs w:val="0"/>
          <w:color w:val="auto"/>
          <w:sz w:val="22"/>
          <w:szCs w:val="22"/>
          <w:highlight w:val="none"/>
        </w:rPr>
        <w:t>1投标（响应）报价低于全部通过符合性审查供应商投标（响应）报价平均值50%的，即投标（响应）报价&lt;全部通过符合性审查供应商投标（响应）报价平均值×50%；</w:t>
      </w:r>
    </w:p>
    <w:p w14:paraId="649668AB">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13.2</w:t>
      </w:r>
      <w:r>
        <w:rPr>
          <w:rFonts w:hint="eastAsia" w:ascii="宋体" w:hAnsi="宋体" w:eastAsia="宋体" w:cs="宋体"/>
          <w:b w:val="0"/>
          <w:bCs w:val="0"/>
          <w:color w:val="auto"/>
          <w:sz w:val="22"/>
          <w:szCs w:val="22"/>
          <w:highlight w:val="none"/>
        </w:rPr>
        <w:t>投标（响应）报价低于通过符合性审查的次低报价供应商投标（响应）报价50%的，即投标（响应）报价&lt;通过符合性审查的次低报价供应商投标（响应）报价×50%；</w:t>
      </w:r>
    </w:p>
    <w:p w14:paraId="37F59C3B">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13.3</w:t>
      </w:r>
      <w:r>
        <w:rPr>
          <w:rFonts w:hint="eastAsia" w:ascii="宋体" w:hAnsi="宋体" w:eastAsia="宋体" w:cs="宋体"/>
          <w:b w:val="0"/>
          <w:bCs w:val="0"/>
          <w:color w:val="auto"/>
          <w:sz w:val="22"/>
          <w:szCs w:val="22"/>
          <w:highlight w:val="none"/>
        </w:rPr>
        <w:t>投标（响应）报价低于采购项目最高限价45%的，即投标（响应）报价&lt;采购项目最高限价×45%；</w:t>
      </w:r>
    </w:p>
    <w:p w14:paraId="200F81E5">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13.4</w:t>
      </w:r>
      <w:r>
        <w:rPr>
          <w:rFonts w:hint="eastAsia" w:ascii="宋体" w:hAnsi="宋体" w:eastAsia="宋体" w:cs="宋体"/>
          <w:b w:val="0"/>
          <w:bCs w:val="0"/>
          <w:color w:val="auto"/>
          <w:sz w:val="22"/>
          <w:szCs w:val="22"/>
          <w:highlight w:val="none"/>
        </w:rPr>
        <w:t>评审委员会基于专业判断，认为供应商报价过低，有可能影响产品质量或者不能诚信履约的其他情形。</w:t>
      </w:r>
    </w:p>
    <w:p w14:paraId="57A448A5">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相关法律法规对供应商报价有规定的，从其规定。</w:t>
      </w:r>
    </w:p>
    <w:p w14:paraId="3003DD1A">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val="0"/>
          <w:bCs w:val="0"/>
          <w:color w:val="auto"/>
          <w:sz w:val="22"/>
          <w:szCs w:val="22"/>
          <w:highlight w:val="none"/>
          <w:u w:val="none"/>
        </w:rPr>
        <w:t>其中，属于第3项情形，供应商已随投标（响应）文件一并提交相关书面说明及必要的证明材料的，在评审现场可不再重复提交。</w:t>
      </w:r>
    </w:p>
    <w:p w14:paraId="6D41B778">
      <w:pPr>
        <w:spacing w:line="460" w:lineRule="exact"/>
        <w:ind w:firstLine="759" w:firstLineChars="345"/>
        <w:rPr>
          <w:rFonts w:hint="eastAsia" w:ascii="宋体" w:hAnsi="宋体" w:cs="宋体"/>
          <w:color w:val="auto"/>
          <w:sz w:val="22"/>
          <w:szCs w:val="22"/>
          <w:highlight w:val="none"/>
        </w:rPr>
      </w:pPr>
      <w:r>
        <w:rPr>
          <w:rFonts w:hint="eastAsia" w:ascii="宋体" w:hAnsi="宋体" w:eastAsia="宋体" w:cs="宋体"/>
          <w:b w:val="0"/>
          <w:bCs w:val="0"/>
          <w:color w:val="auto"/>
          <w:sz w:val="22"/>
          <w:szCs w:val="2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2BDFD5">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、评审结果的修改</w:t>
      </w:r>
    </w:p>
    <w:p w14:paraId="782988E6">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.1评标结果汇总完成后，除下列情形外，任何人不得修改评标结果：</w:t>
      </w:r>
    </w:p>
    <w:p w14:paraId="32829BE4">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（1）分值汇总计算错误的；</w:t>
      </w:r>
    </w:p>
    <w:p w14:paraId="2C5A7F92">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（2）分项评分超出评分标准范围的；</w:t>
      </w:r>
    </w:p>
    <w:p w14:paraId="65934D2C">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（3）评标委员会成员对客观评审因素评分不一致的；</w:t>
      </w:r>
    </w:p>
    <w:p w14:paraId="333F1818">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（4）经评标委员会认定评分畸高、畸低的。</w:t>
      </w:r>
    </w:p>
    <w:p w14:paraId="3791726E">
      <w:pPr>
        <w:spacing w:line="460" w:lineRule="exact"/>
        <w:ind w:firstLine="759" w:firstLineChars="345"/>
        <w:rPr>
          <w:rFonts w:ascii="宋体" w:hAnsi="宋体" w:cs="宋体"/>
          <w:bCs/>
          <w:color w:val="auto"/>
          <w:highlight w:val="none"/>
        </w:rPr>
      </w:pP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val="en-US" w:eastAsia="zh-CN"/>
        </w:rPr>
        <w:t>4</w:t>
      </w:r>
      <w:r>
        <w:rPr>
          <w:rFonts w:hint="eastAsia" w:ascii="宋体" w:hAnsi="宋体" w:cs="宋体"/>
          <w:bCs/>
          <w:color w:val="auto"/>
          <w:sz w:val="22"/>
          <w:szCs w:val="22"/>
          <w:highlight w:val="none"/>
        </w:rPr>
        <w:t>.2书面评标报告签署前，经复核发现存在以上情形之一的，评标委员会将当场修改评标结果，并在评标报告中记载。</w:t>
      </w:r>
    </w:p>
    <w:p w14:paraId="3EEC3DE2">
      <w:pPr>
        <w:spacing w:line="460" w:lineRule="exact"/>
        <w:ind w:firstLine="759" w:firstLineChars="345"/>
        <w:rPr>
          <w:rFonts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2600AA58">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.1由评标委员会确定中标候选人。</w:t>
      </w:r>
    </w:p>
    <w:p w14:paraId="78210FAE">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27AE9154">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、确定中标人</w:t>
      </w:r>
    </w:p>
    <w:p w14:paraId="7C8DC64C">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15AB45C0">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78DE8AC1">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、起草、签署评审报告</w:t>
      </w:r>
    </w:p>
    <w:p w14:paraId="2B5914A7">
      <w:pPr>
        <w:spacing w:line="460" w:lineRule="exact"/>
        <w:ind w:firstLine="759" w:firstLineChars="345"/>
        <w:rPr>
          <w:rFonts w:ascii="宋体" w:hAnsi="宋体" w:cs="宋体"/>
          <w:b/>
          <w:bCs/>
          <w:color w:val="auto"/>
          <w:sz w:val="22"/>
          <w:szCs w:val="22"/>
          <w:highlight w:val="none"/>
        </w:rPr>
      </w:pPr>
      <w:r>
        <w:rPr>
          <w:rFonts w:hint="eastAsia" w:ascii="宋体" w:hAnsi="宋体" w:cs="宋体"/>
          <w:color w:val="auto"/>
          <w:sz w:val="22"/>
          <w:szCs w:val="22"/>
          <w:highlight w:val="none"/>
        </w:rPr>
        <w:t>评审结束后，评标委员会将通过“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”起草评审报告，评标委员会成员应当在评审报告上签字，对自己的评审意见承担法律责任。对评审报告有异议的，应当在评审报告上签署不同意见，并说明理由，否则视为同意评审报告。</w:t>
      </w:r>
    </w:p>
    <w:p w14:paraId="764190E2">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8</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中标人确定后，招标人将在政府指定媒体公告中标结果，</w:t>
      </w:r>
      <w:r>
        <w:rPr>
          <w:rFonts w:hint="eastAsia" w:ascii="宋体" w:hAnsi="宋体" w:cs="宋体"/>
          <w:bCs/>
          <w:color w:val="auto"/>
          <w:sz w:val="22"/>
          <w:szCs w:val="22"/>
          <w:highlight w:val="none"/>
          <w:lang w:val="en-US" w:eastAsia="zh-CN"/>
        </w:rPr>
        <w:t>采购代理机构</w:t>
      </w:r>
      <w:r>
        <w:rPr>
          <w:rFonts w:hint="eastAsia" w:ascii="宋体" w:hAnsi="宋体" w:cs="宋体"/>
          <w:color w:val="auto"/>
          <w:sz w:val="22"/>
          <w:szCs w:val="22"/>
          <w:highlight w:val="none"/>
        </w:rPr>
        <w:t>向中标人发出中标通知书。</w:t>
      </w:r>
    </w:p>
    <w:p w14:paraId="2DFABAA5">
      <w:pPr>
        <w:spacing w:line="460" w:lineRule="exact"/>
        <w:ind w:firstLine="759" w:firstLineChars="3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、招标人对决标结果不做任何解释，也不保证最低价中标。</w:t>
      </w:r>
    </w:p>
    <w:p w14:paraId="5479B302">
      <w:pPr>
        <w:spacing w:line="460" w:lineRule="exact"/>
        <w:ind w:firstLine="759" w:firstLineChars="345"/>
        <w:rPr>
          <w:rFonts w:ascii="宋体" w:hAnsi="宋体" w:cs="宋体"/>
          <w:b/>
          <w:color w:val="auto"/>
          <w:sz w:val="22"/>
          <w:szCs w:val="22"/>
          <w:highlight w:val="none"/>
        </w:rPr>
      </w:pP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、评标细则详见“评标原则及方法”。</w:t>
      </w:r>
    </w:p>
    <w:p w14:paraId="67295934">
      <w:pPr>
        <w:spacing w:before="100" w:beforeAutospacing="1" w:after="100" w:afterAutospacing="1" w:line="440" w:lineRule="exact"/>
        <w:jc w:val="center"/>
        <w:outlineLvl w:val="1"/>
        <w:rPr>
          <w:rFonts w:ascii="宋体" w:hAnsi="宋体" w:cs="宋体"/>
          <w:b/>
          <w:bCs/>
          <w:color w:val="auto"/>
          <w:sz w:val="26"/>
          <w:szCs w:val="26"/>
          <w:highlight w:val="none"/>
        </w:rPr>
      </w:pPr>
      <w:bookmarkStart w:id="24" w:name="_Toc21056"/>
      <w:bookmarkStart w:id="25" w:name="_Toc26836"/>
      <w:r>
        <w:rPr>
          <w:rFonts w:hint="eastAsia" w:ascii="宋体" w:hAnsi="宋体" w:cs="宋体"/>
          <w:b/>
          <w:bCs/>
          <w:color w:val="auto"/>
          <w:sz w:val="26"/>
          <w:szCs w:val="26"/>
          <w:highlight w:val="none"/>
        </w:rPr>
        <w:t>六、授予合同</w:t>
      </w:r>
      <w:bookmarkEnd w:id="24"/>
      <w:bookmarkEnd w:id="25"/>
    </w:p>
    <w:p w14:paraId="2BC11AD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1、中标通知书</w:t>
      </w:r>
    </w:p>
    <w:p w14:paraId="253DA3F6">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1.1中标人确定后，</w:t>
      </w:r>
      <w:r>
        <w:rPr>
          <w:rFonts w:hint="eastAsia" w:ascii="宋体" w:hAnsi="宋体" w:cs="宋体"/>
          <w:bCs/>
          <w:color w:val="auto"/>
          <w:sz w:val="22"/>
          <w:szCs w:val="22"/>
          <w:highlight w:val="none"/>
          <w:lang w:val="en-US" w:eastAsia="zh-CN"/>
        </w:rPr>
        <w:t>采购代理机构</w:t>
      </w:r>
      <w:r>
        <w:rPr>
          <w:rFonts w:hint="eastAsia" w:ascii="宋体" w:hAnsi="宋体" w:cs="宋体"/>
          <w:bCs/>
          <w:color w:val="auto"/>
          <w:sz w:val="22"/>
          <w:szCs w:val="22"/>
          <w:highlight w:val="none"/>
        </w:rPr>
        <w:t>将向中标人发出中标通知书。</w:t>
      </w:r>
    </w:p>
    <w:p w14:paraId="37C07AA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1.2中标通知书是合同的一个组成部分,对招标人和中标人均具有同等法律效力。</w:t>
      </w:r>
    </w:p>
    <w:p w14:paraId="48DD3C97">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2、授标时更改采购货物数量的权力</w:t>
      </w:r>
    </w:p>
    <w:p w14:paraId="3DCBC99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2.1招标人在授予合同时有权对采购货物的数量和服务在一定幅度范围内予以增加或减少,但不得对单价和其他的条款和条件作任何改变。</w:t>
      </w:r>
    </w:p>
    <w:p w14:paraId="5ACE4C94">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3、签订合同</w:t>
      </w:r>
    </w:p>
    <w:p w14:paraId="5090AFC6">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3.1中标人应按中标通知书规定的时间、地点与招标人签订合同。</w:t>
      </w:r>
    </w:p>
    <w:p w14:paraId="70A41560">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3.2</w:t>
      </w:r>
      <w:r>
        <w:rPr>
          <w:rFonts w:hint="eastAsia" w:ascii="宋体" w:hAnsi="宋体" w:cs="宋体"/>
          <w:bCs/>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5E3F08F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3.3招标文件、中标人的投标文件、投标修改文件、评标过程中有关澄清文件及经投标人和评委双方签字的询标纪要和中标通知书均作为合同附件。</w:t>
      </w:r>
    </w:p>
    <w:p w14:paraId="14DC4027">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3.4拒签合同的违约责任</w:t>
      </w:r>
    </w:p>
    <w:p w14:paraId="241B0A60">
      <w:pPr>
        <w:spacing w:line="460" w:lineRule="exact"/>
        <w:ind w:firstLine="568" w:firstLineChars="245"/>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中标人接到中标通知书后，在规定时间内借故否认已经承诺的条件而拒签合同的，以违约处理。</w:t>
      </w:r>
    </w:p>
    <w:p w14:paraId="406FF9A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4、质疑与投诉</w:t>
      </w:r>
    </w:p>
    <w:p w14:paraId="50AF66C5">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4.1投标人认为招标文件、采购过程、中标和成交结果使自己的合法权益受到损害的，可以在知道或应知道其权益受到损害之日起七个工作日内以书面形式向招标人或招标代理机构提出质疑。</w:t>
      </w:r>
    </w:p>
    <w:p w14:paraId="77DECA5E">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0137EB1F">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7F88F332">
      <w:pPr>
        <w:rPr>
          <w:rFonts w:ascii="宋体" w:hAnsi="宋体" w:cs="宋体"/>
          <w:color w:val="auto"/>
          <w:highlight w:val="none"/>
        </w:rPr>
      </w:pPr>
      <w:bookmarkStart w:id="26" w:name="_Toc28194"/>
      <w:bookmarkStart w:id="27" w:name="_Toc19043"/>
    </w:p>
    <w:p w14:paraId="1705122F">
      <w:pPr>
        <w:rPr>
          <w:rFonts w:ascii="宋体" w:hAnsi="宋体" w:cs="宋体"/>
          <w:color w:val="auto"/>
          <w:highlight w:val="none"/>
        </w:rPr>
      </w:pPr>
      <w:r>
        <w:rPr>
          <w:rFonts w:hint="eastAsia" w:ascii="宋体" w:hAnsi="宋体" w:cs="宋体"/>
          <w:color w:val="auto"/>
          <w:highlight w:val="none"/>
        </w:rPr>
        <w:br w:type="page"/>
      </w:r>
    </w:p>
    <w:p w14:paraId="04B6E190">
      <w:pPr>
        <w:pStyle w:val="5"/>
        <w:rPr>
          <w:rFonts w:ascii="宋体" w:hAnsi="宋体" w:eastAsia="宋体" w:cs="宋体"/>
          <w:color w:val="auto"/>
          <w:highlight w:val="none"/>
        </w:rPr>
      </w:pPr>
      <w:r>
        <w:rPr>
          <w:rFonts w:hint="eastAsia" w:ascii="宋体" w:hAnsi="宋体" w:eastAsia="宋体" w:cs="宋体"/>
          <w:color w:val="auto"/>
          <w:highlight w:val="none"/>
        </w:rPr>
        <w:t>第二部分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合同主要条款</w:t>
      </w:r>
      <w:bookmarkEnd w:id="26"/>
      <w:bookmarkEnd w:id="27"/>
    </w:p>
    <w:p w14:paraId="150E0DAB">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注：如甲、乙双方同意，合同格式也可以按照其他形式, 具体条款以甲方为主协商确定。但合同条款的基本内容应与以下要求的内容相一致。</w:t>
      </w:r>
    </w:p>
    <w:p w14:paraId="28559C97">
      <w:pPr>
        <w:spacing w:line="460" w:lineRule="exact"/>
        <w:rPr>
          <w:rFonts w:hint="eastAsia" w:ascii="新宋体" w:hAnsi="新宋体" w:eastAsia="新宋体" w:cs="新宋体"/>
          <w:color w:val="auto"/>
          <w:sz w:val="22"/>
          <w:szCs w:val="22"/>
          <w:highlight w:val="none"/>
        </w:rPr>
      </w:pPr>
    </w:p>
    <w:p w14:paraId="78FCE100">
      <w:pPr>
        <w:keepLines w:val="0"/>
        <w:pageBreakBefore w:val="0"/>
        <w:widowControl w:val="0"/>
        <w:kinsoku/>
        <w:wordWrap/>
        <w:overflowPunct/>
        <w:topLinePunct w:val="0"/>
        <w:autoSpaceDE/>
        <w:autoSpaceDN/>
        <w:bidi w:val="0"/>
        <w:adjustRightInd/>
        <w:snapToGrid/>
        <w:spacing w:before="131" w:line="4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bCs w:val="0"/>
          <w:color w:val="auto"/>
          <w:sz w:val="28"/>
          <w:szCs w:val="28"/>
          <w:highlight w:val="none"/>
          <w:u w:val="none"/>
          <w:lang w:val="en-US" w:eastAsia="zh-CN"/>
        </w:rPr>
        <w:t>医技检查预约平台项目</w:t>
      </w:r>
      <w:r>
        <w:rPr>
          <w:rFonts w:hint="eastAsia" w:ascii="宋体" w:hAnsi="宋体" w:eastAsia="宋体" w:cs="宋体"/>
          <w:b/>
          <w:color w:val="auto"/>
          <w:sz w:val="28"/>
          <w:szCs w:val="28"/>
          <w:highlight w:val="none"/>
        </w:rPr>
        <w:t>采购合同</w:t>
      </w:r>
    </w:p>
    <w:p w14:paraId="5C313477">
      <w:pPr>
        <w:pStyle w:val="23"/>
        <w:keepLines w:val="0"/>
        <w:pageBreakBefore w:val="0"/>
        <w:widowControl w:val="0"/>
        <w:kinsoku/>
        <w:wordWrap/>
        <w:overflowPunct/>
        <w:topLinePunct w:val="0"/>
        <w:autoSpaceDE/>
        <w:autoSpaceDN/>
        <w:bidi w:val="0"/>
        <w:adjustRightInd/>
        <w:snapToGrid/>
        <w:spacing w:before="1" w:line="460" w:lineRule="exact"/>
        <w:textAlignment w:val="auto"/>
        <w:rPr>
          <w:rFonts w:hint="eastAsia" w:ascii="宋体" w:hAnsi="宋体" w:eastAsia="宋体" w:cs="宋体"/>
          <w:b/>
          <w:color w:val="auto"/>
          <w:sz w:val="22"/>
          <w:szCs w:val="22"/>
          <w:highlight w:val="none"/>
        </w:rPr>
      </w:pPr>
    </w:p>
    <w:p w14:paraId="241004F7">
      <w:pPr>
        <w:keepLines w:val="0"/>
        <w:pageBreakBefore w:val="0"/>
        <w:widowControl w:val="0"/>
        <w:kinsoku/>
        <w:wordWrap/>
        <w:overflowPunct/>
        <w:topLinePunct w:val="0"/>
        <w:autoSpaceDE/>
        <w:autoSpaceDN/>
        <w:bidi w:val="0"/>
        <w:adjustRightInd/>
        <w:snapToGrid/>
        <w:spacing w:before="106" w:line="460" w:lineRule="exact"/>
        <w:ind w:left="105"/>
        <w:jc w:val="right"/>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color w:val="auto"/>
          <w:w w:val="95"/>
          <w:sz w:val="22"/>
          <w:szCs w:val="22"/>
          <w:highlight w:val="none"/>
        </w:rPr>
        <w:t>合同编号：</w:t>
      </w:r>
      <w:r>
        <w:rPr>
          <w:rFonts w:hint="eastAsia" w:ascii="宋体" w:hAnsi="宋体" w:eastAsia="宋体" w:cs="宋体"/>
          <w:color w:val="auto"/>
          <w:w w:val="95"/>
          <w:sz w:val="22"/>
          <w:szCs w:val="22"/>
          <w:highlight w:val="none"/>
          <w:lang w:val="en-US" w:eastAsia="zh-CN"/>
        </w:rPr>
        <w:t>XX</w:t>
      </w:r>
    </w:p>
    <w:p w14:paraId="471AB5B1">
      <w:pPr>
        <w:keepLines w:val="0"/>
        <w:pageBreakBefore w:val="0"/>
        <w:widowControl w:val="0"/>
        <w:kinsoku/>
        <w:wordWrap/>
        <w:overflowPunct/>
        <w:topLinePunct w:val="0"/>
        <w:autoSpaceDE/>
        <w:autoSpaceDN/>
        <w:bidi w:val="0"/>
        <w:adjustRightInd/>
        <w:snapToGrid/>
        <w:spacing w:before="107" w:line="460" w:lineRule="exact"/>
        <w:ind w:left="105"/>
        <w:textAlignment w:val="auto"/>
        <w:rPr>
          <w:rFonts w:hint="eastAsia" w:ascii="宋体" w:hAnsi="宋体" w:eastAsia="宋体" w:cs="宋体"/>
          <w:b/>
          <w:color w:val="auto"/>
          <w:sz w:val="22"/>
          <w:szCs w:val="22"/>
          <w:highlight w:val="none"/>
        </w:rPr>
      </w:pPr>
    </w:p>
    <w:p w14:paraId="47DCFBF4">
      <w:pPr>
        <w:keepLines w:val="0"/>
        <w:pageBreakBefore w:val="0"/>
        <w:widowControl w:val="0"/>
        <w:kinsoku/>
        <w:wordWrap/>
        <w:overflowPunct/>
        <w:topLinePunct w:val="0"/>
        <w:autoSpaceDE/>
        <w:autoSpaceDN/>
        <w:bidi w:val="0"/>
        <w:adjustRightInd/>
        <w:snapToGrid/>
        <w:spacing w:before="107" w:line="460" w:lineRule="exact"/>
        <w:ind w:left="105"/>
        <w:textAlignment w:val="auto"/>
        <w:rPr>
          <w:rFonts w:hint="eastAsia" w:ascii="宋体" w:hAnsi="宋体" w:eastAsia="宋体" w:cs="宋体"/>
          <w:b w:val="0"/>
          <w:bCs/>
          <w:color w:val="auto"/>
          <w:sz w:val="22"/>
          <w:szCs w:val="22"/>
          <w:highlight w:val="none"/>
        </w:rPr>
      </w:pPr>
      <w:r>
        <w:rPr>
          <w:rFonts w:hint="eastAsia" w:ascii="宋体" w:hAnsi="宋体" w:eastAsia="宋体" w:cs="宋体"/>
          <w:b/>
          <w:color w:val="auto"/>
          <w:sz w:val="22"/>
          <w:szCs w:val="22"/>
          <w:highlight w:val="none"/>
        </w:rPr>
        <w:t>甲方（采购单位）：</w:t>
      </w:r>
      <w:r>
        <w:rPr>
          <w:rFonts w:hint="eastAsia" w:ascii="宋体" w:hAnsi="宋体" w:eastAsia="宋体" w:cs="宋体"/>
          <w:b w:val="0"/>
          <w:bCs/>
          <w:color w:val="auto"/>
          <w:sz w:val="22"/>
          <w:szCs w:val="22"/>
          <w:highlight w:val="none"/>
        </w:rPr>
        <w:t>温州市中医院</w:t>
      </w:r>
    </w:p>
    <w:p w14:paraId="57F244B4">
      <w:pPr>
        <w:keepLines w:val="0"/>
        <w:pageBreakBefore w:val="0"/>
        <w:widowControl w:val="0"/>
        <w:kinsoku/>
        <w:wordWrap/>
        <w:overflowPunct/>
        <w:topLinePunct w:val="0"/>
        <w:autoSpaceDE/>
        <w:autoSpaceDN/>
        <w:bidi w:val="0"/>
        <w:adjustRightInd/>
        <w:snapToGrid/>
        <w:spacing w:before="107" w:line="460" w:lineRule="exact"/>
        <w:ind w:left="105"/>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乙方（供应商）：</w:t>
      </w:r>
      <w:r>
        <w:rPr>
          <w:rFonts w:hint="eastAsia" w:ascii="宋体" w:hAnsi="宋体" w:eastAsia="宋体" w:cs="宋体"/>
          <w:b/>
          <w:color w:val="auto"/>
          <w:sz w:val="22"/>
          <w:szCs w:val="22"/>
          <w:highlight w:val="none"/>
          <w:lang w:val="en-US" w:eastAsia="zh-CN"/>
        </w:rPr>
        <w:tab/>
      </w:r>
      <w:r>
        <w:rPr>
          <w:rFonts w:hint="eastAsia" w:ascii="宋体" w:hAnsi="宋体" w:eastAsia="宋体" w:cs="宋体"/>
          <w:b w:val="0"/>
          <w:bCs/>
          <w:color w:val="auto"/>
          <w:sz w:val="22"/>
          <w:szCs w:val="22"/>
          <w:highlight w:val="none"/>
          <w:lang w:val="en-US" w:eastAsia="zh-CN"/>
        </w:rPr>
        <w:t>XX</w:t>
      </w:r>
      <w:r>
        <w:rPr>
          <w:rFonts w:hint="eastAsia" w:ascii="宋体" w:hAnsi="宋体" w:eastAsia="宋体" w:cs="宋体"/>
          <w:b w:val="0"/>
          <w:bCs/>
          <w:color w:val="auto"/>
          <w:sz w:val="22"/>
          <w:szCs w:val="22"/>
          <w:highlight w:val="none"/>
          <w:lang w:val="en-US" w:eastAsia="zh-CN"/>
        </w:rPr>
        <w:tab/>
      </w:r>
    </w:p>
    <w:p w14:paraId="666F7599">
      <w:pPr>
        <w:keepLines w:val="0"/>
        <w:pageBreakBefore w:val="0"/>
        <w:widowControl w:val="0"/>
        <w:kinsoku/>
        <w:wordWrap/>
        <w:overflowPunct/>
        <w:topLinePunct w:val="0"/>
        <w:autoSpaceDE/>
        <w:autoSpaceDN/>
        <w:bidi w:val="0"/>
        <w:adjustRightInd/>
        <w:snapToGrid/>
        <w:spacing w:line="460" w:lineRule="exact"/>
        <w:ind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鉴于甲方</w:t>
      </w:r>
      <w:r>
        <w:rPr>
          <w:rFonts w:hint="eastAsia" w:ascii="宋体" w:hAnsi="宋体" w:eastAsia="宋体" w:cs="宋体"/>
          <w:color w:val="auto"/>
          <w:sz w:val="22"/>
          <w:szCs w:val="22"/>
          <w:highlight w:val="none"/>
          <w:lang w:val="en-US" w:eastAsia="zh-CN"/>
        </w:rPr>
        <w:t xml:space="preserve"> X年X月X日 </w:t>
      </w:r>
      <w:r>
        <w:rPr>
          <w:rFonts w:hint="eastAsia" w:ascii="宋体" w:hAnsi="宋体" w:eastAsia="宋体" w:cs="宋体"/>
          <w:color w:val="auto"/>
          <w:sz w:val="22"/>
          <w:szCs w:val="22"/>
          <w:highlight w:val="none"/>
        </w:rPr>
        <w:t>接受乙方对</w:t>
      </w:r>
      <w:r>
        <w:rPr>
          <w:rFonts w:hint="eastAsia" w:ascii="宋体" w:hAnsi="宋体" w:eastAsia="宋体" w:cs="宋体"/>
          <w:color w:val="auto"/>
          <w:sz w:val="22"/>
          <w:szCs w:val="22"/>
          <w:highlight w:val="none"/>
          <w:lang w:val="en-US" w:eastAsia="zh-CN"/>
        </w:rPr>
        <w:t xml:space="preserve"> XX</w:t>
      </w:r>
      <w:r>
        <w:rPr>
          <w:rFonts w:hint="eastAsia" w:ascii="宋体" w:hAnsi="宋体" w:eastAsia="宋体" w:cs="宋体"/>
          <w:b/>
          <w:bCs/>
          <w:color w:val="auto"/>
          <w:sz w:val="22"/>
          <w:szCs w:val="22"/>
          <w:highlight w:val="none"/>
          <w:u w:val="single"/>
          <w:lang w:val="en-US" w:eastAsia="zh-CN"/>
        </w:rPr>
        <w:t>项目</w:t>
      </w:r>
      <w:r>
        <w:rPr>
          <w:rFonts w:hint="eastAsia" w:ascii="宋体" w:hAnsi="宋体" w:eastAsia="宋体" w:cs="宋体"/>
          <w:color w:val="auto"/>
          <w:sz w:val="22"/>
          <w:szCs w:val="22"/>
          <w:highlight w:val="none"/>
        </w:rPr>
        <w:t>（招标编号</w:t>
      </w:r>
      <w:r>
        <w:rPr>
          <w:rFonts w:hint="eastAsia" w:ascii="宋体" w:hAnsi="宋体" w:eastAsia="宋体" w:cs="宋体"/>
          <w:color w:val="auto"/>
          <w:sz w:val="22"/>
          <w:szCs w:val="22"/>
          <w:highlight w:val="none"/>
          <w:lang w:val="en-US" w:eastAsia="zh-CN"/>
        </w:rPr>
        <w:t>XXX</w:t>
      </w:r>
      <w:r>
        <w:rPr>
          <w:rFonts w:hint="eastAsia" w:ascii="宋体" w:hAnsi="宋体" w:eastAsia="宋体" w:cs="宋体"/>
          <w:color w:val="auto"/>
          <w:sz w:val="22"/>
          <w:szCs w:val="22"/>
          <w:highlight w:val="none"/>
        </w:rPr>
        <w:t>）的投标，双方根据《中华人民共和国</w:t>
      </w:r>
      <w:r>
        <w:rPr>
          <w:rFonts w:hint="eastAsia" w:ascii="宋体" w:hAnsi="宋体" w:eastAsia="宋体" w:cs="宋体"/>
          <w:color w:val="auto"/>
          <w:sz w:val="22"/>
          <w:szCs w:val="22"/>
          <w:highlight w:val="none"/>
          <w:lang w:eastAsia="zh-CN"/>
        </w:rPr>
        <w:t>民法典</w:t>
      </w:r>
      <w:r>
        <w:rPr>
          <w:rFonts w:hint="eastAsia" w:ascii="宋体" w:hAnsi="宋体" w:eastAsia="宋体" w:cs="宋体"/>
          <w:color w:val="auto"/>
          <w:sz w:val="22"/>
          <w:szCs w:val="22"/>
          <w:highlight w:val="none"/>
        </w:rPr>
        <w:t>》等</w:t>
      </w:r>
      <w:r>
        <w:rPr>
          <w:rFonts w:hint="eastAsia" w:ascii="宋体" w:hAnsi="宋体" w:eastAsia="宋体" w:cs="宋体"/>
          <w:color w:val="auto"/>
          <w:sz w:val="22"/>
          <w:szCs w:val="22"/>
          <w:highlight w:val="none"/>
          <w:lang w:eastAsia="zh-CN"/>
        </w:rPr>
        <w:t>法律</w:t>
      </w:r>
      <w:r>
        <w:rPr>
          <w:rFonts w:hint="eastAsia" w:ascii="宋体" w:hAnsi="宋体" w:eastAsia="宋体" w:cs="宋体"/>
          <w:color w:val="auto"/>
          <w:sz w:val="22"/>
          <w:szCs w:val="22"/>
          <w:highlight w:val="none"/>
        </w:rPr>
        <w:t>法规，本着双方友好互利的原则，经双方协商，同意签订本合同，双方共同遵守。</w:t>
      </w:r>
    </w:p>
    <w:p w14:paraId="07051D41">
      <w:pPr>
        <w:pStyle w:val="6"/>
        <w:keepLines w:val="0"/>
        <w:pageBreakBefore w:val="0"/>
        <w:widowControl w:val="0"/>
        <w:kinsoku/>
        <w:wordWrap/>
        <w:overflowPunct/>
        <w:topLinePunct w:val="0"/>
        <w:autoSpaceDE/>
        <w:autoSpaceDN/>
        <w:bidi w:val="0"/>
        <w:adjustRightInd/>
        <w:snapToGrid/>
        <w:spacing w:before="84" w:after="13"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一、货物内容及合同价格</w:t>
      </w:r>
    </w:p>
    <w:tbl>
      <w:tblPr>
        <w:tblStyle w:val="54"/>
        <w:tblW w:w="9463" w:type="dxa"/>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1"/>
        <w:gridCol w:w="787"/>
        <w:gridCol w:w="1970"/>
        <w:gridCol w:w="1933"/>
        <w:gridCol w:w="947"/>
        <w:gridCol w:w="2255"/>
      </w:tblGrid>
      <w:tr w14:paraId="4AFC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571" w:type="dxa"/>
            <w:vAlign w:val="center"/>
          </w:tcPr>
          <w:p w14:paraId="31E6F3FD">
            <w:pPr>
              <w:pStyle w:val="349"/>
              <w:keepLines w:val="0"/>
              <w:pageBreakBefore w:val="0"/>
              <w:widowControl w:val="0"/>
              <w:kinsoku/>
              <w:wordWrap/>
              <w:overflowPunct/>
              <w:topLinePunct w:val="0"/>
              <w:autoSpaceDE/>
              <w:autoSpaceDN/>
              <w:bidi w:val="0"/>
              <w:adjustRightInd/>
              <w:snapToGrid/>
              <w:spacing w:before="116" w:line="4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货物名称</w:t>
            </w:r>
          </w:p>
        </w:tc>
        <w:tc>
          <w:tcPr>
            <w:tcW w:w="787" w:type="dxa"/>
            <w:vAlign w:val="center"/>
          </w:tcPr>
          <w:p w14:paraId="3035BEE2">
            <w:pPr>
              <w:pStyle w:val="349"/>
              <w:keepLines w:val="0"/>
              <w:pageBreakBefore w:val="0"/>
              <w:widowControl w:val="0"/>
              <w:kinsoku/>
              <w:wordWrap/>
              <w:overflowPunct/>
              <w:topLinePunct w:val="0"/>
              <w:autoSpaceDE/>
              <w:autoSpaceDN/>
              <w:bidi w:val="0"/>
              <w:adjustRightInd/>
              <w:snapToGrid/>
              <w:spacing w:before="116" w:line="460" w:lineRule="exact"/>
              <w:ind w:right="276"/>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1970" w:type="dxa"/>
            <w:vAlign w:val="center"/>
          </w:tcPr>
          <w:p w14:paraId="13166F2F">
            <w:pPr>
              <w:pStyle w:val="349"/>
              <w:keepLines w:val="0"/>
              <w:pageBreakBefore w:val="0"/>
              <w:widowControl w:val="0"/>
              <w:kinsoku/>
              <w:wordWrap/>
              <w:overflowPunct/>
              <w:topLinePunct w:val="0"/>
              <w:autoSpaceDE/>
              <w:autoSpaceDN/>
              <w:bidi w:val="0"/>
              <w:adjustRightInd/>
              <w:snapToGrid/>
              <w:spacing w:before="116" w:line="460" w:lineRule="exact"/>
              <w:ind w:right="276"/>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tc>
        <w:tc>
          <w:tcPr>
            <w:tcW w:w="1933" w:type="dxa"/>
            <w:vAlign w:val="center"/>
          </w:tcPr>
          <w:p w14:paraId="4B57F545">
            <w:pPr>
              <w:pStyle w:val="349"/>
              <w:keepLines w:val="0"/>
              <w:pageBreakBefore w:val="0"/>
              <w:widowControl w:val="0"/>
              <w:kinsoku/>
              <w:wordWrap/>
              <w:overflowPunct/>
              <w:topLinePunct w:val="0"/>
              <w:autoSpaceDE/>
              <w:autoSpaceDN/>
              <w:bidi w:val="0"/>
              <w:adjustRightInd/>
              <w:snapToGrid/>
              <w:spacing w:before="116" w:line="460" w:lineRule="exact"/>
              <w:ind w:right="1392"/>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配置</w:t>
            </w:r>
          </w:p>
        </w:tc>
        <w:tc>
          <w:tcPr>
            <w:tcW w:w="947" w:type="dxa"/>
            <w:vAlign w:val="center"/>
          </w:tcPr>
          <w:p w14:paraId="0772B93B">
            <w:pPr>
              <w:pStyle w:val="349"/>
              <w:keepLines w:val="0"/>
              <w:pageBreakBefore w:val="0"/>
              <w:widowControl w:val="0"/>
              <w:kinsoku/>
              <w:wordWrap/>
              <w:overflowPunct/>
              <w:topLinePunct w:val="0"/>
              <w:autoSpaceDE/>
              <w:autoSpaceDN/>
              <w:bidi w:val="0"/>
              <w:adjustRightInd/>
              <w:snapToGrid/>
              <w:spacing w:before="116" w:line="460" w:lineRule="exact"/>
              <w:ind w:left="71" w:right="61"/>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2255" w:type="dxa"/>
            <w:vAlign w:val="center"/>
          </w:tcPr>
          <w:p w14:paraId="52F0E06A">
            <w:pPr>
              <w:pStyle w:val="349"/>
              <w:keepLines w:val="0"/>
              <w:pageBreakBefore w:val="0"/>
              <w:widowControl w:val="0"/>
              <w:kinsoku/>
              <w:wordWrap/>
              <w:overflowPunct/>
              <w:topLinePunct w:val="0"/>
              <w:autoSpaceDE/>
              <w:autoSpaceDN/>
              <w:bidi w:val="0"/>
              <w:adjustRightInd/>
              <w:snapToGrid/>
              <w:spacing w:before="116" w:line="460" w:lineRule="exact"/>
              <w:ind w:left="71" w:right="62"/>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r>
      <w:tr w14:paraId="1572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1571" w:type="dxa"/>
            <w:vAlign w:val="center"/>
          </w:tcPr>
          <w:p w14:paraId="006C14DA">
            <w:pPr>
              <w:pStyle w:val="349"/>
              <w:keepLines w:val="0"/>
              <w:pageBreakBefore w:val="0"/>
              <w:widowControl w:val="0"/>
              <w:kinsoku/>
              <w:wordWrap/>
              <w:overflowPunct/>
              <w:topLinePunct w:val="0"/>
              <w:autoSpaceDE/>
              <w:autoSpaceDN/>
              <w:bidi w:val="0"/>
              <w:adjustRightInd/>
              <w:snapToGrid/>
              <w:spacing w:before="116" w:line="460" w:lineRule="exact"/>
              <w:jc w:val="both"/>
              <w:textAlignment w:val="auto"/>
              <w:rPr>
                <w:rFonts w:hint="eastAsia" w:ascii="宋体" w:hAnsi="宋体" w:eastAsia="宋体" w:cs="宋体"/>
                <w:color w:val="auto"/>
                <w:sz w:val="22"/>
                <w:szCs w:val="22"/>
                <w:highlight w:val="none"/>
              </w:rPr>
            </w:pPr>
          </w:p>
        </w:tc>
        <w:tc>
          <w:tcPr>
            <w:tcW w:w="787" w:type="dxa"/>
            <w:vAlign w:val="center"/>
          </w:tcPr>
          <w:p w14:paraId="56FF864F">
            <w:pPr>
              <w:pStyle w:val="349"/>
              <w:keepLines w:val="0"/>
              <w:pageBreakBefore w:val="0"/>
              <w:widowControl w:val="0"/>
              <w:kinsoku/>
              <w:wordWrap/>
              <w:overflowPunct/>
              <w:topLinePunct w:val="0"/>
              <w:autoSpaceDE/>
              <w:autoSpaceDN/>
              <w:bidi w:val="0"/>
              <w:adjustRightInd/>
              <w:snapToGrid/>
              <w:spacing w:before="116" w:line="460" w:lineRule="exact"/>
              <w:ind w:firstLine="0" w:firstLineChars="0"/>
              <w:jc w:val="center"/>
              <w:textAlignment w:val="auto"/>
              <w:rPr>
                <w:rFonts w:hint="eastAsia" w:ascii="宋体" w:hAnsi="宋体" w:eastAsia="宋体" w:cs="宋体"/>
                <w:color w:val="auto"/>
                <w:sz w:val="22"/>
                <w:szCs w:val="22"/>
                <w:highlight w:val="none"/>
                <w:lang w:val="en-US" w:eastAsia="zh-CN"/>
              </w:rPr>
            </w:pPr>
          </w:p>
        </w:tc>
        <w:tc>
          <w:tcPr>
            <w:tcW w:w="1970" w:type="dxa"/>
            <w:vAlign w:val="center"/>
          </w:tcPr>
          <w:p w14:paraId="060D9A5E">
            <w:pPr>
              <w:pStyle w:val="349"/>
              <w:keepLines w:val="0"/>
              <w:pageBreakBefore w:val="0"/>
              <w:widowControl w:val="0"/>
              <w:kinsoku/>
              <w:wordWrap/>
              <w:overflowPunct/>
              <w:topLinePunct w:val="0"/>
              <w:autoSpaceDE/>
              <w:autoSpaceDN/>
              <w:bidi w:val="0"/>
              <w:adjustRightInd/>
              <w:snapToGrid/>
              <w:spacing w:before="116" w:line="460" w:lineRule="exact"/>
              <w:ind w:firstLine="0" w:firstLineChars="0"/>
              <w:jc w:val="center"/>
              <w:textAlignment w:val="auto"/>
              <w:rPr>
                <w:rFonts w:hint="eastAsia" w:ascii="宋体" w:hAnsi="宋体" w:eastAsia="宋体" w:cs="宋体"/>
                <w:color w:val="auto"/>
                <w:sz w:val="22"/>
                <w:szCs w:val="22"/>
                <w:highlight w:val="none"/>
              </w:rPr>
            </w:pPr>
          </w:p>
        </w:tc>
        <w:tc>
          <w:tcPr>
            <w:tcW w:w="1933" w:type="dxa"/>
            <w:vAlign w:val="center"/>
          </w:tcPr>
          <w:p w14:paraId="28CD2C0C">
            <w:pPr>
              <w:pStyle w:val="349"/>
              <w:keepLines w:val="0"/>
              <w:pageBreakBefore w:val="0"/>
              <w:widowControl w:val="0"/>
              <w:kinsoku/>
              <w:wordWrap/>
              <w:overflowPunct/>
              <w:topLinePunct w:val="0"/>
              <w:autoSpaceDE/>
              <w:autoSpaceDN/>
              <w:bidi w:val="0"/>
              <w:adjustRightInd/>
              <w:snapToGrid/>
              <w:spacing w:before="116" w:line="460" w:lineRule="exact"/>
              <w:jc w:val="center"/>
              <w:textAlignment w:val="auto"/>
              <w:rPr>
                <w:rFonts w:hint="eastAsia" w:ascii="宋体" w:hAnsi="宋体" w:eastAsia="宋体" w:cs="宋体"/>
                <w:color w:val="auto"/>
                <w:sz w:val="22"/>
                <w:szCs w:val="22"/>
                <w:highlight w:val="none"/>
              </w:rPr>
            </w:pPr>
          </w:p>
        </w:tc>
        <w:tc>
          <w:tcPr>
            <w:tcW w:w="947" w:type="dxa"/>
            <w:vAlign w:val="center"/>
          </w:tcPr>
          <w:p w14:paraId="2AB586C6">
            <w:pPr>
              <w:pStyle w:val="349"/>
              <w:keepLines w:val="0"/>
              <w:pageBreakBefore w:val="0"/>
              <w:widowControl w:val="0"/>
              <w:kinsoku/>
              <w:wordWrap/>
              <w:overflowPunct/>
              <w:topLinePunct w:val="0"/>
              <w:autoSpaceDE/>
              <w:autoSpaceDN/>
              <w:bidi w:val="0"/>
              <w:adjustRightInd/>
              <w:snapToGrid/>
              <w:spacing w:before="116" w:line="460" w:lineRule="exact"/>
              <w:jc w:val="center"/>
              <w:textAlignment w:val="auto"/>
              <w:rPr>
                <w:rFonts w:hint="eastAsia" w:ascii="宋体" w:hAnsi="宋体" w:eastAsia="宋体" w:cs="宋体"/>
                <w:color w:val="auto"/>
                <w:sz w:val="22"/>
                <w:szCs w:val="22"/>
                <w:highlight w:val="none"/>
                <w:lang w:val="en-US" w:eastAsia="zh-CN"/>
              </w:rPr>
            </w:pPr>
          </w:p>
        </w:tc>
        <w:tc>
          <w:tcPr>
            <w:tcW w:w="2255" w:type="dxa"/>
            <w:vAlign w:val="center"/>
          </w:tcPr>
          <w:p w14:paraId="2A70AD79">
            <w:pPr>
              <w:pStyle w:val="349"/>
              <w:keepLines w:val="0"/>
              <w:pageBreakBefore w:val="0"/>
              <w:widowControl w:val="0"/>
              <w:kinsoku/>
              <w:wordWrap/>
              <w:overflowPunct/>
              <w:topLinePunct w:val="0"/>
              <w:autoSpaceDE/>
              <w:autoSpaceDN/>
              <w:bidi w:val="0"/>
              <w:adjustRightInd/>
              <w:snapToGrid/>
              <w:spacing w:before="116" w:line="460" w:lineRule="exact"/>
              <w:jc w:val="center"/>
              <w:textAlignment w:val="auto"/>
              <w:rPr>
                <w:rFonts w:hint="eastAsia" w:ascii="宋体" w:hAnsi="宋体" w:eastAsia="宋体" w:cs="宋体"/>
                <w:color w:val="auto"/>
                <w:sz w:val="22"/>
                <w:szCs w:val="22"/>
                <w:highlight w:val="none"/>
                <w:lang w:val="en-US" w:eastAsia="zh-CN"/>
              </w:rPr>
            </w:pPr>
          </w:p>
        </w:tc>
      </w:tr>
      <w:tr w14:paraId="3EFE6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571" w:type="dxa"/>
            <w:vAlign w:val="center"/>
          </w:tcPr>
          <w:p w14:paraId="500C1CBC">
            <w:pPr>
              <w:pStyle w:val="349"/>
              <w:keepLines w:val="0"/>
              <w:pageBreakBefore w:val="0"/>
              <w:widowControl w:val="0"/>
              <w:kinsoku/>
              <w:wordWrap/>
              <w:overflowPunct/>
              <w:topLinePunct w:val="0"/>
              <w:autoSpaceDE/>
              <w:autoSpaceDN/>
              <w:bidi w:val="0"/>
              <w:adjustRightInd/>
              <w:snapToGrid/>
              <w:spacing w:before="116" w:line="460" w:lineRule="exact"/>
              <w:jc w:val="both"/>
              <w:textAlignment w:val="auto"/>
              <w:rPr>
                <w:rFonts w:hint="eastAsia" w:ascii="宋体" w:hAnsi="宋体" w:eastAsia="宋体" w:cs="宋体"/>
                <w:color w:val="auto"/>
                <w:sz w:val="22"/>
                <w:szCs w:val="22"/>
                <w:highlight w:val="none"/>
              </w:rPr>
            </w:pPr>
          </w:p>
        </w:tc>
        <w:tc>
          <w:tcPr>
            <w:tcW w:w="787" w:type="dxa"/>
            <w:vAlign w:val="center"/>
          </w:tcPr>
          <w:p w14:paraId="15644F80">
            <w:pPr>
              <w:pStyle w:val="349"/>
              <w:keepLines w:val="0"/>
              <w:pageBreakBefore w:val="0"/>
              <w:widowControl w:val="0"/>
              <w:kinsoku/>
              <w:wordWrap/>
              <w:overflowPunct/>
              <w:topLinePunct w:val="0"/>
              <w:autoSpaceDE/>
              <w:autoSpaceDN/>
              <w:bidi w:val="0"/>
              <w:adjustRightInd/>
              <w:snapToGrid/>
              <w:spacing w:before="116" w:line="460" w:lineRule="exact"/>
              <w:ind w:firstLine="220" w:firstLineChars="100"/>
              <w:jc w:val="both"/>
              <w:textAlignment w:val="auto"/>
              <w:rPr>
                <w:rFonts w:hint="eastAsia" w:ascii="宋体" w:hAnsi="宋体" w:eastAsia="宋体" w:cs="宋体"/>
                <w:color w:val="auto"/>
                <w:sz w:val="22"/>
                <w:szCs w:val="22"/>
                <w:highlight w:val="none"/>
                <w:lang w:val="en-US" w:eastAsia="zh-CN"/>
              </w:rPr>
            </w:pPr>
          </w:p>
        </w:tc>
        <w:tc>
          <w:tcPr>
            <w:tcW w:w="1970" w:type="dxa"/>
            <w:vAlign w:val="center"/>
          </w:tcPr>
          <w:p w14:paraId="42A7AAF7">
            <w:pPr>
              <w:pStyle w:val="349"/>
              <w:keepLines w:val="0"/>
              <w:pageBreakBefore w:val="0"/>
              <w:widowControl w:val="0"/>
              <w:kinsoku/>
              <w:wordWrap/>
              <w:overflowPunct/>
              <w:topLinePunct w:val="0"/>
              <w:autoSpaceDE/>
              <w:autoSpaceDN/>
              <w:bidi w:val="0"/>
              <w:adjustRightInd/>
              <w:snapToGrid/>
              <w:spacing w:before="116" w:line="460" w:lineRule="exact"/>
              <w:ind w:firstLine="220" w:firstLineChars="100"/>
              <w:jc w:val="both"/>
              <w:textAlignment w:val="auto"/>
              <w:rPr>
                <w:rFonts w:hint="eastAsia" w:ascii="宋体" w:hAnsi="宋体" w:eastAsia="宋体" w:cs="宋体"/>
                <w:color w:val="auto"/>
                <w:sz w:val="22"/>
                <w:szCs w:val="22"/>
                <w:highlight w:val="none"/>
                <w:lang w:eastAsia="zh-CN"/>
              </w:rPr>
            </w:pPr>
          </w:p>
        </w:tc>
        <w:tc>
          <w:tcPr>
            <w:tcW w:w="1933" w:type="dxa"/>
            <w:vAlign w:val="center"/>
          </w:tcPr>
          <w:p w14:paraId="5B3592FA">
            <w:pPr>
              <w:pStyle w:val="349"/>
              <w:keepLines w:val="0"/>
              <w:pageBreakBefore w:val="0"/>
              <w:widowControl w:val="0"/>
              <w:kinsoku/>
              <w:wordWrap/>
              <w:overflowPunct/>
              <w:topLinePunct w:val="0"/>
              <w:autoSpaceDE/>
              <w:autoSpaceDN/>
              <w:bidi w:val="0"/>
              <w:adjustRightInd/>
              <w:snapToGrid/>
              <w:spacing w:before="116" w:line="460" w:lineRule="exact"/>
              <w:jc w:val="center"/>
              <w:textAlignment w:val="auto"/>
              <w:rPr>
                <w:rFonts w:hint="eastAsia" w:ascii="宋体" w:hAnsi="宋体" w:eastAsia="宋体" w:cs="宋体"/>
                <w:color w:val="auto"/>
                <w:sz w:val="22"/>
                <w:szCs w:val="22"/>
                <w:highlight w:val="none"/>
              </w:rPr>
            </w:pPr>
          </w:p>
        </w:tc>
        <w:tc>
          <w:tcPr>
            <w:tcW w:w="947" w:type="dxa"/>
            <w:vAlign w:val="center"/>
          </w:tcPr>
          <w:p w14:paraId="75C9EB5B">
            <w:pPr>
              <w:pStyle w:val="349"/>
              <w:keepLines w:val="0"/>
              <w:pageBreakBefore w:val="0"/>
              <w:widowControl w:val="0"/>
              <w:kinsoku/>
              <w:wordWrap/>
              <w:overflowPunct/>
              <w:topLinePunct w:val="0"/>
              <w:autoSpaceDE/>
              <w:autoSpaceDN/>
              <w:bidi w:val="0"/>
              <w:adjustRightInd/>
              <w:snapToGrid/>
              <w:spacing w:before="116" w:line="460" w:lineRule="exact"/>
              <w:jc w:val="center"/>
              <w:textAlignment w:val="auto"/>
              <w:rPr>
                <w:rFonts w:hint="eastAsia" w:ascii="宋体" w:hAnsi="宋体" w:eastAsia="宋体" w:cs="宋体"/>
                <w:color w:val="auto"/>
                <w:sz w:val="22"/>
                <w:szCs w:val="22"/>
                <w:highlight w:val="none"/>
                <w:lang w:val="en-US" w:eastAsia="zh-CN"/>
              </w:rPr>
            </w:pPr>
          </w:p>
        </w:tc>
        <w:tc>
          <w:tcPr>
            <w:tcW w:w="2255" w:type="dxa"/>
            <w:vAlign w:val="center"/>
          </w:tcPr>
          <w:p w14:paraId="626B9033">
            <w:pPr>
              <w:pStyle w:val="349"/>
              <w:keepLines w:val="0"/>
              <w:pageBreakBefore w:val="0"/>
              <w:widowControl w:val="0"/>
              <w:kinsoku/>
              <w:wordWrap/>
              <w:overflowPunct/>
              <w:topLinePunct w:val="0"/>
              <w:autoSpaceDE/>
              <w:autoSpaceDN/>
              <w:bidi w:val="0"/>
              <w:adjustRightInd/>
              <w:snapToGrid/>
              <w:spacing w:before="116" w:line="460" w:lineRule="exact"/>
              <w:jc w:val="center"/>
              <w:textAlignment w:val="auto"/>
              <w:rPr>
                <w:rFonts w:hint="eastAsia" w:ascii="宋体" w:hAnsi="宋体" w:eastAsia="宋体" w:cs="宋体"/>
                <w:color w:val="auto"/>
                <w:sz w:val="22"/>
                <w:szCs w:val="22"/>
                <w:highlight w:val="none"/>
                <w:lang w:val="en-US" w:eastAsia="zh-CN"/>
              </w:rPr>
            </w:pPr>
          </w:p>
        </w:tc>
      </w:tr>
      <w:tr w14:paraId="5BAC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9463" w:type="dxa"/>
            <w:gridSpan w:val="6"/>
          </w:tcPr>
          <w:p w14:paraId="2F34CF21">
            <w:pPr>
              <w:pStyle w:val="349"/>
              <w:keepLines w:val="0"/>
              <w:pageBreakBefore w:val="0"/>
              <w:widowControl w:val="0"/>
              <w:kinsoku/>
              <w:wordWrap/>
              <w:overflowPunct/>
              <w:topLinePunct w:val="0"/>
              <w:autoSpaceDE/>
              <w:autoSpaceDN/>
              <w:bidi w:val="0"/>
              <w:adjustRightInd/>
              <w:snapToGrid/>
              <w:spacing w:before="116"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合同总价大写：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小写：￥</w:t>
            </w:r>
          </w:p>
        </w:tc>
      </w:tr>
    </w:tbl>
    <w:p w14:paraId="5C73B485">
      <w:pPr>
        <w:pStyle w:val="23"/>
        <w:keepLines w:val="0"/>
        <w:pageBreakBefore w:val="0"/>
        <w:widowControl w:val="0"/>
        <w:kinsoku/>
        <w:wordWrap/>
        <w:overflowPunct/>
        <w:topLinePunct w:val="0"/>
        <w:autoSpaceDE/>
        <w:autoSpaceDN/>
        <w:bidi w:val="0"/>
        <w:adjustRightInd/>
        <w:snapToGrid/>
        <w:spacing w:before="0" w:line="460" w:lineRule="exact"/>
        <w:ind w:left="1091" w:leftChars="160" w:hanging="755" w:hangingChars="34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金额单位：元</w:t>
      </w:r>
    </w:p>
    <w:p w14:paraId="5EA47E73">
      <w:pPr>
        <w:pStyle w:val="23"/>
        <w:keepLines w:val="0"/>
        <w:pageBreakBefore w:val="0"/>
        <w:widowControl w:val="0"/>
        <w:kinsoku/>
        <w:wordWrap/>
        <w:overflowPunct/>
        <w:topLinePunct w:val="0"/>
        <w:autoSpaceDE/>
        <w:autoSpaceDN/>
        <w:bidi w:val="0"/>
        <w:adjustRightInd/>
        <w:snapToGrid/>
        <w:spacing w:line="460" w:lineRule="exact"/>
        <w:ind w:left="1091" w:leftChars="160" w:hanging="755" w:hangingChars="342"/>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注：1、系统规格</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技术参数</w:t>
      </w:r>
      <w:r>
        <w:rPr>
          <w:rFonts w:hint="eastAsia" w:ascii="宋体" w:hAnsi="宋体" w:eastAsia="宋体" w:cs="宋体"/>
          <w:color w:val="auto"/>
          <w:sz w:val="22"/>
          <w:szCs w:val="22"/>
          <w:highlight w:val="none"/>
        </w:rPr>
        <w:t>、配置要求等详见附件清</w:t>
      </w:r>
      <w:r>
        <w:rPr>
          <w:rFonts w:hint="eastAsia" w:ascii="宋体" w:hAnsi="宋体" w:eastAsia="宋体" w:cs="宋体"/>
          <w:color w:val="auto"/>
          <w:sz w:val="22"/>
          <w:szCs w:val="22"/>
          <w:highlight w:val="none"/>
          <w:lang w:eastAsia="zh-CN"/>
        </w:rPr>
        <w:t>单</w:t>
      </w:r>
    </w:p>
    <w:p w14:paraId="2EE291A9">
      <w:pPr>
        <w:pStyle w:val="23"/>
        <w:keepLines w:val="0"/>
        <w:pageBreakBefore w:val="0"/>
        <w:widowControl w:val="0"/>
        <w:kinsoku/>
        <w:wordWrap/>
        <w:overflowPunct/>
        <w:topLinePunct w:val="0"/>
        <w:autoSpaceDE/>
        <w:autoSpaceDN/>
        <w:bidi w:val="0"/>
        <w:adjustRightInd/>
        <w:snapToGrid/>
        <w:spacing w:before="106" w:line="460" w:lineRule="exact"/>
        <w:ind w:left="111" w:right="161" w:firstLine="57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2、以上合同总价包含</w:t>
      </w:r>
      <w:r>
        <w:rPr>
          <w:rFonts w:hint="eastAsia" w:ascii="宋体" w:hAnsi="宋体" w:eastAsia="宋体" w:cs="宋体"/>
          <w:color w:val="auto"/>
          <w:sz w:val="22"/>
          <w:szCs w:val="22"/>
          <w:highlight w:val="none"/>
          <w:lang w:eastAsia="zh-CN"/>
        </w:rPr>
        <w:t>系统正常使用</w:t>
      </w:r>
      <w:r>
        <w:rPr>
          <w:rFonts w:hint="eastAsia" w:ascii="宋体" w:hAnsi="宋体" w:eastAsia="宋体" w:cs="宋体"/>
          <w:color w:val="auto"/>
          <w:sz w:val="22"/>
          <w:szCs w:val="22"/>
          <w:highlight w:val="none"/>
        </w:rPr>
        <w:t>所需的一切费用，包括但不限于包装费、运输费、保险费、安装调试费、技术服务费、培训费以及</w:t>
      </w:r>
      <w:r>
        <w:rPr>
          <w:rFonts w:hint="eastAsia" w:ascii="宋体" w:hAnsi="宋体" w:eastAsia="宋体" w:cs="宋体"/>
          <w:color w:val="auto"/>
          <w:sz w:val="22"/>
          <w:szCs w:val="22"/>
          <w:highlight w:val="none"/>
          <w:lang w:eastAsia="zh-CN"/>
        </w:rPr>
        <w:t>维保</w:t>
      </w:r>
      <w:r>
        <w:rPr>
          <w:rFonts w:hint="eastAsia" w:ascii="宋体" w:hAnsi="宋体" w:eastAsia="宋体" w:cs="宋体"/>
          <w:color w:val="auto"/>
          <w:sz w:val="22"/>
          <w:szCs w:val="22"/>
          <w:highlight w:val="none"/>
        </w:rPr>
        <w:t>费、税费等。</w:t>
      </w:r>
    </w:p>
    <w:p w14:paraId="31D8BF9C">
      <w:pPr>
        <w:pStyle w:val="6"/>
        <w:keepLines w:val="0"/>
        <w:pageBreakBefore w:val="0"/>
        <w:widowControl w:val="0"/>
        <w:kinsoku/>
        <w:wordWrap/>
        <w:overflowPunct/>
        <w:topLinePunct w:val="0"/>
        <w:autoSpaceDE/>
        <w:autoSpaceDN/>
        <w:bidi w:val="0"/>
        <w:adjustRightInd/>
        <w:snapToGrid/>
        <w:spacing w:before="86"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、知识产权</w:t>
      </w:r>
    </w:p>
    <w:p w14:paraId="06CF63B3">
      <w:pPr>
        <w:pStyle w:val="23"/>
        <w:keepLines w:val="0"/>
        <w:pageBreakBefore w:val="0"/>
        <w:widowControl w:val="0"/>
        <w:kinsoku/>
        <w:wordWrap/>
        <w:overflowPunct/>
        <w:topLinePunct w:val="0"/>
        <w:autoSpaceDE/>
        <w:autoSpaceDN/>
        <w:bidi w:val="0"/>
        <w:adjustRightInd/>
        <w:snapToGrid/>
        <w:spacing w:before="22" w:line="460" w:lineRule="exact"/>
        <w:ind w:left="351"/>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乙方应保证所提供的</w:t>
      </w:r>
      <w:r>
        <w:rPr>
          <w:rFonts w:hint="eastAsia" w:ascii="宋体" w:hAnsi="宋体" w:eastAsia="宋体" w:cs="宋体"/>
          <w:b w:val="0"/>
          <w:bCs/>
          <w:color w:val="auto"/>
          <w:sz w:val="22"/>
          <w:szCs w:val="22"/>
          <w:highlight w:val="none"/>
          <w:lang w:eastAsia="zh-CN"/>
        </w:rPr>
        <w:t>系统</w:t>
      </w:r>
      <w:r>
        <w:rPr>
          <w:rFonts w:hint="eastAsia" w:ascii="宋体" w:hAnsi="宋体" w:eastAsia="宋体" w:cs="宋体"/>
          <w:b w:val="0"/>
          <w:bCs/>
          <w:color w:val="auto"/>
          <w:sz w:val="22"/>
          <w:szCs w:val="22"/>
          <w:highlight w:val="none"/>
        </w:rPr>
        <w:t>不会侵犯任何第三方的知识产权</w:t>
      </w:r>
      <w:r>
        <w:rPr>
          <w:rFonts w:hint="eastAsia" w:ascii="宋体" w:hAnsi="宋体" w:eastAsia="宋体" w:cs="宋体"/>
          <w:b w:val="0"/>
          <w:bCs/>
          <w:color w:val="auto"/>
          <w:sz w:val="22"/>
          <w:szCs w:val="22"/>
          <w:highlight w:val="none"/>
          <w:lang w:eastAsia="zh-CN"/>
        </w:rPr>
        <w:t>，甲方行使乙方所授予的软件权利不会侵犯任何第三方的合法权利。</w:t>
      </w:r>
    </w:p>
    <w:p w14:paraId="602C8757">
      <w:pPr>
        <w:pStyle w:val="23"/>
        <w:keepLines w:val="0"/>
        <w:pageBreakBefore w:val="0"/>
        <w:widowControl w:val="0"/>
        <w:kinsoku/>
        <w:wordWrap/>
        <w:overflowPunct/>
        <w:topLinePunct w:val="0"/>
        <w:autoSpaceDE/>
        <w:autoSpaceDN/>
        <w:bidi w:val="0"/>
        <w:adjustRightInd/>
        <w:snapToGrid/>
        <w:spacing w:before="22" w:line="460" w:lineRule="exact"/>
        <w:ind w:left="351"/>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乙方应保证如有第三方声称甲方使用本合同下软件系统侵犯第三方的知识产权或其他权利，乙方将对由此而引起的任何诉讼或法律请求进行抗辩，若发生赔偿，乙方应当支付有关判决或者和解所确定的赔偿金额。甲方为此支出的费用和损失均由乙方承担。</w:t>
      </w:r>
    </w:p>
    <w:p w14:paraId="6F5A7A84">
      <w:pPr>
        <w:pStyle w:val="23"/>
        <w:keepLines w:val="0"/>
        <w:pageBreakBefore w:val="0"/>
        <w:widowControl w:val="0"/>
        <w:kinsoku/>
        <w:wordWrap/>
        <w:overflowPunct/>
        <w:topLinePunct w:val="0"/>
        <w:autoSpaceDE/>
        <w:autoSpaceDN/>
        <w:bidi w:val="0"/>
        <w:adjustRightInd/>
        <w:snapToGrid/>
        <w:spacing w:before="22" w:line="460" w:lineRule="exact"/>
        <w:ind w:left="351"/>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若本合同项下软件系统或者其任何部分被依法认定为侵犯第三方的合法权利，或任何依约定使用该软件或行使任何由乙方授予的权利被认定为侵权，乙方应尽力用相等功能的且非侵权的软件替换本软件，或取得相关授权。</w:t>
      </w:r>
    </w:p>
    <w:p w14:paraId="27FEA635">
      <w:pPr>
        <w:pStyle w:val="6"/>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、转包或分包</w:t>
      </w:r>
    </w:p>
    <w:p w14:paraId="4B67D902">
      <w:pPr>
        <w:pStyle w:val="23"/>
        <w:keepLines w:val="0"/>
        <w:pageBreakBefore w:val="0"/>
        <w:widowControl w:val="0"/>
        <w:kinsoku/>
        <w:wordWrap/>
        <w:overflowPunct/>
        <w:topLinePunct w:val="0"/>
        <w:autoSpaceDE/>
        <w:autoSpaceDN/>
        <w:bidi w:val="0"/>
        <w:adjustRightInd/>
        <w:snapToGrid/>
        <w:spacing w:before="22" w:line="460" w:lineRule="exact"/>
        <w:ind w:left="351"/>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本合同范围的</w:t>
      </w:r>
      <w:r>
        <w:rPr>
          <w:rFonts w:hint="eastAsia" w:ascii="宋体" w:hAnsi="宋体" w:eastAsia="宋体" w:cs="宋体"/>
          <w:b w:val="0"/>
          <w:bCs/>
          <w:color w:val="auto"/>
          <w:sz w:val="22"/>
          <w:szCs w:val="22"/>
          <w:highlight w:val="none"/>
          <w:lang w:eastAsia="zh-CN"/>
        </w:rPr>
        <w:t>产品</w:t>
      </w:r>
      <w:r>
        <w:rPr>
          <w:rFonts w:hint="eastAsia" w:ascii="宋体" w:hAnsi="宋体" w:eastAsia="宋体" w:cs="宋体"/>
          <w:b w:val="0"/>
          <w:bCs/>
          <w:color w:val="auto"/>
          <w:sz w:val="22"/>
          <w:szCs w:val="22"/>
          <w:highlight w:val="none"/>
        </w:rPr>
        <w:t>，应由乙方直接供应，不得转让他人供应，否则，甲方有权解除合同，没收质量保证金并追究乙方的违约责任。</w:t>
      </w:r>
    </w:p>
    <w:p w14:paraId="45F87168">
      <w:pPr>
        <w:pStyle w:val="6"/>
        <w:keepLines w:val="0"/>
        <w:pageBreakBefore w:val="0"/>
        <w:widowControl w:val="0"/>
        <w:kinsoku/>
        <w:wordWrap/>
        <w:overflowPunct/>
        <w:topLinePunct w:val="0"/>
        <w:autoSpaceDE/>
        <w:autoSpaceDN/>
        <w:bidi w:val="0"/>
        <w:adjustRightInd/>
        <w:snapToGrid/>
        <w:spacing w:before="107"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四</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维</w:t>
      </w:r>
      <w:r>
        <w:rPr>
          <w:rFonts w:hint="eastAsia" w:ascii="宋体" w:hAnsi="宋体" w:eastAsia="宋体" w:cs="宋体"/>
          <w:color w:val="auto"/>
          <w:sz w:val="22"/>
          <w:szCs w:val="22"/>
          <w:highlight w:val="none"/>
        </w:rPr>
        <w:t>保期</w:t>
      </w:r>
    </w:p>
    <w:p w14:paraId="66067884">
      <w:pPr>
        <w:keepLines w:val="0"/>
        <w:pageBreakBefore w:val="0"/>
        <w:widowControl w:val="0"/>
        <w:numPr>
          <w:ilvl w:val="0"/>
          <w:numId w:val="0"/>
        </w:numPr>
        <w:kinsoku/>
        <w:wordWrap/>
        <w:overflowPunct/>
        <w:topLinePunct w:val="0"/>
        <w:autoSpaceDE/>
        <w:autoSpaceDN/>
        <w:bidi w:val="0"/>
        <w:adjustRightInd/>
        <w:snapToGrid/>
        <w:spacing w:line="460" w:lineRule="exact"/>
        <w:ind w:left="521" w:leftChars="0" w:hanging="170" w:firstLineChars="0"/>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维保期为1年。（自系统上线验收合格之日起计）</w:t>
      </w:r>
    </w:p>
    <w:p w14:paraId="6B49B22C">
      <w:pPr>
        <w:pStyle w:val="6"/>
        <w:keepLines w:val="0"/>
        <w:pageBreakBefore w:val="0"/>
        <w:widowControl w:val="0"/>
        <w:kinsoku/>
        <w:wordWrap/>
        <w:overflowPunct/>
        <w:topLinePunct w:val="0"/>
        <w:autoSpaceDE/>
        <w:autoSpaceDN/>
        <w:bidi w:val="0"/>
        <w:adjustRightInd/>
        <w:snapToGrid/>
        <w:spacing w:before="0" w:line="46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安装时间</w:t>
      </w:r>
    </w:p>
    <w:p w14:paraId="028409BF">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351" w:firstLine="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5"/>
          <w:sz w:val="22"/>
          <w:szCs w:val="22"/>
          <w:highlight w:val="none"/>
        </w:rPr>
        <w:t>签订合同后</w:t>
      </w:r>
      <w:r>
        <w:rPr>
          <w:rFonts w:hint="eastAsia" w:ascii="宋体" w:hAnsi="宋体" w:cs="宋体"/>
          <w:color w:val="auto"/>
          <w:spacing w:val="-5"/>
          <w:sz w:val="22"/>
          <w:szCs w:val="22"/>
          <w:highlight w:val="none"/>
          <w:lang w:val="en-US" w:eastAsia="zh-CN"/>
        </w:rPr>
        <w:t>6</w:t>
      </w:r>
      <w:r>
        <w:rPr>
          <w:rFonts w:hint="eastAsia" w:ascii="宋体" w:hAnsi="宋体" w:eastAsia="宋体" w:cs="宋体"/>
          <w:color w:val="auto"/>
          <w:spacing w:val="-5"/>
          <w:sz w:val="22"/>
          <w:szCs w:val="22"/>
          <w:highlight w:val="none"/>
        </w:rPr>
        <w:t>个月</w:t>
      </w:r>
      <w:r>
        <w:rPr>
          <w:rFonts w:hint="eastAsia" w:ascii="宋体" w:hAnsi="宋体" w:eastAsia="宋体" w:cs="宋体"/>
          <w:color w:val="auto"/>
          <w:spacing w:val="-5"/>
          <w:sz w:val="22"/>
          <w:szCs w:val="22"/>
          <w:highlight w:val="none"/>
        </w:rPr>
        <w:t>内完成</w:t>
      </w:r>
      <w:r>
        <w:rPr>
          <w:rFonts w:hint="eastAsia" w:ascii="宋体" w:hAnsi="宋体" w:eastAsia="宋体" w:cs="宋体"/>
          <w:color w:val="auto"/>
          <w:spacing w:val="-5"/>
          <w:sz w:val="22"/>
          <w:szCs w:val="22"/>
          <w:highlight w:val="none"/>
          <w:lang w:eastAsia="zh-CN"/>
        </w:rPr>
        <w:t>系统</w:t>
      </w:r>
      <w:r>
        <w:rPr>
          <w:rFonts w:hint="eastAsia" w:ascii="宋体" w:hAnsi="宋体" w:eastAsia="宋体" w:cs="宋体"/>
          <w:color w:val="auto"/>
          <w:spacing w:val="-5"/>
          <w:sz w:val="22"/>
          <w:szCs w:val="22"/>
          <w:highlight w:val="none"/>
        </w:rPr>
        <w:t>安装调试并投入业务试运行</w:t>
      </w:r>
      <w:r>
        <w:rPr>
          <w:rFonts w:hint="eastAsia" w:ascii="宋体" w:hAnsi="宋体" w:eastAsia="宋体" w:cs="宋体"/>
          <w:color w:val="auto"/>
          <w:spacing w:val="-5"/>
          <w:sz w:val="22"/>
          <w:szCs w:val="22"/>
          <w:highlight w:val="none"/>
          <w:lang w:eastAsia="zh-CN"/>
        </w:rPr>
        <w:t>。</w:t>
      </w:r>
    </w:p>
    <w:p w14:paraId="76C9270E">
      <w:pPr>
        <w:pStyle w:val="6"/>
        <w:keepLines w:val="0"/>
        <w:pageBreakBefore w:val="0"/>
        <w:widowControl w:val="0"/>
        <w:kinsoku/>
        <w:wordWrap/>
        <w:overflowPunct/>
        <w:topLinePunct w:val="0"/>
        <w:autoSpaceDE/>
        <w:autoSpaceDN/>
        <w:bidi w:val="0"/>
        <w:adjustRightInd/>
        <w:snapToGrid/>
        <w:spacing w:before="0"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六</w:t>
      </w:r>
      <w:r>
        <w:rPr>
          <w:rFonts w:hint="eastAsia" w:ascii="宋体" w:hAnsi="宋体" w:eastAsia="宋体" w:cs="宋体"/>
          <w:color w:val="auto"/>
          <w:sz w:val="22"/>
          <w:szCs w:val="22"/>
          <w:highlight w:val="none"/>
        </w:rPr>
        <w:t>、货款支付</w:t>
      </w:r>
    </w:p>
    <w:p w14:paraId="4395E462">
      <w:pPr>
        <w:pStyle w:val="331"/>
        <w:keepLines w:val="0"/>
        <w:pageBreakBefore w:val="0"/>
        <w:widowControl w:val="0"/>
        <w:numPr>
          <w:ilvl w:val="0"/>
          <w:numId w:val="0"/>
        </w:numPr>
        <w:tabs>
          <w:tab w:val="left" w:pos="797"/>
          <w:tab w:val="left" w:pos="6150"/>
          <w:tab w:val="left" w:pos="7098"/>
          <w:tab w:val="left" w:pos="8095"/>
        </w:tabs>
        <w:kinsoku/>
        <w:wordWrap/>
        <w:overflowPunct/>
        <w:topLinePunct w:val="0"/>
        <w:autoSpaceDE/>
        <w:autoSpaceDN/>
        <w:bidi w:val="0"/>
        <w:adjustRightInd/>
        <w:snapToGrid/>
        <w:spacing w:before="118"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在合同签订生效后3个月内甲方向乙方支付合同总额的50%；甲方在合同内容全部</w:t>
      </w:r>
      <w:r>
        <w:rPr>
          <w:rFonts w:hint="eastAsia" w:ascii="宋体" w:hAnsi="宋体" w:cs="宋体"/>
          <w:color w:val="auto"/>
          <w:sz w:val="22"/>
          <w:szCs w:val="22"/>
          <w:highlight w:val="none"/>
          <w:lang w:val="en-US" w:eastAsia="zh-CN"/>
        </w:rPr>
        <w:t>完成</w:t>
      </w:r>
      <w:r>
        <w:rPr>
          <w:rFonts w:hint="eastAsia" w:ascii="宋体" w:hAnsi="宋体" w:eastAsia="宋体" w:cs="宋体"/>
          <w:color w:val="auto"/>
          <w:sz w:val="22"/>
          <w:szCs w:val="22"/>
          <w:highlight w:val="none"/>
        </w:rPr>
        <w:t>验收合格并出具终验证明后3个月内向乙方支付合同总额的50%。</w:t>
      </w:r>
    </w:p>
    <w:p w14:paraId="77F5A9E2">
      <w:pPr>
        <w:pStyle w:val="6"/>
        <w:keepLines w:val="0"/>
        <w:pageBreakBefore w:val="0"/>
        <w:widowControl w:val="0"/>
        <w:kinsoku/>
        <w:wordWrap/>
        <w:overflowPunct/>
        <w:topLinePunct w:val="0"/>
        <w:autoSpaceDE/>
        <w:autoSpaceDN/>
        <w:bidi w:val="0"/>
        <w:adjustRightInd/>
        <w:snapToGrid/>
        <w:spacing w:before="166" w:line="4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七</w:t>
      </w:r>
      <w:r>
        <w:rPr>
          <w:rFonts w:hint="eastAsia" w:ascii="宋体" w:hAnsi="宋体" w:eastAsia="宋体" w:cs="宋体"/>
          <w:color w:val="auto"/>
          <w:sz w:val="22"/>
          <w:szCs w:val="22"/>
          <w:highlight w:val="none"/>
        </w:rPr>
        <w:t>、税费</w:t>
      </w:r>
    </w:p>
    <w:p w14:paraId="1FD961B3">
      <w:pPr>
        <w:pStyle w:val="23"/>
        <w:keepLines w:val="0"/>
        <w:pageBreakBefore w:val="0"/>
        <w:widowControl w:val="0"/>
        <w:kinsoku/>
        <w:wordWrap/>
        <w:overflowPunct/>
        <w:topLinePunct w:val="0"/>
        <w:autoSpaceDE/>
        <w:autoSpaceDN/>
        <w:bidi w:val="0"/>
        <w:adjustRightInd/>
        <w:snapToGrid/>
        <w:spacing w:before="23" w:line="460" w:lineRule="exact"/>
        <w:ind w:left="351"/>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本合同执行中相关的一切税费均由乙方负担。</w:t>
      </w:r>
    </w:p>
    <w:p w14:paraId="53DE08B1">
      <w:pPr>
        <w:pStyle w:val="6"/>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八</w:t>
      </w:r>
      <w:r>
        <w:rPr>
          <w:rFonts w:hint="eastAsia" w:ascii="宋体" w:hAnsi="宋体" w:eastAsia="宋体" w:cs="宋体"/>
          <w:color w:val="auto"/>
          <w:sz w:val="22"/>
          <w:szCs w:val="22"/>
          <w:highlight w:val="none"/>
        </w:rPr>
        <w:t>、质量保证及售后服务</w:t>
      </w:r>
    </w:p>
    <w:p w14:paraId="60C465F7">
      <w:pPr>
        <w:pStyle w:val="331"/>
        <w:keepLines w:val="0"/>
        <w:pageBreakBefore w:val="0"/>
        <w:widowControl w:val="0"/>
        <w:numPr>
          <w:ilvl w:val="-1"/>
          <w:numId w:val="0"/>
        </w:numPr>
        <w:tabs>
          <w:tab w:val="left" w:pos="797"/>
        </w:tabs>
        <w:kinsoku/>
        <w:wordWrap/>
        <w:overflowPunct/>
        <w:topLinePunct w:val="0"/>
        <w:autoSpaceDE/>
        <w:autoSpaceDN/>
        <w:bidi w:val="0"/>
        <w:adjustRightInd/>
        <w:snapToGrid/>
        <w:spacing w:before="0" w:line="460" w:lineRule="exact"/>
        <w:ind w:left="351" w:firstLine="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乙方必须保证产品的质量，使软件系统在甲方的系统平台上正常运行。</w:t>
      </w:r>
    </w:p>
    <w:p w14:paraId="0BDF8BAB">
      <w:pPr>
        <w:pStyle w:val="331"/>
        <w:keepLines w:val="0"/>
        <w:pageBreakBefore w:val="0"/>
        <w:widowControl w:val="0"/>
        <w:numPr>
          <w:ilvl w:val="-1"/>
          <w:numId w:val="0"/>
        </w:numPr>
        <w:tabs>
          <w:tab w:val="left" w:pos="797"/>
        </w:tabs>
        <w:kinsoku/>
        <w:wordWrap/>
        <w:overflowPunct/>
        <w:topLinePunct w:val="0"/>
        <w:autoSpaceDE/>
        <w:autoSpaceDN/>
        <w:bidi w:val="0"/>
        <w:adjustRightInd/>
        <w:snapToGrid/>
        <w:spacing w:before="0" w:line="460" w:lineRule="exact"/>
        <w:ind w:left="351"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2.合同签订后，乙方应向甲方提供必要的系统管理及使用培训（由双方协商培训时间）。</w:t>
      </w:r>
    </w:p>
    <w:p w14:paraId="61D00468">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351" w:firstLine="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3.系统验收通过后，乙方应当向甲方提供相应的售后维保服务（</w:t>
      </w:r>
      <w:r>
        <w:rPr>
          <w:rFonts w:hint="eastAsia" w:ascii="宋体" w:hAnsi="宋体" w:eastAsia="宋体" w:cs="宋体"/>
          <w:color w:val="auto"/>
          <w:kern w:val="0"/>
          <w:sz w:val="22"/>
          <w:szCs w:val="22"/>
          <w:highlight w:val="none"/>
          <w:lang w:val="zh-CN" w:eastAsia="zh-CN" w:bidi="zh-CN"/>
        </w:rPr>
        <w:t>7*24小时技术服务响应和支持；接到甲方故障申告电话后于30分钟内做出响应，须在第一时间接收甲方需求并予以必要支持，乙方服务工程师将于4小时内到达现场</w:t>
      </w:r>
      <w:r>
        <w:rPr>
          <w:rFonts w:hint="eastAsia" w:ascii="宋体" w:hAnsi="宋体" w:eastAsia="宋体" w:cs="宋体"/>
          <w:color w:val="auto"/>
          <w:sz w:val="22"/>
          <w:szCs w:val="22"/>
          <w:highlight w:val="none"/>
          <w:lang w:val="en-US" w:eastAsia="zh-CN"/>
        </w:rPr>
        <w:t>），乙方向甲方终身免费提供版本升级服务等。</w:t>
      </w:r>
    </w:p>
    <w:p w14:paraId="11C5539D">
      <w:pPr>
        <w:pStyle w:val="6"/>
        <w:keepLines w:val="0"/>
        <w:pageBreakBefore w:val="0"/>
        <w:widowControl w:val="0"/>
        <w:kinsoku/>
        <w:wordWrap/>
        <w:overflowPunct/>
        <w:topLinePunct w:val="0"/>
        <w:autoSpaceDE/>
        <w:autoSpaceDN/>
        <w:bidi w:val="0"/>
        <w:adjustRightInd/>
        <w:snapToGrid/>
        <w:spacing w:before="85"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九</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安装</w:t>
      </w:r>
      <w:r>
        <w:rPr>
          <w:rFonts w:hint="eastAsia" w:ascii="宋体" w:hAnsi="宋体" w:eastAsia="宋体" w:cs="宋体"/>
          <w:color w:val="auto"/>
          <w:sz w:val="22"/>
          <w:szCs w:val="22"/>
          <w:highlight w:val="none"/>
        </w:rPr>
        <w:t>和验收</w:t>
      </w:r>
    </w:p>
    <w:p w14:paraId="6F685ABD">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lang w:eastAsia="zh-CN"/>
        </w:rPr>
      </w:pPr>
      <w:r>
        <w:rPr>
          <w:rFonts w:hint="default" w:ascii="宋体" w:hAnsi="宋体" w:eastAsia="宋体" w:cs="宋体"/>
          <w:color w:val="auto"/>
          <w:sz w:val="22"/>
          <w:szCs w:val="22"/>
          <w:highlight w:val="none"/>
          <w:lang w:val="zh-CN" w:eastAsia="zh-CN"/>
        </w:rPr>
        <w:t>1.</w:t>
      </w:r>
      <w:r>
        <w:rPr>
          <w:rFonts w:hint="eastAsia" w:ascii="宋体" w:hAnsi="宋体" w:eastAsia="宋体" w:cs="宋体"/>
          <w:color w:val="auto"/>
          <w:sz w:val="22"/>
          <w:szCs w:val="22"/>
          <w:highlight w:val="none"/>
          <w:lang w:eastAsia="zh-CN"/>
        </w:rPr>
        <w:t>乙方应当安排工程师将系统安装在甲方的指定系统内，甲方提供必要的协助。</w:t>
      </w:r>
    </w:p>
    <w:p w14:paraId="39241AA6">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lang w:eastAsia="zh-CN"/>
        </w:rPr>
      </w:pPr>
      <w:r>
        <w:rPr>
          <w:rFonts w:hint="default" w:ascii="宋体" w:hAnsi="宋体" w:eastAsia="宋体" w:cs="宋体"/>
          <w:color w:val="auto"/>
          <w:sz w:val="22"/>
          <w:szCs w:val="22"/>
          <w:highlight w:val="none"/>
          <w:lang w:val="zh-CN" w:eastAsia="zh-CN"/>
        </w:rPr>
        <w:t>2.</w:t>
      </w:r>
      <w:r>
        <w:rPr>
          <w:rFonts w:hint="eastAsia" w:ascii="宋体" w:hAnsi="宋体" w:eastAsia="宋体" w:cs="宋体"/>
          <w:color w:val="auto"/>
          <w:sz w:val="22"/>
          <w:szCs w:val="22"/>
          <w:highlight w:val="none"/>
          <w:lang w:eastAsia="zh-CN"/>
        </w:rPr>
        <w:t>乙方提供的系统需有完整的安装光盘、齐全的说明资料、技术文档（系统说明书、系统管理员手册和用户使用操作手册）。</w:t>
      </w:r>
    </w:p>
    <w:p w14:paraId="4A5021CE">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lang w:eastAsia="zh-CN"/>
        </w:rPr>
      </w:pPr>
      <w:r>
        <w:rPr>
          <w:rFonts w:hint="default" w:ascii="宋体" w:hAnsi="宋体" w:eastAsia="宋体" w:cs="宋体"/>
          <w:color w:val="auto"/>
          <w:sz w:val="22"/>
          <w:szCs w:val="22"/>
          <w:highlight w:val="none"/>
          <w:lang w:val="zh-CN" w:eastAsia="zh-CN"/>
        </w:rPr>
        <w:t>3.</w:t>
      </w:r>
      <w:r>
        <w:rPr>
          <w:rFonts w:hint="eastAsia" w:ascii="宋体" w:hAnsi="宋体" w:eastAsia="宋体" w:cs="宋体"/>
          <w:color w:val="auto"/>
          <w:sz w:val="22"/>
          <w:szCs w:val="22"/>
          <w:highlight w:val="none"/>
          <w:lang w:eastAsia="zh-CN"/>
        </w:rPr>
        <w:t>系统安装完成调试完毕后</w:t>
      </w:r>
      <w:r>
        <w:rPr>
          <w:rFonts w:hint="eastAsia" w:ascii="宋体" w:hAnsi="宋体" w:eastAsia="宋体" w:cs="宋体"/>
          <w:color w:val="auto"/>
          <w:sz w:val="22"/>
          <w:szCs w:val="22"/>
          <w:highlight w:val="none"/>
          <w:lang w:val="en-US" w:eastAsia="zh-CN"/>
        </w:rPr>
        <w:t>7个工作日内，采用双方参加、测试方式验收，乙方验收系统的标准以及乙方在招标文件作出的承诺作为通过的依据。</w:t>
      </w:r>
    </w:p>
    <w:p w14:paraId="15A3BBB7">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zh-CN" w:eastAsia="zh-CN"/>
        </w:rPr>
        <w:t>4.</w:t>
      </w:r>
      <w:r>
        <w:rPr>
          <w:rFonts w:hint="eastAsia" w:ascii="宋体" w:hAnsi="宋体" w:eastAsia="宋体" w:cs="宋体"/>
          <w:color w:val="auto"/>
          <w:sz w:val="22"/>
          <w:szCs w:val="22"/>
          <w:highlight w:val="none"/>
          <w:lang w:eastAsia="zh-CN"/>
        </w:rPr>
        <w:t>若系统验收不合格，乙方须对系统进行调整直到验收合格，超出双方约定的系统投入使用时间的，视为乙方逾期完成系统安装。</w:t>
      </w:r>
    </w:p>
    <w:p w14:paraId="118959B9">
      <w:pPr>
        <w:pStyle w:val="331"/>
        <w:keepLines w:val="0"/>
        <w:pageBreakBefore w:val="0"/>
        <w:widowControl w:val="0"/>
        <w:tabs>
          <w:tab w:val="left" w:pos="522"/>
        </w:tabs>
        <w:kinsoku/>
        <w:wordWrap/>
        <w:overflowPunct/>
        <w:topLinePunct w:val="0"/>
        <w:autoSpaceDE/>
        <w:autoSpaceDN/>
        <w:bidi w:val="0"/>
        <w:adjustRightInd/>
        <w:snapToGrid/>
        <w:spacing w:line="460" w:lineRule="exact"/>
        <w:ind w:left="0" w:leftChars="0" w:right="4471" w:firstLine="0" w:firstLineChars="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pacing w:val="10"/>
          <w:sz w:val="22"/>
          <w:szCs w:val="22"/>
          <w:highlight w:val="none"/>
        </w:rPr>
        <w:t>十、违约责任</w:t>
      </w:r>
    </w:p>
    <w:p w14:paraId="57C691A1">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zh-CN" w:eastAsia="zh-CN"/>
        </w:rPr>
        <w:t>1.</w:t>
      </w:r>
      <w:r>
        <w:rPr>
          <w:rFonts w:hint="eastAsia" w:ascii="宋体" w:hAnsi="宋体" w:eastAsia="宋体" w:cs="宋体"/>
          <w:color w:val="auto"/>
          <w:sz w:val="22"/>
          <w:szCs w:val="22"/>
          <w:highlight w:val="none"/>
          <w:lang w:val="en-US" w:eastAsia="zh-CN"/>
        </w:rPr>
        <w:t>甲方无故逾期验收和办理货款支付手续的,甲方应按逾期付款总额每日万分之五向乙方支付违约金，最高不超过合同总金额的5%。</w:t>
      </w:r>
    </w:p>
    <w:p w14:paraId="243A1F2C">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zh-CN" w:eastAsia="zh-CN"/>
        </w:rPr>
        <w:t>2.</w:t>
      </w:r>
      <w:r>
        <w:rPr>
          <w:rFonts w:hint="eastAsia" w:ascii="宋体" w:hAnsi="宋体" w:eastAsia="宋体" w:cs="宋体"/>
          <w:color w:val="auto"/>
          <w:sz w:val="22"/>
          <w:szCs w:val="22"/>
          <w:highlight w:val="none"/>
          <w:lang w:val="en-US" w:eastAsia="zh-CN"/>
        </w:rPr>
        <w:t>乙方逾期完成系统安装的，乙方应按合同总金额每日千分之六向甲方支付违约金，由甲方从待付合同款中扣除。逾期超过约定日期10个工作日不能完成的，甲方可解除本合同。乙方因逾期完成系统安装或因其他违约行为导致甲方解除合同的，乙方应向甲方支付合同总值5%的违约金，如造成甲方损失超过违约金的，超出部分由乙方继续承担赔偿责任。</w:t>
      </w:r>
    </w:p>
    <w:p w14:paraId="144543EF">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zh-CN" w:eastAsia="zh-CN"/>
        </w:rPr>
        <w:t>3.</w:t>
      </w:r>
      <w:r>
        <w:rPr>
          <w:rFonts w:hint="eastAsia" w:ascii="宋体" w:hAnsi="宋体" w:eastAsia="宋体" w:cs="宋体"/>
          <w:color w:val="auto"/>
          <w:sz w:val="22"/>
          <w:szCs w:val="22"/>
          <w:highlight w:val="none"/>
          <w:lang w:val="en-US" w:eastAsia="zh-CN"/>
        </w:rPr>
        <w:t>维保期内系统发生故障，乙方未在双方约定时间内提供维保服务的，每超出一天，免费维保期延长三天。</w:t>
      </w:r>
    </w:p>
    <w:p w14:paraId="28891149">
      <w:pPr>
        <w:pStyle w:val="6"/>
        <w:keepLines w:val="0"/>
        <w:pageBreakBefore w:val="0"/>
        <w:widowControl w:val="0"/>
        <w:kinsoku/>
        <w:wordWrap/>
        <w:overflowPunct/>
        <w:topLinePunct w:val="0"/>
        <w:autoSpaceDE/>
        <w:autoSpaceDN/>
        <w:bidi w:val="0"/>
        <w:adjustRightInd/>
        <w:snapToGrid/>
        <w:spacing w:before="85"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、不可抗力事件处理</w:t>
      </w:r>
    </w:p>
    <w:p w14:paraId="1F699BC6">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lang w:val="zh-CN" w:eastAsia="zh-CN"/>
        </w:rPr>
      </w:pPr>
      <w:r>
        <w:rPr>
          <w:rFonts w:hint="default" w:ascii="宋体" w:hAnsi="宋体" w:eastAsia="宋体" w:cs="宋体"/>
          <w:color w:val="auto"/>
          <w:sz w:val="22"/>
          <w:szCs w:val="22"/>
          <w:highlight w:val="none"/>
          <w:lang w:val="zh-CN" w:eastAsia="zh-CN"/>
        </w:rPr>
        <w:t>1.</w:t>
      </w:r>
      <w:r>
        <w:rPr>
          <w:rFonts w:hint="eastAsia" w:ascii="宋体" w:hAnsi="宋体" w:eastAsia="宋体" w:cs="宋体"/>
          <w:color w:val="auto"/>
          <w:sz w:val="22"/>
          <w:szCs w:val="22"/>
          <w:highlight w:val="none"/>
          <w:lang w:val="zh-CN" w:eastAsia="zh-CN"/>
        </w:rPr>
        <w:t>在合同有效期内，任何一方因不可抗力事件导致不能履行合同，则合同履行期可延长，其延长期与不可抗力影响期相同。</w:t>
      </w:r>
    </w:p>
    <w:p w14:paraId="62D6A739">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lang w:val="zh-CN" w:eastAsia="zh-CN"/>
        </w:rPr>
      </w:pPr>
      <w:r>
        <w:rPr>
          <w:rFonts w:hint="default" w:ascii="宋体" w:hAnsi="宋体" w:eastAsia="宋体" w:cs="宋体"/>
          <w:color w:val="auto"/>
          <w:sz w:val="22"/>
          <w:szCs w:val="22"/>
          <w:highlight w:val="none"/>
          <w:lang w:val="zh-CN" w:eastAsia="zh-CN"/>
        </w:rPr>
        <w:t>2.</w:t>
      </w:r>
      <w:r>
        <w:rPr>
          <w:rFonts w:hint="eastAsia" w:ascii="宋体" w:hAnsi="宋体" w:eastAsia="宋体" w:cs="宋体"/>
          <w:color w:val="auto"/>
          <w:sz w:val="22"/>
          <w:szCs w:val="22"/>
          <w:highlight w:val="none"/>
          <w:lang w:val="zh-CN" w:eastAsia="zh-CN"/>
        </w:rPr>
        <w:t>不可抗力事件发生后，应立即通知对方，并寄送有关权威机构出具的证明。</w:t>
      </w:r>
    </w:p>
    <w:p w14:paraId="4134B07D">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line="460" w:lineRule="exact"/>
        <w:ind w:left="111" w:leftChars="0" w:right="101" w:rightChars="0" w:firstLine="440" w:firstLineChars="200"/>
        <w:textAlignment w:val="auto"/>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zh-CN" w:eastAsia="zh-CN"/>
        </w:rPr>
        <w:t>3.</w:t>
      </w:r>
      <w:r>
        <w:rPr>
          <w:rFonts w:hint="eastAsia" w:ascii="宋体" w:hAnsi="宋体" w:eastAsia="宋体" w:cs="宋体"/>
          <w:color w:val="auto"/>
          <w:sz w:val="22"/>
          <w:szCs w:val="22"/>
          <w:highlight w:val="none"/>
          <w:lang w:val="zh-CN" w:eastAsia="zh-CN"/>
        </w:rPr>
        <w:t>不可抗力事件延续 120天以上，双方应通过友好协商，确定是否继续履行合同。</w:t>
      </w:r>
    </w:p>
    <w:p w14:paraId="21A910F0">
      <w:pPr>
        <w:pStyle w:val="331"/>
        <w:keepLines w:val="0"/>
        <w:pageBreakBefore w:val="0"/>
        <w:widowControl w:val="0"/>
        <w:numPr>
          <w:ilvl w:val="0"/>
          <w:numId w:val="0"/>
        </w:numPr>
        <w:tabs>
          <w:tab w:val="left" w:pos="522"/>
        </w:tabs>
        <w:kinsoku/>
        <w:wordWrap/>
        <w:overflowPunct/>
        <w:topLinePunct w:val="0"/>
        <w:autoSpaceDE/>
        <w:autoSpaceDN/>
        <w:bidi w:val="0"/>
        <w:adjustRightInd/>
        <w:snapToGrid/>
        <w:spacing w:before="22" w:line="460" w:lineRule="exact"/>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十二、信息保密</w:t>
      </w:r>
    </w:p>
    <w:p w14:paraId="708D116C">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1.甲乙双方对彼此之间相互提供的信息、资料以及本合同内容负有保密义务。</w:t>
      </w:r>
    </w:p>
    <w:p w14:paraId="4B18EC43">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2.乙方要对甲方的有关信息系统、业务等资料和数据保密。</w:t>
      </w:r>
    </w:p>
    <w:p w14:paraId="1F36B508">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3.信息保密期限长期有效。</w:t>
      </w:r>
    </w:p>
    <w:p w14:paraId="7B7AE52D">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p>
    <w:p w14:paraId="059D4B3E">
      <w:pPr>
        <w:pStyle w:val="6"/>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、诉讼</w:t>
      </w:r>
    </w:p>
    <w:p w14:paraId="097DAB4F">
      <w:pPr>
        <w:pStyle w:val="23"/>
        <w:keepLines w:val="0"/>
        <w:pageBreakBefore w:val="0"/>
        <w:widowControl w:val="0"/>
        <w:kinsoku/>
        <w:wordWrap/>
        <w:overflowPunct/>
        <w:topLinePunct w:val="0"/>
        <w:autoSpaceDE/>
        <w:autoSpaceDN/>
        <w:bidi w:val="0"/>
        <w:adjustRightInd/>
        <w:snapToGrid/>
        <w:spacing w:before="22" w:line="460" w:lineRule="exact"/>
        <w:ind w:left="351"/>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双方在执行合同中所发生的一切争议，应通过协商解决。如协商不成，可向甲方所在地法院起诉。</w:t>
      </w:r>
    </w:p>
    <w:p w14:paraId="37691839">
      <w:pPr>
        <w:pStyle w:val="6"/>
        <w:keepLines w:val="0"/>
        <w:pageBreakBefore w:val="0"/>
        <w:widowControl w:val="0"/>
        <w:kinsoku/>
        <w:wordWrap/>
        <w:overflowPunct/>
        <w:topLinePunct w:val="0"/>
        <w:autoSpaceDE/>
        <w:autoSpaceDN/>
        <w:bidi w:val="0"/>
        <w:adjustRightInd/>
        <w:snapToGrid/>
        <w:spacing w:before="107"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eastAsia="zh-CN"/>
        </w:rPr>
        <w:t>四</w:t>
      </w:r>
      <w:r>
        <w:rPr>
          <w:rFonts w:hint="eastAsia" w:ascii="宋体" w:hAnsi="宋体" w:eastAsia="宋体" w:cs="宋体"/>
          <w:color w:val="auto"/>
          <w:sz w:val="22"/>
          <w:szCs w:val="22"/>
          <w:highlight w:val="none"/>
        </w:rPr>
        <w:t>、合同生效及其它</w:t>
      </w:r>
    </w:p>
    <w:p w14:paraId="4F8874B8">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zh-CN" w:eastAsia="zh-CN"/>
        </w:rPr>
        <w:t>1.</w:t>
      </w:r>
      <w:r>
        <w:rPr>
          <w:rFonts w:hint="eastAsia" w:ascii="宋体" w:hAnsi="宋体" w:eastAsia="宋体" w:cs="宋体"/>
          <w:color w:val="auto"/>
          <w:sz w:val="22"/>
          <w:szCs w:val="22"/>
          <w:highlight w:val="none"/>
          <w:lang w:val="en-US" w:eastAsia="zh-CN"/>
        </w:rPr>
        <w:t>本合同经甲、乙双方签字并加盖单位公章后生效。</w:t>
      </w:r>
    </w:p>
    <w:p w14:paraId="637AA2AC">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zh-CN" w:eastAsia="zh-CN"/>
        </w:rPr>
        <w:t>2.</w:t>
      </w:r>
      <w:r>
        <w:rPr>
          <w:rFonts w:hint="eastAsia" w:ascii="宋体" w:hAnsi="宋体" w:eastAsia="宋体" w:cs="宋体"/>
          <w:color w:val="auto"/>
          <w:sz w:val="22"/>
          <w:szCs w:val="22"/>
          <w:highlight w:val="none"/>
          <w:lang w:val="en-US" w:eastAsia="zh-CN"/>
        </w:rPr>
        <w:t>招标文件、投标文件、项目采购协议或入围承诺书与本合同具有同等法律效力。如前述各项文件之间约定不一致的，应以最新签署的文件内容为准。</w:t>
      </w:r>
    </w:p>
    <w:p w14:paraId="6276F8C8">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zh-CN" w:eastAsia="zh-CN"/>
        </w:rPr>
        <w:t>3.</w:t>
      </w:r>
      <w:r>
        <w:rPr>
          <w:rFonts w:hint="eastAsia" w:ascii="宋体" w:hAnsi="宋体" w:eastAsia="宋体" w:cs="宋体"/>
          <w:color w:val="auto"/>
          <w:sz w:val="22"/>
          <w:szCs w:val="22"/>
          <w:highlight w:val="none"/>
          <w:lang w:val="en-US" w:eastAsia="zh-CN"/>
        </w:rPr>
        <w:t>本合同未尽事宜，遵照《民法典》有关条文执行。</w:t>
      </w:r>
    </w:p>
    <w:p w14:paraId="532D74B0">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zh-CN" w:eastAsia="zh-CN"/>
        </w:rPr>
        <w:t>4.</w:t>
      </w:r>
      <w:r>
        <w:rPr>
          <w:rFonts w:hint="eastAsia" w:ascii="宋体" w:hAnsi="宋体" w:eastAsia="宋体" w:cs="宋体"/>
          <w:color w:val="auto"/>
          <w:sz w:val="22"/>
          <w:szCs w:val="22"/>
          <w:highlight w:val="none"/>
          <w:lang w:val="en-US" w:eastAsia="zh-CN"/>
        </w:rPr>
        <w:t>本合同一式肆份，甲方贰份乙方贰份，具有同等法律效力。</w:t>
      </w:r>
    </w:p>
    <w:p w14:paraId="5EEF837E">
      <w:pPr>
        <w:pStyle w:val="331"/>
        <w:keepLines w:val="0"/>
        <w:pageBreakBefore w:val="0"/>
        <w:widowControl w:val="0"/>
        <w:numPr>
          <w:ilvl w:val="-1"/>
          <w:numId w:val="0"/>
        </w:numPr>
        <w:tabs>
          <w:tab w:val="left" w:pos="522"/>
        </w:tabs>
        <w:kinsoku/>
        <w:wordWrap/>
        <w:overflowPunct/>
        <w:topLinePunct w:val="0"/>
        <w:autoSpaceDE/>
        <w:autoSpaceDN/>
        <w:bidi w:val="0"/>
        <w:adjustRightInd/>
        <w:snapToGrid/>
        <w:spacing w:before="22"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zh-CN" w:eastAsia="zh-CN"/>
        </w:rPr>
        <w:t>5.</w:t>
      </w:r>
      <w:r>
        <w:rPr>
          <w:rFonts w:hint="eastAsia" w:ascii="宋体" w:hAnsi="宋体" w:eastAsia="宋体" w:cs="宋体"/>
          <w:color w:val="auto"/>
          <w:sz w:val="22"/>
          <w:szCs w:val="22"/>
          <w:highlight w:val="none"/>
          <w:lang w:val="en-US" w:eastAsia="zh-CN"/>
        </w:rPr>
        <w:t>附件设备配置清单系本合同不可分割的组成部分，与本合同具有同等法律效力。</w:t>
      </w:r>
    </w:p>
    <w:p w14:paraId="1AB1386A">
      <w:pPr>
        <w:keepLines w:val="0"/>
        <w:pageBreakBefore w:val="0"/>
        <w:widowControl w:val="0"/>
        <w:tabs>
          <w:tab w:val="left" w:pos="522"/>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p>
    <w:p w14:paraId="7DB2CF06">
      <w:pPr>
        <w:keepLines w:val="0"/>
        <w:pageBreakBefore w:val="0"/>
        <w:widowControl w:val="0"/>
        <w:tabs>
          <w:tab w:val="left" w:pos="522"/>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以下无正文</w:t>
      </w:r>
    </w:p>
    <w:p w14:paraId="20136889">
      <w:pPr>
        <w:pStyle w:val="23"/>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甲方（盖章）：                                            乙方（盖章）：</w:t>
      </w:r>
    </w:p>
    <w:p w14:paraId="26D64A9B">
      <w:pPr>
        <w:pStyle w:val="23"/>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地址： 温州市六虹桥蛟尾路9号   </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地址：</w:t>
      </w:r>
    </w:p>
    <w:p w14:paraId="4CE84712">
      <w:pPr>
        <w:pStyle w:val="23"/>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法定（授权）代表人：</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法定（授权）代表人：</w:t>
      </w:r>
    </w:p>
    <w:p w14:paraId="3C477B73">
      <w:pPr>
        <w:pStyle w:val="23"/>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签字日期：</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年   月   日                              签字日期：</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年   月    日</w:t>
      </w:r>
    </w:p>
    <w:p w14:paraId="4AE4A6A1">
      <w:pPr>
        <w:pStyle w:val="23"/>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auto"/>
          <w:sz w:val="22"/>
          <w:szCs w:val="22"/>
          <w:highlight w:val="none"/>
        </w:rPr>
      </w:pPr>
    </w:p>
    <w:p w14:paraId="3A34B21E">
      <w:pPr>
        <w:keepLines w:val="0"/>
        <w:pageBreakBefore w:val="0"/>
        <w:kinsoku/>
        <w:wordWrap/>
        <w:topLinePunct w:val="0"/>
        <w:bidi w:val="0"/>
        <w:spacing w:line="460" w:lineRule="exact"/>
        <w:rPr>
          <w:rFonts w:hint="eastAsia" w:ascii="宋体" w:hAnsi="宋体" w:eastAsia="宋体" w:cs="宋体"/>
          <w:color w:val="auto"/>
          <w:highlight w:val="none"/>
        </w:rPr>
      </w:pPr>
      <w:r>
        <w:rPr>
          <w:rFonts w:hint="eastAsia" w:ascii="宋体" w:hAnsi="宋体" w:eastAsia="宋体" w:cs="宋体"/>
          <w:b w:val="0"/>
          <w:bCs/>
          <w:color w:val="auto"/>
          <w:sz w:val="24"/>
          <w:szCs w:val="24"/>
          <w:highlight w:val="none"/>
          <w:lang w:val="en-US" w:eastAsia="zh-CN"/>
        </w:rPr>
        <w:br w:type="page"/>
      </w:r>
      <w:bookmarkStart w:id="28" w:name="_Toc18439"/>
      <w:bookmarkStart w:id="29" w:name="_Toc19081"/>
    </w:p>
    <w:p w14:paraId="0B0A38B7">
      <w:pPr>
        <w:pStyle w:val="5"/>
        <w:rPr>
          <w:rFonts w:ascii="宋体" w:hAnsi="宋体" w:eastAsia="宋体" w:cs="宋体"/>
          <w:color w:val="auto"/>
          <w:highlight w:val="none"/>
        </w:rPr>
      </w:pPr>
      <w:r>
        <w:rPr>
          <w:rFonts w:hint="eastAsia" w:ascii="宋体" w:hAnsi="宋体" w:eastAsia="宋体" w:cs="宋体"/>
          <w:color w:val="auto"/>
          <w:highlight w:val="none"/>
        </w:rPr>
        <w:t>第三部分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附件</w:t>
      </w:r>
      <w:bookmarkEnd w:id="28"/>
      <w:bookmarkEnd w:id="29"/>
    </w:p>
    <w:p w14:paraId="4C5593D6">
      <w:pPr>
        <w:pStyle w:val="24"/>
        <w:spacing w:line="460" w:lineRule="exact"/>
        <w:ind w:left="433" w:hanging="433" w:hangingChars="196"/>
        <w:outlineLvl w:val="1"/>
        <w:rPr>
          <w:rFonts w:ascii="宋体" w:hAnsi="宋体" w:cs="宋体"/>
          <w:b/>
          <w:color w:val="auto"/>
          <w:sz w:val="22"/>
          <w:highlight w:val="none"/>
        </w:rPr>
      </w:pPr>
      <w:bookmarkStart w:id="30" w:name="_Toc7056"/>
      <w:bookmarkStart w:id="31" w:name="_Toc6368"/>
      <w:r>
        <w:rPr>
          <w:rFonts w:hint="eastAsia" w:ascii="宋体" w:hAnsi="宋体" w:cs="宋体"/>
          <w:b/>
          <w:color w:val="auto"/>
          <w:sz w:val="22"/>
          <w:highlight w:val="none"/>
        </w:rPr>
        <w:t>附件一</w:t>
      </w:r>
      <w:bookmarkEnd w:id="30"/>
      <w:bookmarkEnd w:id="31"/>
    </w:p>
    <w:p w14:paraId="39730827">
      <w:pPr>
        <w:spacing w:line="360" w:lineRule="auto"/>
        <w:jc w:val="center"/>
        <w:outlineLvl w:val="2"/>
        <w:rPr>
          <w:rFonts w:ascii="宋体" w:hAnsi="宋体" w:cs="宋体"/>
          <w:b/>
          <w:bCs/>
          <w:color w:val="auto"/>
          <w:sz w:val="28"/>
          <w:szCs w:val="28"/>
          <w:highlight w:val="none"/>
        </w:rPr>
      </w:pPr>
      <w:bookmarkStart w:id="32" w:name="_Toc13365"/>
      <w:bookmarkStart w:id="33" w:name="_Toc5430"/>
      <w:r>
        <w:rPr>
          <w:rFonts w:hint="eastAsia" w:ascii="宋体" w:hAnsi="宋体" w:cs="宋体"/>
          <w:b/>
          <w:bCs/>
          <w:color w:val="auto"/>
          <w:sz w:val="28"/>
          <w:szCs w:val="28"/>
          <w:highlight w:val="none"/>
        </w:rPr>
        <w:t>报价文件</w:t>
      </w:r>
      <w:bookmarkEnd w:id="32"/>
      <w:bookmarkEnd w:id="33"/>
    </w:p>
    <w:p w14:paraId="3FC036B2">
      <w:pPr>
        <w:spacing w:line="360" w:lineRule="auto"/>
        <w:jc w:val="center"/>
        <w:outlineLvl w:val="3"/>
        <w:rPr>
          <w:rFonts w:ascii="宋体" w:hAnsi="宋体" w:cs="宋体"/>
          <w:b/>
          <w:color w:val="auto"/>
          <w:sz w:val="28"/>
          <w:szCs w:val="28"/>
          <w:highlight w:val="none"/>
          <w:lang w:val="zh-CN"/>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lang w:val="zh-CN"/>
        </w:rPr>
        <w:t>投标函</w:t>
      </w:r>
    </w:p>
    <w:p w14:paraId="3B29A8E5">
      <w:pPr>
        <w:keepNext w:val="0"/>
        <w:keepLines w:val="0"/>
        <w:pageBreakBefore w:val="0"/>
        <w:widowControl w:val="0"/>
        <w:kinsoku/>
        <w:wordWrap/>
        <w:overflowPunct/>
        <w:topLinePunct w:val="0"/>
        <w:autoSpaceDE/>
        <w:autoSpaceDN/>
        <w:bidi w:val="0"/>
        <w:adjustRightInd/>
        <w:spacing w:line="46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致：温州市中医院</w:t>
      </w:r>
    </w:p>
    <w:p w14:paraId="3A799C5E">
      <w:pPr>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项目（招标编号：</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w:t>
      </w:r>
      <w:r>
        <w:rPr>
          <w:rFonts w:hint="eastAsia" w:ascii="宋体" w:hAnsi="宋体" w:cs="宋体"/>
          <w:color w:val="auto"/>
          <w:sz w:val="22"/>
          <w:szCs w:val="22"/>
          <w:highlight w:val="none"/>
        </w:rPr>
        <w:t>（投标人名称）作为投标人正式授权</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w:t>
      </w:r>
      <w:r>
        <w:rPr>
          <w:rFonts w:hint="eastAsia" w:ascii="宋体" w:hAnsi="宋体" w:cs="宋体"/>
          <w:color w:val="auto"/>
          <w:sz w:val="22"/>
          <w:szCs w:val="22"/>
          <w:highlight w:val="none"/>
        </w:rPr>
        <w:t>（授权代表全名，职务）代表我方处理有关本投标的一切事宜。为此：</w:t>
      </w:r>
    </w:p>
    <w:p w14:paraId="6E579632">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1、我方同意在投标人</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规定的开标日期起遵守本投标书中的承诺且在投标有效期满之前均具有约束力。</w:t>
      </w:r>
    </w:p>
    <w:p w14:paraId="58BB8C18">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2、我方承诺已经具备《中华人民共和国政府采购法》中规定的参加政府采购活动的供应商应当具备的条件：</w:t>
      </w:r>
    </w:p>
    <w:p w14:paraId="07E2A147">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60E5E6E9">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(2)遵守国家法律、行政法规，具有良好的信誉和商业道德；</w:t>
      </w:r>
    </w:p>
    <w:p w14:paraId="0AC688D8">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(3)具有履行合同的能力和良好的履行合同记录；</w:t>
      </w:r>
    </w:p>
    <w:p w14:paraId="1B3AD077">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(4)良好的资金、财务状况；</w:t>
      </w:r>
    </w:p>
    <w:p w14:paraId="0E5F8212">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(5)提供的产品和服务符合中国政府规定的相应标准和环保标准；</w:t>
      </w:r>
    </w:p>
    <w:p w14:paraId="5DBA942B">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(6)没有违反政府采购法规、政策的记录；</w:t>
      </w:r>
    </w:p>
    <w:p w14:paraId="0C6CD87C">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(7)没有发生重大经济纠纷和走私犯罪记录。</w:t>
      </w:r>
    </w:p>
    <w:p w14:paraId="02CD6E41">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3、提供</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规定的全部投标文件，包括资格文件、报价文件、商务技术文件。具体内容为：</w:t>
      </w:r>
    </w:p>
    <w:p w14:paraId="6D0BD7DF">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(1)资格文件</w:t>
      </w:r>
    </w:p>
    <w:p w14:paraId="21B53816">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(2)报价文件；</w:t>
      </w:r>
    </w:p>
    <w:p w14:paraId="4FC3AFB4">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商务</w:t>
      </w:r>
      <w:r>
        <w:rPr>
          <w:rFonts w:hint="eastAsia" w:ascii="宋体" w:hAnsi="宋体" w:cs="宋体"/>
          <w:color w:val="auto"/>
          <w:kern w:val="0"/>
          <w:sz w:val="22"/>
          <w:szCs w:val="22"/>
          <w:highlight w:val="none"/>
          <w:lang w:val="zh-CN"/>
        </w:rPr>
        <w:t>技术文件</w:t>
      </w:r>
      <w:r>
        <w:rPr>
          <w:rFonts w:hint="eastAsia" w:ascii="宋体" w:hAnsi="宋体" w:cs="宋体"/>
          <w:color w:val="auto"/>
          <w:sz w:val="22"/>
          <w:szCs w:val="22"/>
          <w:highlight w:val="none"/>
        </w:rPr>
        <w:t>；</w:t>
      </w:r>
    </w:p>
    <w:p w14:paraId="4139A7DE">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要求投标人提交的全部文件；</w:t>
      </w:r>
    </w:p>
    <w:p w14:paraId="7DFB8C9B">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(5)按招标文件要求提供和交付的货物和服务的投标报价详见开标一览表；</w:t>
      </w:r>
    </w:p>
    <w:p w14:paraId="5CDB9CD2">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(6)保证忠实地执行双方所签订的合同，并承担合同规定的责任和义务；</w:t>
      </w:r>
    </w:p>
    <w:p w14:paraId="5EB05C57">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(7)保证遵守招标文件中的其他有关规定。</w:t>
      </w:r>
    </w:p>
    <w:p w14:paraId="254D892F">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4、投标有效期内不撤销投标文件，如中标，有效期将延至合同终止日为止。</w:t>
      </w:r>
    </w:p>
    <w:p w14:paraId="5A03CFCC">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5、我方完全理解贵方不一定要接受最低价的投标。</w:t>
      </w:r>
    </w:p>
    <w:p w14:paraId="5C69C015">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05A61C25">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7、如中标，按招标文件规定的招标代理服务费标准，在领取中标通知书时向招标代理机构支付招标代理服务费。</w:t>
      </w:r>
    </w:p>
    <w:p w14:paraId="76351C0C">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8、我方愿意向贵方提供任何与该项投标有关的数据、情况和服务资料。若贵方需要，我方愿意提供我方作出的一切承诺的证明材料。</w:t>
      </w:r>
    </w:p>
    <w:p w14:paraId="3ED0E5A7">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044F023D">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23F1095">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(1)提供虚假材料谋取中标、成交的；</w:t>
      </w:r>
    </w:p>
    <w:p w14:paraId="020EA2EF">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(2)采取不正当手段诋毁、排挤其他供应商的；</w:t>
      </w:r>
    </w:p>
    <w:p w14:paraId="42E50547">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(3)与招标人、其它供应商或者招标代理机构恶意串通的；</w:t>
      </w:r>
    </w:p>
    <w:p w14:paraId="62B58EFD">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(4)向招标人、招标代理机构行贿或者提供其他不正当利益的；</w:t>
      </w:r>
    </w:p>
    <w:p w14:paraId="258D2EC7">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(5)在招标采购过程中与招标人进行协商谈判的；</w:t>
      </w:r>
    </w:p>
    <w:p w14:paraId="5A180708">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(6)拒绝有关部门监督检查或提供虚假情况的。</w:t>
      </w:r>
    </w:p>
    <w:p w14:paraId="79761702">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供应商有前款第(1)至(</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)项情形之一的，中标、成交无效。</w:t>
      </w:r>
    </w:p>
    <w:p w14:paraId="6D2B608D">
      <w:pPr>
        <w:shd w:val="clear" w:color="auto" w:fill="FFFFFF"/>
        <w:snapToGrid w:val="0"/>
        <w:spacing w:line="360" w:lineRule="auto"/>
        <w:rPr>
          <w:rFonts w:ascii="宋体" w:hAnsi="宋体" w:cs="宋体"/>
          <w:color w:val="auto"/>
          <w:kern w:val="0"/>
          <w:sz w:val="22"/>
          <w:szCs w:val="22"/>
          <w:highlight w:val="none"/>
          <w:lang w:val="zh-CN"/>
        </w:rPr>
      </w:pPr>
    </w:p>
    <w:p w14:paraId="2C5E22E0">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法定（授权）代表人（签字）：</w:t>
      </w:r>
      <w:r>
        <w:rPr>
          <w:rFonts w:hint="eastAsia" w:ascii="宋体" w:hAnsi="宋体" w:cs="宋体"/>
          <w:color w:val="auto"/>
          <w:kern w:val="0"/>
          <w:sz w:val="22"/>
          <w:szCs w:val="22"/>
          <w:highlight w:val="none"/>
        </w:rPr>
        <w:tab/>
      </w:r>
    </w:p>
    <w:p w14:paraId="2102D1B3">
      <w:pPr>
        <w:shd w:val="clear" w:color="auto" w:fill="FFFFFF"/>
        <w:snapToGrid w:val="0"/>
        <w:spacing w:line="360" w:lineRule="auto"/>
        <w:ind w:firstLine="440" w:firstLineChars="200"/>
        <w:rPr>
          <w:rFonts w:ascii="宋体" w:hAnsi="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投标人（盖章）：</w:t>
      </w:r>
      <w:r>
        <w:rPr>
          <w:rFonts w:hint="eastAsia" w:ascii="宋体" w:hAnsi="宋体" w:cs="宋体"/>
          <w:color w:val="auto"/>
          <w:kern w:val="0"/>
          <w:sz w:val="22"/>
          <w:szCs w:val="22"/>
          <w:highlight w:val="none"/>
        </w:rPr>
        <w:tab/>
      </w:r>
    </w:p>
    <w:p w14:paraId="0C88DFE3">
      <w:pPr>
        <w:shd w:val="clear" w:color="auto" w:fill="FFFFFF"/>
        <w:snapToGrid w:val="0"/>
        <w:spacing w:line="360" w:lineRule="auto"/>
        <w:ind w:firstLine="440" w:firstLineChars="200"/>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联系电话：</w:t>
      </w:r>
    </w:p>
    <w:p w14:paraId="4B393671">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电子邮件：</w:t>
      </w:r>
    </w:p>
    <w:p w14:paraId="257D59F5">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联系地址：</w:t>
      </w:r>
      <w:r>
        <w:rPr>
          <w:rFonts w:hint="eastAsia" w:ascii="宋体" w:hAnsi="宋体" w:cs="宋体"/>
          <w:color w:val="auto"/>
          <w:kern w:val="0"/>
          <w:sz w:val="22"/>
          <w:szCs w:val="22"/>
          <w:highlight w:val="none"/>
        </w:rPr>
        <w:tab/>
      </w:r>
    </w:p>
    <w:p w14:paraId="5997FF1E">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邮政编码：</w:t>
      </w:r>
    </w:p>
    <w:p w14:paraId="550296BB">
      <w:pPr>
        <w:shd w:val="clear" w:color="auto" w:fill="FFFFFF"/>
        <w:snapToGrid w:val="0"/>
        <w:spacing w:line="360" w:lineRule="auto"/>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lang w:val="zh-CN"/>
        </w:rPr>
        <w:t>日期</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zh-CN"/>
        </w:rPr>
        <w:t>年</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lang w:val="zh-CN"/>
        </w:rPr>
        <w:t>日</w:t>
      </w:r>
    </w:p>
    <w:p w14:paraId="522AACB6">
      <w:pPr>
        <w:spacing w:line="440" w:lineRule="exact"/>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val="zh-CN"/>
        </w:rPr>
        <w:t>注：未按照本投标响应函要求填报的将被视为非实质性响应，从而可能导致该投标文件被拒绝。</w:t>
      </w:r>
    </w:p>
    <w:p w14:paraId="5CC9236E">
      <w:pPr>
        <w:pStyle w:val="24"/>
        <w:ind w:left="442" w:hanging="442"/>
        <w:rPr>
          <w:rFonts w:ascii="宋体" w:hAnsi="宋体" w:cs="宋体"/>
          <w:b/>
          <w:bCs/>
          <w:color w:val="auto"/>
          <w:sz w:val="22"/>
          <w:szCs w:val="22"/>
          <w:highlight w:val="none"/>
        </w:rPr>
      </w:pPr>
    </w:p>
    <w:p w14:paraId="1EC10F68">
      <w:pPr>
        <w:pStyle w:val="24"/>
        <w:ind w:left="442" w:hanging="442"/>
        <w:rPr>
          <w:rFonts w:ascii="宋体" w:hAnsi="宋体" w:cs="宋体"/>
          <w:b/>
          <w:bCs/>
          <w:color w:val="auto"/>
          <w:sz w:val="22"/>
          <w:szCs w:val="22"/>
          <w:highlight w:val="none"/>
        </w:rPr>
      </w:pPr>
    </w:p>
    <w:p w14:paraId="585201F9">
      <w:pPr>
        <w:pStyle w:val="24"/>
        <w:ind w:left="442" w:hanging="442"/>
        <w:rPr>
          <w:rFonts w:ascii="宋体" w:hAnsi="宋体" w:cs="宋体"/>
          <w:b/>
          <w:bCs/>
          <w:color w:val="auto"/>
          <w:sz w:val="22"/>
          <w:szCs w:val="22"/>
          <w:highlight w:val="none"/>
        </w:rPr>
      </w:pPr>
    </w:p>
    <w:p w14:paraId="1BC1B078">
      <w:pPr>
        <w:pStyle w:val="24"/>
        <w:ind w:left="442" w:hanging="442"/>
        <w:rPr>
          <w:rFonts w:ascii="宋体" w:hAnsi="宋体" w:cs="宋体"/>
          <w:b/>
          <w:bCs/>
          <w:color w:val="auto"/>
          <w:sz w:val="22"/>
          <w:szCs w:val="22"/>
          <w:highlight w:val="none"/>
        </w:rPr>
      </w:pPr>
    </w:p>
    <w:p w14:paraId="38F366AA">
      <w:pPr>
        <w:pStyle w:val="24"/>
        <w:ind w:left="442" w:hanging="442"/>
        <w:rPr>
          <w:rFonts w:ascii="宋体" w:hAnsi="宋体" w:cs="宋体"/>
          <w:b/>
          <w:bCs/>
          <w:color w:val="auto"/>
          <w:sz w:val="22"/>
          <w:szCs w:val="22"/>
          <w:highlight w:val="none"/>
        </w:rPr>
      </w:pPr>
    </w:p>
    <w:p w14:paraId="23CA8CEA">
      <w:pPr>
        <w:pStyle w:val="24"/>
        <w:ind w:left="442" w:hanging="442"/>
        <w:rPr>
          <w:rFonts w:ascii="宋体" w:hAnsi="宋体" w:cs="宋体"/>
          <w:b/>
          <w:bCs/>
          <w:color w:val="auto"/>
          <w:sz w:val="22"/>
          <w:szCs w:val="22"/>
          <w:highlight w:val="none"/>
        </w:rPr>
      </w:pPr>
    </w:p>
    <w:p w14:paraId="249DB8C6">
      <w:pPr>
        <w:rPr>
          <w:rFonts w:ascii="宋体" w:hAnsi="宋体" w:cs="宋体"/>
          <w:b/>
          <w:color w:val="auto"/>
          <w:sz w:val="22"/>
          <w:szCs w:val="22"/>
          <w:highlight w:val="none"/>
        </w:rPr>
      </w:pPr>
      <w:r>
        <w:rPr>
          <w:rFonts w:hint="eastAsia" w:ascii="宋体" w:hAnsi="宋体" w:cs="宋体"/>
          <w:b/>
          <w:color w:val="auto"/>
          <w:sz w:val="22"/>
          <w:szCs w:val="22"/>
          <w:highlight w:val="none"/>
        </w:rPr>
        <w:br w:type="page"/>
      </w:r>
    </w:p>
    <w:p w14:paraId="1215BE62">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8"/>
          <w:szCs w:val="28"/>
          <w:highlight w:val="none"/>
        </w:rPr>
        <w:t>2、</w:t>
      </w:r>
      <w:r>
        <w:rPr>
          <w:rFonts w:hint="eastAsia" w:ascii="宋体" w:hAnsi="宋体" w:cs="宋体"/>
          <w:b/>
          <w:color w:val="auto"/>
          <w:sz w:val="28"/>
          <w:szCs w:val="28"/>
          <w:highlight w:val="none"/>
          <w:lang w:val="zh-CN"/>
        </w:rPr>
        <w:t>投标报价一览表</w:t>
      </w:r>
    </w:p>
    <w:p w14:paraId="102C9456">
      <w:pPr>
        <w:spacing w:line="380" w:lineRule="exact"/>
        <w:rPr>
          <w:rFonts w:ascii="宋体" w:hAnsi="宋体" w:cs="宋体"/>
          <w:b/>
          <w:bCs/>
          <w:color w:val="auto"/>
          <w:sz w:val="22"/>
          <w:szCs w:val="22"/>
          <w:highlight w:val="none"/>
        </w:rPr>
      </w:pPr>
    </w:p>
    <w:p w14:paraId="6F043DCC">
      <w:pPr>
        <w:spacing w:line="380" w:lineRule="exact"/>
        <w:rPr>
          <w:rFonts w:ascii="宋体" w:hAnsi="宋体" w:cs="宋体"/>
          <w:color w:val="auto"/>
          <w:sz w:val="22"/>
          <w:szCs w:val="22"/>
          <w:highlight w:val="none"/>
        </w:rPr>
      </w:pPr>
    </w:p>
    <w:p w14:paraId="58454C7F">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7F172D0C">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3EDE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14:paraId="58EDE597">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vAlign w:val="center"/>
          </w:tcPr>
          <w:p w14:paraId="513D1342">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5413" w:type="dxa"/>
            <w:vAlign w:val="center"/>
          </w:tcPr>
          <w:p w14:paraId="1956127B">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报价（人民币）</w:t>
            </w:r>
          </w:p>
        </w:tc>
        <w:tc>
          <w:tcPr>
            <w:tcW w:w="868" w:type="dxa"/>
            <w:vAlign w:val="center"/>
          </w:tcPr>
          <w:p w14:paraId="6ABAC628">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09C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0520BD18">
            <w:pPr>
              <w:spacing w:line="380" w:lineRule="exact"/>
              <w:jc w:val="center"/>
              <w:rPr>
                <w:rFonts w:ascii="宋体" w:hAnsi="宋体" w:cs="宋体"/>
                <w:color w:val="auto"/>
                <w:sz w:val="22"/>
                <w:highlight w:val="none"/>
              </w:rPr>
            </w:pPr>
          </w:p>
        </w:tc>
        <w:tc>
          <w:tcPr>
            <w:tcW w:w="2522" w:type="dxa"/>
            <w:vMerge w:val="restart"/>
            <w:vAlign w:val="center"/>
          </w:tcPr>
          <w:p w14:paraId="326952AA">
            <w:pPr>
              <w:spacing w:line="380" w:lineRule="exact"/>
              <w:jc w:val="center"/>
              <w:rPr>
                <w:rFonts w:ascii="宋体" w:hAnsi="宋体" w:cs="宋体"/>
                <w:color w:val="auto"/>
                <w:sz w:val="22"/>
                <w:highlight w:val="none"/>
              </w:rPr>
            </w:pPr>
          </w:p>
        </w:tc>
        <w:tc>
          <w:tcPr>
            <w:tcW w:w="5413" w:type="dxa"/>
            <w:vAlign w:val="center"/>
          </w:tcPr>
          <w:p w14:paraId="726E793A">
            <w:pPr>
              <w:spacing w:line="380" w:lineRule="exact"/>
              <w:rPr>
                <w:rFonts w:ascii="宋体" w:hAnsi="宋体" w:cs="宋体"/>
                <w:color w:val="auto"/>
                <w:sz w:val="22"/>
                <w:highlight w:val="none"/>
              </w:rPr>
            </w:pPr>
            <w:r>
              <w:rPr>
                <w:rFonts w:hint="eastAsia" w:ascii="宋体" w:hAnsi="宋体" w:cs="宋体"/>
                <w:color w:val="auto"/>
                <w:sz w:val="22"/>
                <w:highlight w:val="none"/>
              </w:rPr>
              <w:t>大写：</w:t>
            </w:r>
          </w:p>
        </w:tc>
        <w:tc>
          <w:tcPr>
            <w:tcW w:w="868" w:type="dxa"/>
            <w:vMerge w:val="restart"/>
            <w:vAlign w:val="center"/>
          </w:tcPr>
          <w:p w14:paraId="02D11F95">
            <w:pPr>
              <w:spacing w:line="380" w:lineRule="exact"/>
              <w:jc w:val="center"/>
              <w:rPr>
                <w:rFonts w:ascii="宋体" w:hAnsi="宋体" w:cs="宋体"/>
                <w:color w:val="auto"/>
                <w:sz w:val="22"/>
                <w:highlight w:val="none"/>
              </w:rPr>
            </w:pPr>
          </w:p>
        </w:tc>
      </w:tr>
      <w:tr w14:paraId="393C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387B40F6">
            <w:pPr>
              <w:spacing w:line="380" w:lineRule="exact"/>
              <w:jc w:val="center"/>
              <w:rPr>
                <w:rFonts w:ascii="宋体" w:hAnsi="宋体" w:cs="宋体"/>
                <w:color w:val="auto"/>
                <w:sz w:val="22"/>
                <w:highlight w:val="none"/>
              </w:rPr>
            </w:pPr>
          </w:p>
        </w:tc>
        <w:tc>
          <w:tcPr>
            <w:tcW w:w="2522" w:type="dxa"/>
            <w:vMerge w:val="continue"/>
            <w:vAlign w:val="center"/>
          </w:tcPr>
          <w:p w14:paraId="6B7C5C45">
            <w:pPr>
              <w:spacing w:line="380" w:lineRule="exact"/>
              <w:jc w:val="center"/>
              <w:rPr>
                <w:rFonts w:ascii="宋体" w:hAnsi="宋体" w:cs="宋体"/>
                <w:color w:val="auto"/>
                <w:sz w:val="22"/>
                <w:highlight w:val="none"/>
              </w:rPr>
            </w:pPr>
          </w:p>
        </w:tc>
        <w:tc>
          <w:tcPr>
            <w:tcW w:w="5413" w:type="dxa"/>
            <w:vAlign w:val="center"/>
          </w:tcPr>
          <w:p w14:paraId="3BA0A3EC">
            <w:pPr>
              <w:spacing w:line="380" w:lineRule="exact"/>
              <w:rPr>
                <w:rFonts w:ascii="宋体" w:hAnsi="宋体" w:cs="宋体"/>
                <w:color w:val="auto"/>
                <w:sz w:val="22"/>
                <w:highlight w:val="none"/>
              </w:rPr>
            </w:pPr>
            <w:r>
              <w:rPr>
                <w:rFonts w:hint="eastAsia" w:ascii="宋体" w:hAnsi="宋体" w:cs="宋体"/>
                <w:color w:val="auto"/>
                <w:sz w:val="22"/>
                <w:highlight w:val="none"/>
              </w:rPr>
              <w:t>小写：</w:t>
            </w:r>
          </w:p>
        </w:tc>
        <w:tc>
          <w:tcPr>
            <w:tcW w:w="868" w:type="dxa"/>
            <w:vMerge w:val="continue"/>
            <w:vAlign w:val="center"/>
          </w:tcPr>
          <w:p w14:paraId="70634F60">
            <w:pPr>
              <w:spacing w:line="380" w:lineRule="exact"/>
              <w:jc w:val="center"/>
              <w:rPr>
                <w:rFonts w:ascii="宋体" w:hAnsi="宋体" w:cs="宋体"/>
                <w:color w:val="auto"/>
                <w:sz w:val="22"/>
                <w:highlight w:val="none"/>
              </w:rPr>
            </w:pPr>
          </w:p>
        </w:tc>
      </w:tr>
    </w:tbl>
    <w:p w14:paraId="3C972C7C">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102B1184">
      <w:p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1、此栏投标报价应与“3、投标分项报价表”中的总计价相一致。</w:t>
      </w:r>
    </w:p>
    <w:p w14:paraId="183DCC98">
      <w:pPr>
        <w:spacing w:line="450" w:lineRule="exact"/>
        <w:ind w:firstLine="541" w:firstLineChars="245"/>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2、不提供此表格将被视为没有实质性响应招标文件</w:t>
      </w:r>
      <w:r>
        <w:rPr>
          <w:rFonts w:hint="eastAsia" w:ascii="宋体" w:hAnsi="宋体" w:eastAsia="宋体" w:cs="宋体"/>
          <w:b/>
          <w:color w:val="auto"/>
          <w:sz w:val="22"/>
          <w:highlight w:val="none"/>
          <w:lang w:eastAsia="zh-CN"/>
        </w:rPr>
        <w:t>。</w:t>
      </w:r>
    </w:p>
    <w:p w14:paraId="3F3867F2">
      <w:pPr>
        <w:spacing w:line="450" w:lineRule="exact"/>
        <w:ind w:firstLine="541" w:firstLineChars="245"/>
        <w:rPr>
          <w:rFonts w:hint="default"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如投标人报价超过预算金额按无效标处理。</w:t>
      </w:r>
    </w:p>
    <w:p w14:paraId="2B921BA1">
      <w:pPr>
        <w:spacing w:line="360" w:lineRule="auto"/>
        <w:jc w:val="center"/>
        <w:rPr>
          <w:rFonts w:ascii="宋体" w:hAnsi="宋体" w:cs="宋体"/>
          <w:color w:val="auto"/>
          <w:sz w:val="22"/>
          <w:szCs w:val="22"/>
          <w:highlight w:val="none"/>
        </w:rPr>
      </w:pPr>
    </w:p>
    <w:p w14:paraId="605C96B7">
      <w:pPr>
        <w:spacing w:line="360" w:lineRule="auto"/>
        <w:jc w:val="left"/>
        <w:rPr>
          <w:rFonts w:ascii="宋体" w:hAnsi="宋体" w:cs="宋体"/>
          <w:color w:val="auto"/>
          <w:sz w:val="22"/>
          <w:szCs w:val="22"/>
          <w:highlight w:val="none"/>
        </w:rPr>
      </w:pPr>
    </w:p>
    <w:p w14:paraId="4B4B4EC0">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2C736B1">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673A814C">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5455996F">
      <w:pPr>
        <w:pStyle w:val="25"/>
        <w:ind w:left="860" w:hanging="440"/>
        <w:rPr>
          <w:rFonts w:ascii="宋体" w:hAnsi="宋体"/>
          <w:color w:val="auto"/>
          <w:sz w:val="22"/>
          <w:szCs w:val="22"/>
          <w:highlight w:val="none"/>
        </w:rPr>
      </w:pPr>
    </w:p>
    <w:p w14:paraId="7A32C3A0">
      <w:pPr>
        <w:pStyle w:val="25"/>
        <w:ind w:left="860" w:hanging="440"/>
        <w:rPr>
          <w:rFonts w:ascii="宋体" w:hAnsi="宋体"/>
          <w:color w:val="auto"/>
          <w:sz w:val="22"/>
          <w:szCs w:val="22"/>
          <w:highlight w:val="none"/>
        </w:rPr>
      </w:pPr>
    </w:p>
    <w:p w14:paraId="095B2C9F">
      <w:pPr>
        <w:pStyle w:val="25"/>
        <w:ind w:left="860" w:hanging="440"/>
        <w:rPr>
          <w:rFonts w:ascii="宋体" w:hAnsi="宋体"/>
          <w:color w:val="auto"/>
          <w:sz w:val="22"/>
          <w:szCs w:val="22"/>
          <w:highlight w:val="none"/>
        </w:rPr>
      </w:pPr>
    </w:p>
    <w:p w14:paraId="5AFDEF97">
      <w:pPr>
        <w:pStyle w:val="25"/>
        <w:ind w:left="860" w:hanging="440"/>
        <w:rPr>
          <w:rFonts w:ascii="宋体" w:hAnsi="宋体"/>
          <w:color w:val="auto"/>
          <w:sz w:val="22"/>
          <w:szCs w:val="22"/>
          <w:highlight w:val="none"/>
        </w:rPr>
      </w:pPr>
    </w:p>
    <w:p w14:paraId="48CB11E3">
      <w:pPr>
        <w:pStyle w:val="25"/>
        <w:ind w:left="860" w:hanging="440"/>
        <w:rPr>
          <w:rFonts w:ascii="宋体" w:hAnsi="宋体"/>
          <w:color w:val="auto"/>
          <w:sz w:val="22"/>
          <w:szCs w:val="22"/>
          <w:highlight w:val="none"/>
        </w:rPr>
      </w:pPr>
    </w:p>
    <w:p w14:paraId="125A1BA0">
      <w:pPr>
        <w:pStyle w:val="25"/>
        <w:ind w:left="860" w:hanging="440"/>
        <w:rPr>
          <w:rFonts w:ascii="宋体" w:hAnsi="宋体"/>
          <w:color w:val="auto"/>
          <w:sz w:val="22"/>
          <w:szCs w:val="22"/>
          <w:highlight w:val="none"/>
        </w:rPr>
      </w:pPr>
    </w:p>
    <w:p w14:paraId="70486718">
      <w:pPr>
        <w:pStyle w:val="25"/>
        <w:ind w:left="860" w:hanging="440"/>
        <w:rPr>
          <w:rFonts w:ascii="宋体" w:hAnsi="宋体"/>
          <w:color w:val="auto"/>
          <w:sz w:val="22"/>
          <w:szCs w:val="22"/>
          <w:highlight w:val="none"/>
        </w:rPr>
      </w:pPr>
    </w:p>
    <w:p w14:paraId="473CA01A">
      <w:pPr>
        <w:pStyle w:val="25"/>
        <w:ind w:left="860" w:hanging="440"/>
        <w:rPr>
          <w:rFonts w:ascii="宋体" w:hAnsi="宋体"/>
          <w:color w:val="auto"/>
          <w:sz w:val="22"/>
          <w:szCs w:val="22"/>
          <w:highlight w:val="none"/>
        </w:rPr>
      </w:pPr>
    </w:p>
    <w:p w14:paraId="30D817FF">
      <w:pPr>
        <w:pStyle w:val="25"/>
        <w:ind w:left="860" w:hanging="440"/>
        <w:rPr>
          <w:rFonts w:ascii="宋体" w:hAnsi="宋体"/>
          <w:color w:val="auto"/>
          <w:sz w:val="22"/>
          <w:szCs w:val="22"/>
          <w:highlight w:val="none"/>
        </w:rPr>
      </w:pPr>
    </w:p>
    <w:p w14:paraId="3D0C2C03">
      <w:pPr>
        <w:pStyle w:val="25"/>
        <w:ind w:left="860" w:hanging="440"/>
        <w:rPr>
          <w:rFonts w:ascii="宋体" w:hAnsi="宋体"/>
          <w:color w:val="auto"/>
          <w:sz w:val="22"/>
          <w:szCs w:val="22"/>
          <w:highlight w:val="none"/>
        </w:rPr>
      </w:pPr>
    </w:p>
    <w:p w14:paraId="75ACB193">
      <w:pPr>
        <w:pStyle w:val="25"/>
        <w:ind w:left="860" w:hanging="440"/>
        <w:rPr>
          <w:rFonts w:ascii="宋体" w:hAnsi="宋体"/>
          <w:color w:val="auto"/>
          <w:sz w:val="22"/>
          <w:szCs w:val="22"/>
          <w:highlight w:val="none"/>
        </w:rPr>
      </w:pPr>
    </w:p>
    <w:p w14:paraId="4227D109">
      <w:pPr>
        <w:pStyle w:val="25"/>
        <w:ind w:left="860" w:hanging="440"/>
        <w:rPr>
          <w:rFonts w:ascii="宋体" w:hAnsi="宋体"/>
          <w:color w:val="auto"/>
          <w:sz w:val="22"/>
          <w:szCs w:val="22"/>
          <w:highlight w:val="none"/>
        </w:rPr>
      </w:pPr>
    </w:p>
    <w:p w14:paraId="02A8B334">
      <w:pPr>
        <w:pStyle w:val="25"/>
        <w:ind w:left="860" w:hanging="440"/>
        <w:rPr>
          <w:rFonts w:ascii="宋体" w:hAnsi="宋体"/>
          <w:color w:val="auto"/>
          <w:sz w:val="22"/>
          <w:szCs w:val="22"/>
          <w:highlight w:val="none"/>
        </w:rPr>
      </w:pPr>
    </w:p>
    <w:p w14:paraId="2A904C69">
      <w:pPr>
        <w:spacing w:line="400" w:lineRule="exact"/>
        <w:jc w:val="center"/>
        <w:outlineLvl w:val="3"/>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3、分项报价表</w:t>
      </w:r>
    </w:p>
    <w:p w14:paraId="2C8785F3">
      <w:pPr>
        <w:spacing w:line="360" w:lineRule="auto"/>
        <w:rPr>
          <w:rFonts w:ascii="宋体" w:hAnsi="宋体" w:cs="宋体"/>
          <w:color w:val="auto"/>
          <w:sz w:val="22"/>
          <w:szCs w:val="22"/>
          <w:highlight w:val="none"/>
        </w:rPr>
      </w:pPr>
    </w:p>
    <w:p w14:paraId="2373570B">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402AB14C">
      <w:pPr>
        <w:keepNext/>
        <w:spacing w:line="360" w:lineRule="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0"/>
        <w:gridCol w:w="1670"/>
        <w:gridCol w:w="2579"/>
        <w:gridCol w:w="717"/>
        <w:gridCol w:w="1203"/>
        <w:gridCol w:w="1149"/>
        <w:gridCol w:w="736"/>
      </w:tblGrid>
      <w:tr w14:paraId="2828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noWrap w:val="0"/>
            <w:vAlign w:val="center"/>
          </w:tcPr>
          <w:p w14:paraId="2BF6930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序号</w:t>
            </w:r>
          </w:p>
        </w:tc>
        <w:tc>
          <w:tcPr>
            <w:tcW w:w="1310" w:type="dxa"/>
            <w:noWrap w:val="0"/>
            <w:vAlign w:val="center"/>
          </w:tcPr>
          <w:p w14:paraId="0F15400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名称</w:t>
            </w:r>
          </w:p>
        </w:tc>
        <w:tc>
          <w:tcPr>
            <w:tcW w:w="1670" w:type="dxa"/>
            <w:noWrap w:val="0"/>
            <w:vAlign w:val="center"/>
          </w:tcPr>
          <w:p w14:paraId="579AC4DA">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品牌（如有）</w:t>
            </w:r>
          </w:p>
        </w:tc>
        <w:tc>
          <w:tcPr>
            <w:tcW w:w="2579" w:type="dxa"/>
            <w:noWrap w:val="0"/>
            <w:vAlign w:val="center"/>
          </w:tcPr>
          <w:p w14:paraId="42DA307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规格型号（或具体服务）</w:t>
            </w:r>
          </w:p>
        </w:tc>
        <w:tc>
          <w:tcPr>
            <w:tcW w:w="717" w:type="dxa"/>
            <w:noWrap w:val="0"/>
            <w:vAlign w:val="center"/>
          </w:tcPr>
          <w:p w14:paraId="69E82FB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数量</w:t>
            </w:r>
          </w:p>
        </w:tc>
        <w:tc>
          <w:tcPr>
            <w:tcW w:w="1203" w:type="dxa"/>
            <w:noWrap w:val="0"/>
            <w:vAlign w:val="center"/>
          </w:tcPr>
          <w:p w14:paraId="7679B84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单价</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元</w:t>
            </w:r>
            <w:r>
              <w:rPr>
                <w:rFonts w:hint="eastAsia" w:ascii="宋体" w:hAnsi="宋体" w:eastAsia="宋体" w:cs="宋体"/>
                <w:b w:val="0"/>
                <w:bCs/>
                <w:color w:val="auto"/>
                <w:sz w:val="22"/>
                <w:szCs w:val="22"/>
                <w:highlight w:val="none"/>
                <w:lang w:eastAsia="zh-CN"/>
              </w:rPr>
              <w:t>）</w:t>
            </w:r>
          </w:p>
        </w:tc>
        <w:tc>
          <w:tcPr>
            <w:tcW w:w="1149" w:type="dxa"/>
            <w:noWrap w:val="0"/>
            <w:vAlign w:val="center"/>
          </w:tcPr>
          <w:p w14:paraId="35F9F27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总价</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元</w:t>
            </w:r>
            <w:r>
              <w:rPr>
                <w:rFonts w:hint="eastAsia" w:ascii="宋体" w:hAnsi="宋体" w:eastAsia="宋体" w:cs="宋体"/>
                <w:b w:val="0"/>
                <w:bCs/>
                <w:color w:val="auto"/>
                <w:sz w:val="22"/>
                <w:szCs w:val="22"/>
                <w:highlight w:val="none"/>
                <w:lang w:eastAsia="zh-CN"/>
              </w:rPr>
              <w:t>）</w:t>
            </w:r>
          </w:p>
        </w:tc>
        <w:tc>
          <w:tcPr>
            <w:tcW w:w="736" w:type="dxa"/>
            <w:noWrap w:val="0"/>
            <w:vAlign w:val="center"/>
          </w:tcPr>
          <w:p w14:paraId="64608FE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p w14:paraId="6D18D0B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备注</w:t>
            </w:r>
          </w:p>
          <w:p w14:paraId="6D7EAAC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597F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noWrap w:val="0"/>
            <w:vAlign w:val="center"/>
          </w:tcPr>
          <w:p w14:paraId="51B30638">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1310" w:type="dxa"/>
            <w:noWrap w:val="0"/>
            <w:vAlign w:val="center"/>
          </w:tcPr>
          <w:p w14:paraId="60C8EF6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670" w:type="dxa"/>
            <w:noWrap w:val="0"/>
            <w:vAlign w:val="center"/>
          </w:tcPr>
          <w:p w14:paraId="74E447A6">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2579" w:type="dxa"/>
            <w:noWrap w:val="0"/>
            <w:vAlign w:val="center"/>
          </w:tcPr>
          <w:p w14:paraId="5E0B2C9C">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717" w:type="dxa"/>
            <w:noWrap w:val="0"/>
            <w:vAlign w:val="center"/>
          </w:tcPr>
          <w:p w14:paraId="53FE697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203" w:type="dxa"/>
            <w:noWrap w:val="0"/>
            <w:vAlign w:val="center"/>
          </w:tcPr>
          <w:p w14:paraId="6C3FC7EC">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1149" w:type="dxa"/>
            <w:noWrap w:val="0"/>
            <w:vAlign w:val="center"/>
          </w:tcPr>
          <w:p w14:paraId="650243C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736" w:type="dxa"/>
            <w:noWrap w:val="0"/>
            <w:vAlign w:val="center"/>
          </w:tcPr>
          <w:p w14:paraId="59A39F7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58B7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5" w:type="dxa"/>
            <w:noWrap w:val="0"/>
            <w:vAlign w:val="center"/>
          </w:tcPr>
          <w:p w14:paraId="4D1521B8">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1310" w:type="dxa"/>
            <w:noWrap w:val="0"/>
            <w:vAlign w:val="center"/>
          </w:tcPr>
          <w:p w14:paraId="4F62347F">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670" w:type="dxa"/>
            <w:noWrap w:val="0"/>
            <w:vAlign w:val="center"/>
          </w:tcPr>
          <w:p w14:paraId="2BE77CAD">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2579" w:type="dxa"/>
            <w:noWrap w:val="0"/>
            <w:vAlign w:val="center"/>
          </w:tcPr>
          <w:p w14:paraId="46FEC42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717" w:type="dxa"/>
            <w:noWrap w:val="0"/>
            <w:vAlign w:val="center"/>
          </w:tcPr>
          <w:p w14:paraId="56DAE8FB">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203" w:type="dxa"/>
            <w:noWrap w:val="0"/>
            <w:vAlign w:val="center"/>
          </w:tcPr>
          <w:p w14:paraId="44BD293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1149" w:type="dxa"/>
            <w:noWrap w:val="0"/>
            <w:vAlign w:val="center"/>
          </w:tcPr>
          <w:p w14:paraId="1E66885A">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736" w:type="dxa"/>
            <w:noWrap w:val="0"/>
            <w:vAlign w:val="center"/>
          </w:tcPr>
          <w:p w14:paraId="4DDFE71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607B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noWrap w:val="0"/>
            <w:vAlign w:val="center"/>
          </w:tcPr>
          <w:p w14:paraId="168777D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1310" w:type="dxa"/>
            <w:noWrap w:val="0"/>
            <w:vAlign w:val="center"/>
          </w:tcPr>
          <w:p w14:paraId="147552FA">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670" w:type="dxa"/>
            <w:noWrap w:val="0"/>
            <w:vAlign w:val="center"/>
          </w:tcPr>
          <w:p w14:paraId="5412B8A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2579" w:type="dxa"/>
            <w:noWrap w:val="0"/>
            <w:vAlign w:val="center"/>
          </w:tcPr>
          <w:p w14:paraId="6436356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717" w:type="dxa"/>
            <w:noWrap w:val="0"/>
            <w:vAlign w:val="center"/>
          </w:tcPr>
          <w:p w14:paraId="0F81FE5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203" w:type="dxa"/>
            <w:noWrap w:val="0"/>
            <w:vAlign w:val="center"/>
          </w:tcPr>
          <w:p w14:paraId="2407EBD1">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1149" w:type="dxa"/>
            <w:noWrap w:val="0"/>
            <w:vAlign w:val="center"/>
          </w:tcPr>
          <w:p w14:paraId="20FB2DF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736" w:type="dxa"/>
            <w:noWrap w:val="0"/>
            <w:vAlign w:val="center"/>
          </w:tcPr>
          <w:p w14:paraId="5AA1827A">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5DA7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332A953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1310" w:type="dxa"/>
            <w:noWrap w:val="0"/>
            <w:vAlign w:val="center"/>
          </w:tcPr>
          <w:p w14:paraId="66AD4E02">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670" w:type="dxa"/>
            <w:noWrap w:val="0"/>
            <w:vAlign w:val="center"/>
          </w:tcPr>
          <w:p w14:paraId="54393FFF">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2579" w:type="dxa"/>
            <w:noWrap w:val="0"/>
            <w:vAlign w:val="center"/>
          </w:tcPr>
          <w:p w14:paraId="6CC4AF0F">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717" w:type="dxa"/>
            <w:noWrap w:val="0"/>
            <w:vAlign w:val="center"/>
          </w:tcPr>
          <w:p w14:paraId="6177B96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203" w:type="dxa"/>
            <w:noWrap w:val="0"/>
            <w:vAlign w:val="center"/>
          </w:tcPr>
          <w:p w14:paraId="4027949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1149" w:type="dxa"/>
            <w:noWrap w:val="0"/>
            <w:vAlign w:val="center"/>
          </w:tcPr>
          <w:p w14:paraId="3D7F37F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736" w:type="dxa"/>
            <w:noWrap w:val="0"/>
            <w:vAlign w:val="center"/>
          </w:tcPr>
          <w:p w14:paraId="1C9B5CB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2277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38F99E9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w:t>
            </w:r>
          </w:p>
        </w:tc>
        <w:tc>
          <w:tcPr>
            <w:tcW w:w="1310" w:type="dxa"/>
            <w:noWrap w:val="0"/>
            <w:vAlign w:val="center"/>
          </w:tcPr>
          <w:p w14:paraId="367379B6">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670" w:type="dxa"/>
            <w:noWrap w:val="0"/>
            <w:vAlign w:val="center"/>
          </w:tcPr>
          <w:p w14:paraId="335E3CC1">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2579" w:type="dxa"/>
            <w:noWrap w:val="0"/>
            <w:vAlign w:val="center"/>
          </w:tcPr>
          <w:p w14:paraId="2CDAF6B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717" w:type="dxa"/>
            <w:noWrap w:val="0"/>
            <w:vAlign w:val="center"/>
          </w:tcPr>
          <w:p w14:paraId="37D4B68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203" w:type="dxa"/>
            <w:noWrap w:val="0"/>
            <w:vAlign w:val="center"/>
          </w:tcPr>
          <w:p w14:paraId="4345844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1149" w:type="dxa"/>
            <w:noWrap w:val="0"/>
            <w:vAlign w:val="center"/>
          </w:tcPr>
          <w:p w14:paraId="46C5900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736" w:type="dxa"/>
            <w:noWrap w:val="0"/>
            <w:vAlign w:val="center"/>
          </w:tcPr>
          <w:p w14:paraId="54C473A8">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16D8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5BEFEDB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1310" w:type="dxa"/>
            <w:noWrap w:val="0"/>
            <w:vAlign w:val="center"/>
          </w:tcPr>
          <w:p w14:paraId="328A0FF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670" w:type="dxa"/>
            <w:noWrap w:val="0"/>
            <w:vAlign w:val="center"/>
          </w:tcPr>
          <w:p w14:paraId="4DD0EB71">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2579" w:type="dxa"/>
            <w:noWrap w:val="0"/>
            <w:vAlign w:val="center"/>
          </w:tcPr>
          <w:p w14:paraId="744A933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717" w:type="dxa"/>
            <w:noWrap w:val="0"/>
            <w:vAlign w:val="center"/>
          </w:tcPr>
          <w:p w14:paraId="57021EA7">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203" w:type="dxa"/>
            <w:noWrap w:val="0"/>
            <w:vAlign w:val="center"/>
          </w:tcPr>
          <w:p w14:paraId="15ED710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1149" w:type="dxa"/>
            <w:noWrap w:val="0"/>
            <w:vAlign w:val="center"/>
          </w:tcPr>
          <w:p w14:paraId="3782BFA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736" w:type="dxa"/>
            <w:noWrap w:val="0"/>
            <w:vAlign w:val="center"/>
          </w:tcPr>
          <w:p w14:paraId="19993F4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435D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7A30AD1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p>
        </w:tc>
        <w:tc>
          <w:tcPr>
            <w:tcW w:w="1310" w:type="dxa"/>
            <w:noWrap w:val="0"/>
            <w:vAlign w:val="center"/>
          </w:tcPr>
          <w:p w14:paraId="11EDC2A6">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670" w:type="dxa"/>
            <w:noWrap w:val="0"/>
            <w:vAlign w:val="center"/>
          </w:tcPr>
          <w:p w14:paraId="30C2D79C">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2579" w:type="dxa"/>
            <w:noWrap w:val="0"/>
            <w:vAlign w:val="center"/>
          </w:tcPr>
          <w:p w14:paraId="061732B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717" w:type="dxa"/>
            <w:noWrap w:val="0"/>
            <w:vAlign w:val="center"/>
          </w:tcPr>
          <w:p w14:paraId="7FF0AB57">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auto"/>
                <w:sz w:val="22"/>
                <w:szCs w:val="22"/>
                <w:highlight w:val="none"/>
              </w:rPr>
            </w:pPr>
          </w:p>
        </w:tc>
        <w:tc>
          <w:tcPr>
            <w:tcW w:w="1203" w:type="dxa"/>
            <w:noWrap w:val="0"/>
            <w:vAlign w:val="center"/>
          </w:tcPr>
          <w:p w14:paraId="1F7E556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1149" w:type="dxa"/>
            <w:noWrap w:val="0"/>
            <w:vAlign w:val="center"/>
          </w:tcPr>
          <w:p w14:paraId="4EDE8EB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c>
          <w:tcPr>
            <w:tcW w:w="736" w:type="dxa"/>
            <w:noWrap w:val="0"/>
            <w:vAlign w:val="center"/>
          </w:tcPr>
          <w:p w14:paraId="36F606B1">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67A9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noWrap w:val="0"/>
            <w:vAlign w:val="center"/>
          </w:tcPr>
          <w:p w14:paraId="79CE743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5559" w:type="dxa"/>
            <w:gridSpan w:val="3"/>
            <w:noWrap w:val="0"/>
            <w:vAlign w:val="center"/>
          </w:tcPr>
          <w:p w14:paraId="6815BD84">
            <w:pPr>
              <w:spacing w:line="460" w:lineRule="exact"/>
              <w:jc w:val="center"/>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税金</w:t>
            </w:r>
          </w:p>
        </w:tc>
        <w:tc>
          <w:tcPr>
            <w:tcW w:w="3805" w:type="dxa"/>
            <w:gridSpan w:val="4"/>
            <w:noWrap w:val="0"/>
            <w:vAlign w:val="center"/>
          </w:tcPr>
          <w:p w14:paraId="2E70DB7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34E7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6EBF32E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w:t>
            </w:r>
          </w:p>
        </w:tc>
        <w:tc>
          <w:tcPr>
            <w:tcW w:w="5559" w:type="dxa"/>
            <w:gridSpan w:val="3"/>
            <w:noWrap w:val="0"/>
            <w:vAlign w:val="center"/>
          </w:tcPr>
          <w:p w14:paraId="63A81400">
            <w:pPr>
              <w:spacing w:line="460" w:lineRule="exact"/>
              <w:jc w:val="center"/>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其他</w:t>
            </w:r>
          </w:p>
        </w:tc>
        <w:tc>
          <w:tcPr>
            <w:tcW w:w="3805" w:type="dxa"/>
            <w:gridSpan w:val="4"/>
            <w:noWrap w:val="0"/>
            <w:vAlign w:val="center"/>
          </w:tcPr>
          <w:p w14:paraId="7F2CC2FA">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1C38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7A0FBA8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w:t>
            </w:r>
          </w:p>
        </w:tc>
        <w:tc>
          <w:tcPr>
            <w:tcW w:w="5559" w:type="dxa"/>
            <w:gridSpan w:val="3"/>
            <w:noWrap w:val="0"/>
            <w:vAlign w:val="center"/>
          </w:tcPr>
          <w:p w14:paraId="614B3D42">
            <w:pPr>
              <w:spacing w:line="460" w:lineRule="exact"/>
              <w:jc w:val="center"/>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采购代理服务费</w:t>
            </w:r>
          </w:p>
        </w:tc>
        <w:tc>
          <w:tcPr>
            <w:tcW w:w="3805" w:type="dxa"/>
            <w:gridSpan w:val="4"/>
            <w:noWrap w:val="0"/>
            <w:vAlign w:val="center"/>
          </w:tcPr>
          <w:p w14:paraId="6DB9606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含</w:t>
            </w:r>
          </w:p>
        </w:tc>
      </w:tr>
      <w:tr w14:paraId="3E3F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234" w:type="dxa"/>
            <w:gridSpan w:val="4"/>
            <w:noWrap w:val="0"/>
            <w:vAlign w:val="center"/>
          </w:tcPr>
          <w:p w14:paraId="5AFBFB0A">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投标报价（小写）</w:t>
            </w:r>
          </w:p>
        </w:tc>
        <w:tc>
          <w:tcPr>
            <w:tcW w:w="3805" w:type="dxa"/>
            <w:gridSpan w:val="4"/>
            <w:noWrap w:val="0"/>
            <w:vAlign w:val="center"/>
          </w:tcPr>
          <w:p w14:paraId="56859F5C">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r w14:paraId="24E6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34" w:type="dxa"/>
            <w:gridSpan w:val="4"/>
            <w:noWrap w:val="0"/>
            <w:vAlign w:val="center"/>
          </w:tcPr>
          <w:p w14:paraId="34B8857B">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投标报价（大写）</w:t>
            </w:r>
          </w:p>
        </w:tc>
        <w:tc>
          <w:tcPr>
            <w:tcW w:w="3805" w:type="dxa"/>
            <w:gridSpan w:val="4"/>
            <w:noWrap w:val="0"/>
            <w:vAlign w:val="center"/>
          </w:tcPr>
          <w:p w14:paraId="3A8C3BD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auto"/>
                <w:sz w:val="22"/>
                <w:szCs w:val="22"/>
                <w:highlight w:val="none"/>
              </w:rPr>
            </w:pPr>
          </w:p>
        </w:tc>
      </w:tr>
    </w:tbl>
    <w:p w14:paraId="59356ADC">
      <w:pPr>
        <w:spacing w:line="380" w:lineRule="exact"/>
        <w:rPr>
          <w:rFonts w:hint="eastAsia" w:ascii="宋体" w:hAnsi="宋体" w:cs="宋体"/>
          <w:b/>
          <w:color w:val="auto"/>
          <w:sz w:val="22"/>
          <w:szCs w:val="22"/>
          <w:highlight w:val="none"/>
        </w:rPr>
      </w:pPr>
    </w:p>
    <w:p w14:paraId="2829817B">
      <w:pPr>
        <w:spacing w:line="380" w:lineRule="exact"/>
        <w:rPr>
          <w:rFonts w:hint="eastAsia" w:ascii="宋体" w:hAnsi="宋体" w:cs="宋体"/>
          <w:b/>
          <w:bCs/>
          <w:color w:val="auto"/>
          <w:sz w:val="22"/>
          <w:szCs w:val="22"/>
          <w:highlight w:val="none"/>
        </w:rPr>
      </w:pPr>
      <w:r>
        <w:rPr>
          <w:rFonts w:hint="eastAsia" w:ascii="宋体" w:hAnsi="宋体" w:cs="宋体"/>
          <w:b/>
          <w:color w:val="auto"/>
          <w:sz w:val="22"/>
          <w:szCs w:val="22"/>
          <w:highlight w:val="none"/>
        </w:rPr>
        <w:t>说明：</w:t>
      </w:r>
      <w:r>
        <w:rPr>
          <w:rFonts w:hint="eastAsia" w:ascii="宋体" w:hAnsi="宋体" w:cs="宋体"/>
          <w:b/>
          <w:bCs/>
          <w:color w:val="auto"/>
          <w:sz w:val="22"/>
          <w:szCs w:val="22"/>
          <w:highlight w:val="none"/>
        </w:rPr>
        <w:t>1、此表总计价应与“2、报价一览表”中报价相一致。</w:t>
      </w:r>
    </w:p>
    <w:p w14:paraId="07521002">
      <w:pPr>
        <w:spacing w:line="380" w:lineRule="exact"/>
        <w:ind w:firstLine="663" w:firstLineChars="300"/>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2、不提供详细分项报价将视为没有实质性响应招标文件。</w:t>
      </w:r>
    </w:p>
    <w:p w14:paraId="003B2FD7">
      <w:pPr>
        <w:spacing w:line="380" w:lineRule="exact"/>
        <w:ind w:firstLine="663" w:firstLineChars="3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14:paraId="669C9BB7">
      <w:pPr>
        <w:pStyle w:val="12"/>
        <w:rPr>
          <w:color w:val="auto"/>
          <w:highlight w:val="none"/>
        </w:rPr>
      </w:pPr>
    </w:p>
    <w:p w14:paraId="5F9A8236">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C08C66A">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443A926">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1D8EEBCA">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16626F5">
      <w:pPr>
        <w:spacing w:line="420" w:lineRule="exact"/>
        <w:ind w:left="514" w:leftChars="245"/>
        <w:outlineLvl w:val="3"/>
        <w:rPr>
          <w:rFonts w:ascii="宋体" w:hAnsi="宋体" w:cs="宋体"/>
          <w:b/>
          <w:bCs/>
          <w:color w:val="auto"/>
          <w:sz w:val="22"/>
          <w:szCs w:val="22"/>
          <w:highlight w:val="none"/>
        </w:rPr>
      </w:pPr>
      <w:r>
        <w:rPr>
          <w:rFonts w:hint="eastAsia" w:ascii="宋体" w:hAnsi="宋体" w:cs="宋体"/>
          <w:b/>
          <w:bCs/>
          <w:color w:val="auto"/>
          <w:sz w:val="28"/>
          <w:szCs w:val="28"/>
          <w:highlight w:val="none"/>
        </w:rPr>
        <w:t>4、监狱企业的相关证明材料</w:t>
      </w:r>
    </w:p>
    <w:p w14:paraId="6BA9150D">
      <w:pPr>
        <w:spacing w:line="460" w:lineRule="exact"/>
        <w:ind w:firstLine="571" w:firstLineChars="245"/>
        <w:rPr>
          <w:rFonts w:ascii="宋体" w:hAnsi="宋体" w:cs="宋体"/>
          <w:b/>
          <w:bCs/>
          <w:color w:val="auto"/>
          <w:sz w:val="22"/>
          <w:szCs w:val="22"/>
          <w:highlight w:val="none"/>
          <w:u w:val="single"/>
          <w:lang w:val="zh-CN"/>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是监狱企业的按非监狱企业处理，所提供的证明材料应为最新的最近的</w:t>
      </w:r>
      <w:r>
        <w:rPr>
          <w:rFonts w:hint="eastAsia" w:ascii="宋体" w:hAnsi="宋体" w:cs="宋体"/>
          <w:b/>
          <w:bCs/>
          <w:color w:val="auto"/>
          <w:sz w:val="22"/>
          <w:szCs w:val="22"/>
          <w:highlight w:val="none"/>
          <w:u w:val="single"/>
          <w:lang w:val="zh-CN"/>
        </w:rPr>
        <w:t>。</w:t>
      </w:r>
    </w:p>
    <w:p w14:paraId="288F5BEF">
      <w:pPr>
        <w:adjustRightInd w:val="0"/>
        <w:snapToGrid w:val="0"/>
        <w:spacing w:line="300" w:lineRule="auto"/>
        <w:jc w:val="center"/>
        <w:rPr>
          <w:rFonts w:ascii="宋体" w:hAnsi="宋体" w:cs="宋体"/>
          <w:b/>
          <w:color w:val="auto"/>
          <w:spacing w:val="6"/>
          <w:sz w:val="22"/>
          <w:szCs w:val="22"/>
          <w:highlight w:val="none"/>
        </w:rPr>
      </w:pPr>
    </w:p>
    <w:p w14:paraId="7B7CB9B4">
      <w:pPr>
        <w:adjustRightInd w:val="0"/>
        <w:snapToGrid w:val="0"/>
        <w:spacing w:line="300" w:lineRule="auto"/>
        <w:jc w:val="center"/>
        <w:rPr>
          <w:rFonts w:ascii="宋体" w:hAnsi="宋体" w:cs="宋体"/>
          <w:b/>
          <w:color w:val="auto"/>
          <w:spacing w:val="6"/>
          <w:sz w:val="22"/>
          <w:szCs w:val="22"/>
          <w:highlight w:val="none"/>
        </w:rPr>
      </w:pPr>
    </w:p>
    <w:p w14:paraId="1642D35F">
      <w:pPr>
        <w:adjustRightInd w:val="0"/>
        <w:snapToGrid w:val="0"/>
        <w:spacing w:line="300" w:lineRule="auto"/>
        <w:jc w:val="center"/>
        <w:rPr>
          <w:rFonts w:ascii="宋体" w:hAnsi="宋体" w:cs="宋体"/>
          <w:b/>
          <w:color w:val="auto"/>
          <w:spacing w:val="6"/>
          <w:sz w:val="22"/>
          <w:szCs w:val="22"/>
          <w:highlight w:val="none"/>
        </w:rPr>
      </w:pPr>
    </w:p>
    <w:p w14:paraId="40343A66">
      <w:pPr>
        <w:adjustRightInd w:val="0"/>
        <w:snapToGrid w:val="0"/>
        <w:spacing w:line="300" w:lineRule="auto"/>
        <w:jc w:val="center"/>
        <w:rPr>
          <w:rFonts w:ascii="宋体" w:hAnsi="宋体" w:cs="宋体"/>
          <w:color w:val="auto"/>
          <w:kern w:val="0"/>
          <w:sz w:val="22"/>
          <w:szCs w:val="22"/>
          <w:highlight w:val="none"/>
        </w:rPr>
      </w:pPr>
      <w:r>
        <w:rPr>
          <w:rFonts w:hint="eastAsia" w:ascii="宋体" w:hAnsi="宋体" w:cs="宋体"/>
          <w:b/>
          <w:color w:val="auto"/>
          <w:spacing w:val="6"/>
          <w:sz w:val="22"/>
          <w:szCs w:val="22"/>
          <w:highlight w:val="none"/>
        </w:rPr>
        <w:t>监狱企业声明函</w:t>
      </w:r>
    </w:p>
    <w:p w14:paraId="09BD573D">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【非监狱企业不用提供】</w:t>
      </w:r>
    </w:p>
    <w:p w14:paraId="52A73F1F">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本企业郑重声明，根据《关于政府采购支持监狱企业发展有关问题的通知》（财库[2014]68号）的规定，本企业为监狱企业。</w:t>
      </w:r>
    </w:p>
    <w:p w14:paraId="067BB563">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根据上述标准，我企业属于监狱企业的理由为：。</w:t>
      </w:r>
    </w:p>
    <w:p w14:paraId="69ECFDB0">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本企业为参加（招标项目名称</w:t>
      </w:r>
      <w:r>
        <w:rPr>
          <w:rFonts w:hint="eastAsia" w:ascii="宋体" w:hAnsi="宋体" w:cs="宋体"/>
          <w:color w:val="auto"/>
          <w:spacing w:val="6"/>
          <w:sz w:val="22"/>
          <w:szCs w:val="22"/>
          <w:highlight w:val="none"/>
          <w:u w:val="single"/>
        </w:rPr>
        <w:t>：</w:t>
      </w:r>
      <w:r>
        <w:rPr>
          <w:rFonts w:hint="eastAsia" w:ascii="宋体" w:hAnsi="宋体" w:cs="宋体"/>
          <w:color w:val="auto"/>
          <w:spacing w:val="6"/>
          <w:sz w:val="22"/>
          <w:szCs w:val="22"/>
          <w:highlight w:val="none"/>
          <w:u w:val="single"/>
          <w:lang w:val="en-US" w:eastAsia="zh-CN"/>
        </w:rPr>
        <w:t xml:space="preserve">  </w:t>
      </w:r>
      <w:r>
        <w:rPr>
          <w:rFonts w:hint="eastAsia" w:ascii="宋体" w:hAnsi="宋体" w:cs="宋体"/>
          <w:color w:val="auto"/>
          <w:spacing w:val="6"/>
          <w:sz w:val="22"/>
          <w:szCs w:val="22"/>
          <w:highlight w:val="none"/>
        </w:rPr>
        <w:t>）（招标编号</w:t>
      </w:r>
      <w:r>
        <w:rPr>
          <w:rFonts w:hint="eastAsia" w:ascii="宋体" w:hAnsi="宋体" w:cs="宋体"/>
          <w:color w:val="auto"/>
          <w:spacing w:val="6"/>
          <w:sz w:val="22"/>
          <w:szCs w:val="22"/>
          <w:highlight w:val="none"/>
          <w:u w:val="single"/>
        </w:rPr>
        <w:t>：</w:t>
      </w:r>
      <w:r>
        <w:rPr>
          <w:rFonts w:hint="eastAsia" w:ascii="宋体" w:hAnsi="宋体" w:cs="宋体"/>
          <w:color w:val="auto"/>
          <w:spacing w:val="6"/>
          <w:sz w:val="22"/>
          <w:szCs w:val="22"/>
          <w:highlight w:val="none"/>
          <w:u w:val="single"/>
          <w:lang w:val="en-US" w:eastAsia="zh-CN"/>
        </w:rPr>
        <w:t xml:space="preserve">  </w:t>
      </w:r>
      <w:r>
        <w:rPr>
          <w:rFonts w:hint="eastAsia" w:ascii="宋体" w:hAnsi="宋体" w:cs="宋体"/>
          <w:color w:val="auto"/>
          <w:spacing w:val="6"/>
          <w:sz w:val="22"/>
          <w:szCs w:val="22"/>
          <w:highlight w:val="none"/>
        </w:rPr>
        <w:t>）采购活动并承担本工程。</w:t>
      </w:r>
    </w:p>
    <w:p w14:paraId="44990438">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本企业对上述声明的真实性负责。如有虚假，将依法承担相应责任。</w:t>
      </w:r>
    </w:p>
    <w:p w14:paraId="21E6688C">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投标人全称（盖章）：</w:t>
      </w:r>
    </w:p>
    <w:p w14:paraId="093C5C69">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日期：年月日</w:t>
      </w:r>
    </w:p>
    <w:p w14:paraId="6B0E639F">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监狱企业参加政府采购活动时，应当提供由省级以上监狱管理局、戒毒管理局（含新疆生产建设兵团）出具的属于监狱企业的证明文件。</w:t>
      </w:r>
    </w:p>
    <w:p w14:paraId="24F5FFE6">
      <w:pPr>
        <w:adjustRightInd w:val="0"/>
        <w:snapToGrid w:val="0"/>
        <w:spacing w:line="460" w:lineRule="exact"/>
        <w:ind w:firstLine="464" w:firstLineChars="200"/>
        <w:rPr>
          <w:rFonts w:ascii="宋体" w:hAnsi="宋体" w:cs="宋体"/>
          <w:color w:val="auto"/>
          <w:kern w:val="0"/>
          <w:sz w:val="22"/>
          <w:szCs w:val="22"/>
          <w:highlight w:val="none"/>
        </w:rPr>
      </w:pPr>
      <w:r>
        <w:rPr>
          <w:rFonts w:hint="eastAsia" w:ascii="宋体" w:hAnsi="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B79B26">
      <w:pPr>
        <w:spacing w:line="460" w:lineRule="exact"/>
        <w:rPr>
          <w:rFonts w:ascii="宋体" w:hAnsi="宋体" w:cs="宋体"/>
          <w:color w:val="auto"/>
          <w:spacing w:val="20"/>
          <w:sz w:val="22"/>
          <w:szCs w:val="22"/>
          <w:highlight w:val="none"/>
        </w:rPr>
      </w:pPr>
    </w:p>
    <w:p w14:paraId="61514E9E">
      <w:pPr>
        <w:spacing w:line="460" w:lineRule="exact"/>
        <w:rPr>
          <w:rFonts w:ascii="宋体" w:hAnsi="宋体" w:cs="宋体"/>
          <w:color w:val="auto"/>
          <w:spacing w:val="20"/>
          <w:sz w:val="22"/>
          <w:szCs w:val="22"/>
          <w:highlight w:val="none"/>
        </w:rPr>
      </w:pPr>
    </w:p>
    <w:p w14:paraId="213311C4">
      <w:pPr>
        <w:spacing w:line="380" w:lineRule="exact"/>
        <w:rPr>
          <w:rFonts w:ascii="宋体" w:hAnsi="宋体" w:cs="宋体"/>
          <w:color w:val="auto"/>
          <w:sz w:val="22"/>
          <w:szCs w:val="22"/>
          <w:highlight w:val="none"/>
        </w:rPr>
      </w:pPr>
    </w:p>
    <w:p w14:paraId="05A47469">
      <w:pPr>
        <w:spacing w:line="380" w:lineRule="exact"/>
        <w:rPr>
          <w:rFonts w:ascii="宋体" w:hAnsi="宋体" w:cs="宋体"/>
          <w:color w:val="auto"/>
          <w:sz w:val="22"/>
          <w:szCs w:val="22"/>
          <w:highlight w:val="none"/>
        </w:rPr>
      </w:pPr>
    </w:p>
    <w:p w14:paraId="3E66D036">
      <w:pPr>
        <w:spacing w:line="380" w:lineRule="exact"/>
        <w:rPr>
          <w:rFonts w:ascii="宋体" w:hAnsi="宋体" w:cs="宋体"/>
          <w:color w:val="auto"/>
          <w:sz w:val="22"/>
          <w:szCs w:val="22"/>
          <w:highlight w:val="none"/>
        </w:rPr>
      </w:pPr>
    </w:p>
    <w:p w14:paraId="5F2BBDD9">
      <w:pPr>
        <w:spacing w:line="380" w:lineRule="exact"/>
        <w:rPr>
          <w:rFonts w:ascii="宋体" w:hAnsi="宋体" w:cs="宋体"/>
          <w:color w:val="auto"/>
          <w:sz w:val="22"/>
          <w:szCs w:val="22"/>
          <w:highlight w:val="none"/>
        </w:rPr>
      </w:pPr>
    </w:p>
    <w:p w14:paraId="1F81B866">
      <w:pPr>
        <w:spacing w:line="380" w:lineRule="exact"/>
        <w:rPr>
          <w:rFonts w:ascii="宋体" w:hAnsi="宋体" w:cs="宋体"/>
          <w:color w:val="auto"/>
          <w:sz w:val="22"/>
          <w:szCs w:val="22"/>
          <w:highlight w:val="none"/>
        </w:rPr>
      </w:pPr>
    </w:p>
    <w:p w14:paraId="7CBD56E1">
      <w:pPr>
        <w:spacing w:line="380" w:lineRule="exact"/>
        <w:rPr>
          <w:rFonts w:ascii="宋体" w:hAnsi="宋体" w:cs="宋体"/>
          <w:color w:val="auto"/>
          <w:sz w:val="22"/>
          <w:szCs w:val="22"/>
          <w:highlight w:val="none"/>
        </w:rPr>
      </w:pPr>
    </w:p>
    <w:p w14:paraId="710EC58A">
      <w:pPr>
        <w:spacing w:line="380" w:lineRule="exact"/>
        <w:rPr>
          <w:rFonts w:ascii="宋体" w:hAnsi="宋体" w:cs="宋体"/>
          <w:color w:val="auto"/>
          <w:sz w:val="22"/>
          <w:szCs w:val="22"/>
          <w:highlight w:val="none"/>
        </w:rPr>
      </w:pPr>
    </w:p>
    <w:p w14:paraId="2FA74F6A">
      <w:pPr>
        <w:spacing w:line="380" w:lineRule="exact"/>
        <w:rPr>
          <w:rFonts w:ascii="宋体" w:hAnsi="宋体" w:cs="宋体"/>
          <w:color w:val="auto"/>
          <w:sz w:val="22"/>
          <w:szCs w:val="22"/>
          <w:highlight w:val="none"/>
        </w:rPr>
      </w:pPr>
    </w:p>
    <w:p w14:paraId="4DE719F4">
      <w:pPr>
        <w:pStyle w:val="24"/>
        <w:rPr>
          <w:rFonts w:ascii="宋体" w:hAnsi="宋体" w:cs="宋体"/>
          <w:color w:val="auto"/>
          <w:highlight w:val="none"/>
        </w:rPr>
      </w:pPr>
    </w:p>
    <w:p w14:paraId="59E95331">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2B184FE">
      <w:pPr>
        <w:tabs>
          <w:tab w:val="left" w:pos="1620"/>
        </w:tabs>
        <w:spacing w:line="460" w:lineRule="exact"/>
        <w:outlineLvl w:val="3"/>
        <w:rPr>
          <w:rFonts w:ascii="宋体" w:hAnsi="宋体" w:cs="宋体"/>
          <w:b/>
          <w:bCs/>
          <w:color w:val="auto"/>
          <w:sz w:val="22"/>
          <w:szCs w:val="22"/>
          <w:highlight w:val="none"/>
        </w:rPr>
      </w:pPr>
      <w:r>
        <w:rPr>
          <w:rFonts w:hint="eastAsia" w:ascii="宋体" w:hAnsi="宋体" w:cs="宋体"/>
          <w:b/>
          <w:bCs/>
          <w:color w:val="auto"/>
          <w:sz w:val="28"/>
          <w:szCs w:val="28"/>
          <w:highlight w:val="none"/>
        </w:rPr>
        <w:t>5、中小企业的相关证明材料</w:t>
      </w:r>
    </w:p>
    <w:p w14:paraId="45C65C2C">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w:t>
      </w:r>
      <w:r>
        <w:rPr>
          <w:rFonts w:hint="eastAsia" w:ascii="宋体" w:hAnsi="宋体" w:cs="宋体"/>
          <w:color w:val="auto"/>
          <w:spacing w:val="6"/>
          <w:sz w:val="22"/>
          <w:szCs w:val="22"/>
          <w:highlight w:val="none"/>
          <w:lang w:val="zh-CN"/>
        </w:rPr>
        <w:t>小型、微型</w:t>
      </w:r>
      <w:r>
        <w:rPr>
          <w:rFonts w:hint="eastAsia" w:ascii="宋体" w:hAnsi="宋体" w:cs="宋体"/>
          <w:color w:val="auto"/>
          <w:spacing w:val="6"/>
          <w:sz w:val="22"/>
          <w:szCs w:val="22"/>
          <w:highlight w:val="none"/>
        </w:rPr>
        <w:t>企业不用提供】</w:t>
      </w:r>
    </w:p>
    <w:p w14:paraId="6001B972">
      <w:pPr>
        <w:spacing w:line="380" w:lineRule="exact"/>
        <w:rPr>
          <w:rFonts w:ascii="宋体" w:hAnsi="宋体" w:cs="宋体"/>
          <w:color w:val="auto"/>
          <w:sz w:val="22"/>
          <w:szCs w:val="22"/>
          <w:highlight w:val="none"/>
        </w:rPr>
      </w:pPr>
    </w:p>
    <w:p w14:paraId="640D58AB">
      <w:pPr>
        <w:spacing w:line="460" w:lineRule="exact"/>
        <w:ind w:firstLine="539" w:firstLineChars="24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根据《政府采购促进中小企业发展管理办法》（财库﹝2020﹞46号），</w:t>
      </w:r>
      <w:r>
        <w:rPr>
          <w:rFonts w:hint="eastAsia" w:ascii="新宋体" w:hAnsi="新宋体" w:eastAsia="新宋体"/>
          <w:color w:val="auto"/>
          <w:sz w:val="22"/>
          <w:szCs w:val="22"/>
          <w:highlight w:val="none"/>
          <w:lang w:val="zh-CN"/>
        </w:rPr>
        <w:t>对</w:t>
      </w:r>
      <w:r>
        <w:rPr>
          <w:rFonts w:hint="eastAsia" w:ascii="新宋体" w:hAnsi="新宋体" w:eastAsia="新宋体"/>
          <w:color w:val="auto"/>
          <w:sz w:val="22"/>
          <w:szCs w:val="22"/>
          <w:highlight w:val="none"/>
        </w:rPr>
        <w:t>货物类项目</w:t>
      </w:r>
      <w:r>
        <w:rPr>
          <w:rFonts w:hint="eastAsia" w:ascii="新宋体" w:hAnsi="新宋体" w:eastAsia="新宋体"/>
          <w:color w:val="auto"/>
          <w:sz w:val="22"/>
          <w:szCs w:val="22"/>
          <w:highlight w:val="none"/>
          <w:lang w:val="zh-CN"/>
        </w:rPr>
        <w:t>投标产品为小型或微型企业生产的，</w:t>
      </w:r>
      <w:r>
        <w:rPr>
          <w:rFonts w:hint="eastAsia" w:ascii="新宋体" w:hAnsi="新宋体" w:eastAsia="新宋体"/>
          <w:color w:val="auto"/>
          <w:sz w:val="22"/>
          <w:szCs w:val="22"/>
          <w:highlight w:val="none"/>
        </w:rPr>
        <w:t>工程、服务类项目由小型或微型企业承建、承接的</w:t>
      </w:r>
      <w:r>
        <w:rPr>
          <w:rFonts w:hint="eastAsia" w:ascii="新宋体" w:hAnsi="新宋体" w:eastAsia="新宋体"/>
          <w:color w:val="auto"/>
          <w:sz w:val="22"/>
          <w:szCs w:val="22"/>
          <w:highlight w:val="none"/>
          <w:lang w:val="zh-CN"/>
        </w:rPr>
        <w:t>，</w:t>
      </w:r>
      <w:r>
        <w:rPr>
          <w:rFonts w:hint="eastAsia" w:ascii="新宋体" w:hAnsi="新宋体" w:eastAsia="新宋体"/>
          <w:color w:val="auto"/>
          <w:sz w:val="22"/>
          <w:szCs w:val="22"/>
          <w:highlight w:val="none"/>
          <w:u w:val="single"/>
          <w:lang w:val="zh-CN"/>
        </w:rPr>
        <w:t>价格给予</w:t>
      </w:r>
      <w:r>
        <w:rPr>
          <w:rFonts w:hint="eastAsia" w:ascii="新宋体" w:hAnsi="新宋体" w:eastAsia="新宋体"/>
          <w:color w:val="auto"/>
          <w:sz w:val="22"/>
          <w:szCs w:val="22"/>
          <w:highlight w:val="none"/>
          <w:u w:val="single"/>
        </w:rPr>
        <w:t>10</w:t>
      </w:r>
      <w:r>
        <w:rPr>
          <w:rFonts w:hint="eastAsia" w:ascii="新宋体" w:hAnsi="新宋体" w:eastAsia="新宋体"/>
          <w:color w:val="auto"/>
          <w:sz w:val="22"/>
          <w:szCs w:val="22"/>
          <w:highlight w:val="none"/>
          <w:u w:val="single"/>
          <w:lang w:val="zh-CN"/>
        </w:rPr>
        <w:t>%的扣除</w:t>
      </w:r>
      <w:r>
        <w:rPr>
          <w:rFonts w:hint="eastAsia" w:ascii="宋体" w:hAnsi="宋体" w:cs="宋体"/>
          <w:color w:val="auto"/>
          <w:sz w:val="22"/>
          <w:szCs w:val="22"/>
          <w:highlight w:val="none"/>
          <w:lang w:val="zh-CN"/>
        </w:rPr>
        <w:t>，用扣除后的价格参与价格评分。</w:t>
      </w:r>
    </w:p>
    <w:p w14:paraId="6114B8E5">
      <w:pPr>
        <w:spacing w:line="460" w:lineRule="exact"/>
        <w:ind w:firstLine="420" w:firstLineChars="0"/>
        <w:jc w:val="center"/>
        <w:rPr>
          <w:rFonts w:hint="eastAsia" w:ascii="宋体" w:hAnsi="宋体" w:eastAsia="宋体" w:cs="宋体"/>
          <w:b/>
          <w:bCs/>
          <w:color w:val="auto"/>
          <w:sz w:val="22"/>
          <w:szCs w:val="22"/>
          <w:highlight w:val="none"/>
        </w:rPr>
      </w:pPr>
    </w:p>
    <w:p w14:paraId="3659003E">
      <w:pPr>
        <w:spacing w:line="460" w:lineRule="exact"/>
        <w:jc w:val="center"/>
        <w:rPr>
          <w:rFonts w:ascii="宋体" w:hAnsi="宋体" w:cs="宋体"/>
          <w:color w:val="auto"/>
          <w:sz w:val="24"/>
          <w:highlight w:val="none"/>
        </w:rPr>
      </w:pPr>
      <w:r>
        <w:rPr>
          <w:rFonts w:hint="eastAsia" w:ascii="宋体" w:hAnsi="宋体" w:cs="宋体"/>
          <w:b/>
          <w:bCs/>
          <w:color w:val="auto"/>
          <w:sz w:val="24"/>
          <w:highlight w:val="none"/>
        </w:rPr>
        <w:t>《中小企业声明函（工程、服务）》</w:t>
      </w:r>
    </w:p>
    <w:p w14:paraId="1C307C95">
      <w:pPr>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【不属于中小企业单位的无需填写、递交】</w:t>
      </w:r>
    </w:p>
    <w:p w14:paraId="25E7DD8F">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cs="宋体"/>
          <w:color w:val="auto"/>
          <w:spacing w:val="20"/>
          <w:sz w:val="22"/>
          <w:szCs w:val="22"/>
          <w:highlight w:val="none"/>
          <w:u w:val="single"/>
        </w:rPr>
        <w:t>（单位名称）</w:t>
      </w:r>
      <w:r>
        <w:rPr>
          <w:rFonts w:hint="eastAsia" w:ascii="宋体" w:hAnsi="宋体" w:cs="宋体"/>
          <w:color w:val="auto"/>
          <w:spacing w:val="20"/>
          <w:sz w:val="22"/>
          <w:szCs w:val="22"/>
          <w:highlight w:val="none"/>
        </w:rPr>
        <w:t>的</w:t>
      </w:r>
      <w:r>
        <w:rPr>
          <w:rFonts w:hint="eastAsia" w:ascii="宋体" w:hAnsi="宋体" w:cs="宋体"/>
          <w:color w:val="auto"/>
          <w:spacing w:val="20"/>
          <w:sz w:val="22"/>
          <w:szCs w:val="22"/>
          <w:highlight w:val="none"/>
          <w:u w:val="single"/>
        </w:rPr>
        <w:t>（项目名称）</w:t>
      </w:r>
      <w:r>
        <w:rPr>
          <w:rFonts w:hint="eastAsia" w:ascii="宋体" w:hAnsi="宋体" w:cs="宋体"/>
          <w:color w:val="auto"/>
          <w:spacing w:val="20"/>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92FF60C">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1.</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软件和信息技术服务业 </w:t>
      </w:r>
      <w:r>
        <w:rPr>
          <w:rFonts w:hint="eastAsia" w:ascii="宋体" w:hAnsi="宋体" w:cs="宋体"/>
          <w:color w:val="auto"/>
          <w:spacing w:val="20"/>
          <w:sz w:val="22"/>
          <w:szCs w:val="22"/>
          <w:highlight w:val="none"/>
        </w:rPr>
        <w:t>行业； 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 xml:space="preserve">； </w:t>
      </w:r>
    </w:p>
    <w:p w14:paraId="2F31C486">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2.</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w:t>
      </w:r>
    </w:p>
    <w:p w14:paraId="5E1FA2AA">
      <w:pPr>
        <w:spacing w:line="460" w:lineRule="exact"/>
        <w:ind w:firstLine="639" w:firstLineChars="245"/>
        <w:rPr>
          <w:rFonts w:ascii="宋体" w:hAnsi="宋体" w:cs="宋体"/>
          <w:b/>
          <w:bCs/>
          <w:color w:val="auto"/>
          <w:spacing w:val="20"/>
          <w:sz w:val="22"/>
          <w:szCs w:val="22"/>
          <w:highlight w:val="none"/>
        </w:rPr>
      </w:pPr>
      <w:r>
        <w:rPr>
          <w:rFonts w:hint="eastAsia" w:ascii="宋体" w:hAnsi="宋体" w:cs="宋体"/>
          <w:b/>
          <w:bCs/>
          <w:color w:val="auto"/>
          <w:spacing w:val="20"/>
          <w:sz w:val="22"/>
          <w:szCs w:val="22"/>
          <w:highlight w:val="none"/>
        </w:rPr>
        <w:t>……</w:t>
      </w:r>
    </w:p>
    <w:p w14:paraId="438638C5">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0D99B7AA">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w:t>
      </w:r>
    </w:p>
    <w:p w14:paraId="0F79A0DF">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企业名称（盖章）：</w:t>
      </w:r>
    </w:p>
    <w:p w14:paraId="754156CF">
      <w:pPr>
        <w:spacing w:line="460" w:lineRule="exact"/>
        <w:jc w:val="center"/>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日 期：</w:t>
      </w:r>
    </w:p>
    <w:p w14:paraId="012A6CE5">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7054FD82">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7B86F8E8">
      <w:pPr>
        <w:keepNext w:val="0"/>
        <w:keepLines w:val="0"/>
        <w:widowControl/>
        <w:suppressLineNumbers w:val="0"/>
        <w:jc w:val="left"/>
        <w:rPr>
          <w:rFonts w:hint="default" w:ascii="Times New Roman" w:hAnsi="Times New Roman" w:eastAsia="宋体" w:cs="Times New Roman"/>
          <w:color w:val="auto"/>
          <w:kern w:val="0"/>
          <w:sz w:val="11"/>
          <w:szCs w:val="11"/>
          <w:highlight w:val="none"/>
          <w:lang w:val="en-US" w:eastAsia="zh-CN" w:bidi="ar"/>
        </w:rPr>
      </w:pPr>
    </w:p>
    <w:p w14:paraId="78BD9D13">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11"/>
          <w:szCs w:val="11"/>
          <w:highlight w:val="none"/>
          <w:lang w:val="en-US" w:eastAsia="zh-CN" w:bidi="ar"/>
        </w:rPr>
        <w:t xml:space="preserve">1 </w:t>
      </w:r>
    </w:p>
    <w:p w14:paraId="28A5BC83">
      <w:pPr>
        <w:keepNext w:val="0"/>
        <w:keepLines w:val="0"/>
        <w:widowControl/>
        <w:suppressLineNumbers w:val="0"/>
        <w:jc w:val="left"/>
        <w:rPr>
          <w:color w:val="auto"/>
          <w:highlight w:val="none"/>
        </w:rPr>
      </w:pP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14:paraId="1FD9EB8E">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736CC30">
      <w:pPr>
        <w:spacing w:line="420" w:lineRule="exact"/>
        <w:ind w:left="514" w:leftChars="245"/>
        <w:outlineLvl w:val="3"/>
        <w:rPr>
          <w:rFonts w:ascii="宋体" w:hAnsi="宋体" w:cs="宋体"/>
          <w:b/>
          <w:bCs/>
          <w:color w:val="auto"/>
          <w:sz w:val="22"/>
          <w:szCs w:val="22"/>
          <w:highlight w:val="none"/>
        </w:rPr>
      </w:pPr>
      <w:r>
        <w:rPr>
          <w:rFonts w:hint="eastAsia" w:ascii="宋体" w:hAnsi="宋体" w:cs="宋体"/>
          <w:b/>
          <w:bCs/>
          <w:color w:val="auto"/>
          <w:sz w:val="28"/>
          <w:szCs w:val="28"/>
          <w:highlight w:val="none"/>
        </w:rPr>
        <w:t>6、残疾人福利性单位的相关证明材料</w:t>
      </w:r>
    </w:p>
    <w:p w14:paraId="3CE69B47">
      <w:pPr>
        <w:spacing w:line="460" w:lineRule="exact"/>
        <w:ind w:firstLine="699" w:firstLineChars="300"/>
        <w:rPr>
          <w:rFonts w:ascii="宋体" w:hAnsi="宋体" w:cs="宋体"/>
          <w:color w:val="auto"/>
          <w:spacing w:val="20"/>
          <w:sz w:val="22"/>
          <w:szCs w:val="22"/>
          <w:highlight w:val="none"/>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cs="宋体"/>
          <w:b/>
          <w:bCs/>
          <w:color w:val="auto"/>
          <w:sz w:val="22"/>
          <w:szCs w:val="22"/>
          <w:highlight w:val="none"/>
          <w:u w:val="single"/>
          <w:lang w:val="zh-CN"/>
        </w:rPr>
        <w:t>。</w:t>
      </w:r>
    </w:p>
    <w:p w14:paraId="4BCF06FC">
      <w:pPr>
        <w:spacing w:line="460" w:lineRule="exact"/>
        <w:rPr>
          <w:rFonts w:ascii="宋体" w:hAnsi="宋体" w:cs="宋体"/>
          <w:color w:val="auto"/>
          <w:spacing w:val="20"/>
          <w:sz w:val="22"/>
          <w:szCs w:val="22"/>
          <w:highlight w:val="none"/>
        </w:rPr>
      </w:pPr>
    </w:p>
    <w:p w14:paraId="0174DE4E">
      <w:pPr>
        <w:spacing w:line="460" w:lineRule="exact"/>
        <w:rPr>
          <w:rFonts w:ascii="宋体" w:hAnsi="宋体" w:cs="宋体"/>
          <w:color w:val="auto"/>
          <w:spacing w:val="20"/>
          <w:sz w:val="22"/>
          <w:szCs w:val="22"/>
          <w:highlight w:val="none"/>
        </w:rPr>
      </w:pPr>
    </w:p>
    <w:p w14:paraId="3A720CF1">
      <w:pPr>
        <w:spacing w:line="460" w:lineRule="exact"/>
        <w:jc w:val="center"/>
        <w:rPr>
          <w:rFonts w:ascii="宋体" w:hAnsi="宋体" w:cs="宋体"/>
          <w:color w:val="auto"/>
          <w:spacing w:val="6"/>
          <w:sz w:val="22"/>
          <w:szCs w:val="22"/>
          <w:highlight w:val="none"/>
        </w:rPr>
      </w:pPr>
      <w:r>
        <w:rPr>
          <w:rFonts w:hint="eastAsia" w:ascii="宋体" w:hAnsi="宋体" w:cs="宋体"/>
          <w:b/>
          <w:color w:val="auto"/>
          <w:spacing w:val="6"/>
          <w:sz w:val="22"/>
          <w:szCs w:val="22"/>
          <w:highlight w:val="none"/>
        </w:rPr>
        <w:t>残疾人福利性单位声明函</w:t>
      </w:r>
    </w:p>
    <w:p w14:paraId="7CF59015">
      <w:pPr>
        <w:widowControl/>
        <w:adjustRightInd w:val="0"/>
        <w:snapToGrid w:val="0"/>
        <w:spacing w:line="460" w:lineRule="exact"/>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【不属于残疾人福利性单位的无需填写、递交】</w:t>
      </w:r>
    </w:p>
    <w:p w14:paraId="0B88FC0C">
      <w:pPr>
        <w:snapToGrid w:val="0"/>
        <w:spacing w:line="460" w:lineRule="exact"/>
        <w:jc w:val="center"/>
        <w:rPr>
          <w:rFonts w:ascii="宋体" w:hAnsi="宋体" w:cs="宋体"/>
          <w:b/>
          <w:bCs/>
          <w:color w:val="auto"/>
          <w:sz w:val="22"/>
          <w:szCs w:val="22"/>
          <w:highlight w:val="none"/>
        </w:rPr>
      </w:pPr>
    </w:p>
    <w:p w14:paraId="12CE3034">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cs="宋体"/>
          <w:color w:val="auto"/>
          <w:sz w:val="22"/>
          <w:szCs w:val="22"/>
          <w:highlight w:val="none"/>
        </w:rPr>
        <w:t>〔2017〕141</w:t>
      </w:r>
      <w:r>
        <w:rPr>
          <w:rFonts w:hint="eastAsia" w:ascii="宋体" w:hAnsi="宋体" w:cs="宋体"/>
          <w:color w:val="auto"/>
          <w:spacing w:val="6"/>
          <w:sz w:val="22"/>
          <w:szCs w:val="22"/>
          <w:highlight w:val="none"/>
        </w:rPr>
        <w:t>号）的规定，本单位为符合条件的残疾人福利性单位，且本单位参加</w:t>
      </w:r>
      <w:r>
        <w:rPr>
          <w:rFonts w:hint="eastAsia" w:ascii="宋体" w:hAnsi="宋体" w:cs="宋体"/>
          <w:color w:val="auto"/>
          <w:spacing w:val="6"/>
          <w:sz w:val="22"/>
          <w:szCs w:val="22"/>
          <w:highlight w:val="none"/>
          <w:u w:val="single"/>
        </w:rPr>
        <w:t>（招标人名称）</w:t>
      </w:r>
      <w:r>
        <w:rPr>
          <w:rFonts w:hint="eastAsia" w:ascii="宋体" w:hAnsi="宋体" w:cs="宋体"/>
          <w:color w:val="auto"/>
          <w:spacing w:val="6"/>
          <w:sz w:val="22"/>
          <w:szCs w:val="22"/>
          <w:highlight w:val="none"/>
        </w:rPr>
        <w:t>单位的</w:t>
      </w:r>
      <w:r>
        <w:rPr>
          <w:rFonts w:hint="eastAsia" w:ascii="宋体" w:hAnsi="宋体" w:cs="宋体"/>
          <w:color w:val="auto"/>
          <w:spacing w:val="6"/>
          <w:sz w:val="22"/>
          <w:szCs w:val="22"/>
          <w:highlight w:val="none"/>
          <w:u w:val="single"/>
        </w:rPr>
        <w:t>（招标项目名称）</w:t>
      </w:r>
      <w:r>
        <w:rPr>
          <w:rFonts w:hint="eastAsia" w:ascii="宋体" w:hAnsi="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696785A2">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6E3F7BA4">
      <w:pPr>
        <w:snapToGrid w:val="0"/>
        <w:spacing w:line="460" w:lineRule="exact"/>
        <w:ind w:firstLine="464" w:firstLineChars="200"/>
        <w:rPr>
          <w:rFonts w:ascii="宋体" w:hAnsi="宋体" w:cs="宋体"/>
          <w:color w:val="auto"/>
          <w:spacing w:val="6"/>
          <w:sz w:val="22"/>
          <w:szCs w:val="22"/>
          <w:highlight w:val="none"/>
        </w:rPr>
      </w:pPr>
    </w:p>
    <w:p w14:paraId="1E73A16F">
      <w:pPr>
        <w:snapToGrid w:val="0"/>
        <w:spacing w:line="460" w:lineRule="exact"/>
        <w:ind w:firstLine="464" w:firstLineChars="200"/>
        <w:rPr>
          <w:rFonts w:ascii="宋体" w:hAnsi="宋体" w:cs="宋体"/>
          <w:color w:val="auto"/>
          <w:spacing w:val="6"/>
          <w:sz w:val="22"/>
          <w:szCs w:val="22"/>
          <w:highlight w:val="none"/>
        </w:rPr>
      </w:pPr>
    </w:p>
    <w:p w14:paraId="721A8F7E">
      <w:pPr>
        <w:adjustRightInd w:val="0"/>
        <w:snapToGrid w:val="0"/>
        <w:spacing w:line="460" w:lineRule="exact"/>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投标人全称（盖章）：</w:t>
      </w:r>
    </w:p>
    <w:p w14:paraId="175116F3">
      <w:pPr>
        <w:pStyle w:val="24"/>
        <w:spacing w:line="460" w:lineRule="exact"/>
        <w:ind w:left="437" w:leftChars="208" w:firstLine="0" w:firstLineChars="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日期：年月</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日</w:t>
      </w:r>
    </w:p>
    <w:p w14:paraId="22E2B53E">
      <w:pP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br w:type="page"/>
      </w:r>
    </w:p>
    <w:p w14:paraId="54502E67">
      <w:pPr>
        <w:spacing w:line="420" w:lineRule="exact"/>
        <w:jc w:val="center"/>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7、关于符合本国产品标准的声明函</w:t>
      </w:r>
    </w:p>
    <w:p w14:paraId="46D1C99A">
      <w:pPr>
        <w:keepNext w:val="0"/>
        <w:keepLines w:val="0"/>
        <w:pageBreakBefore w:val="0"/>
        <w:widowControl w:val="0"/>
        <w:numPr>
          <w:ilvl w:val="0"/>
          <w:numId w:val="0"/>
        </w:numPr>
        <w:tabs>
          <w:tab w:val="left" w:pos="774"/>
        </w:tabs>
        <w:kinsoku/>
        <w:wordWrap/>
        <w:overflowPunct/>
        <w:topLinePunct w:val="0"/>
        <w:autoSpaceDE w:val="0"/>
        <w:autoSpaceDN w:val="0"/>
        <w:bidi w:val="0"/>
        <w:adjustRightInd/>
        <w:snapToGrid/>
        <w:spacing w:before="240" w:line="276" w:lineRule="auto"/>
        <w:ind w:left="198" w:leftChars="0"/>
        <w:jc w:val="both"/>
        <w:textAlignment w:val="auto"/>
        <w:outlineLvl w:val="9"/>
        <w:rPr>
          <w:rFonts w:hint="eastAsia" w:ascii="宋体" w:hAnsi="宋体" w:eastAsia="宋体" w:cs="宋体"/>
          <w:b/>
          <w:color w:val="auto"/>
          <w:sz w:val="28"/>
          <w:szCs w:val="28"/>
          <w:highlight w:val="none"/>
          <w:lang w:val="en-US" w:eastAsia="zh-CN"/>
        </w:rPr>
      </w:pPr>
    </w:p>
    <w:p w14:paraId="79AE5CBC">
      <w:pPr>
        <w:spacing w:line="360" w:lineRule="auto"/>
        <w:ind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本公司（单位）郑重声明，根据《国务院办公厅关于在政府采购中实施本国产品标准及相关政策的通知》（国办发〔2025〕34号）的规定，本公司（单位）提供的以下产品属于本国产品。具体情况如下：</w:t>
      </w:r>
    </w:p>
    <w:p w14:paraId="0D18414C">
      <w:pPr>
        <w:spacing w:line="360" w:lineRule="auto"/>
        <w:ind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w:t>
      </w:r>
      <w:r>
        <w:rPr>
          <w:rFonts w:hint="eastAsia" w:ascii="宋体" w:hAnsi="宋体" w:eastAsia="宋体" w:cs="宋体"/>
          <w:i w:val="0"/>
          <w:iCs w:val="0"/>
          <w:color w:val="auto"/>
          <w:sz w:val="22"/>
          <w:szCs w:val="22"/>
          <w:highlight w:val="none"/>
          <w:u w:val="single"/>
        </w:rPr>
        <w:t>（产品名称1）</w:t>
      </w:r>
      <w:r>
        <w:rPr>
          <w:rFonts w:hint="eastAsia" w:ascii="宋体" w:hAnsi="宋体" w:eastAsia="宋体" w:cs="宋体"/>
          <w:i w:val="0"/>
          <w:iCs w:val="0"/>
          <w:color w:val="auto"/>
          <w:sz w:val="22"/>
          <w:szCs w:val="22"/>
          <w:highlight w:val="none"/>
          <w:vertAlign w:val="superscript"/>
        </w:rPr>
        <w:t>1</w:t>
      </w:r>
      <w:r>
        <w:rPr>
          <w:rFonts w:hint="eastAsia" w:ascii="宋体" w:hAnsi="宋体" w:eastAsia="宋体" w:cs="宋体"/>
          <w:i w:val="0"/>
          <w:iCs w:val="0"/>
          <w:color w:val="auto"/>
          <w:sz w:val="22"/>
          <w:szCs w:val="22"/>
          <w:highlight w:val="none"/>
        </w:rPr>
        <w:t>，生产厂为</w:t>
      </w:r>
      <w:r>
        <w:rPr>
          <w:rFonts w:hint="eastAsia" w:ascii="宋体" w:hAnsi="宋体" w:eastAsia="宋体" w:cs="宋体"/>
          <w:i w:val="0"/>
          <w:iCs w:val="0"/>
          <w:color w:val="auto"/>
          <w:sz w:val="22"/>
          <w:szCs w:val="22"/>
          <w:highlight w:val="none"/>
          <w:u w:val="single"/>
        </w:rPr>
        <w:t>（厂名）</w:t>
      </w:r>
      <w:r>
        <w:rPr>
          <w:rFonts w:hint="eastAsia" w:ascii="宋体" w:hAnsi="宋体" w:eastAsia="宋体" w:cs="宋体"/>
          <w:i w:val="0"/>
          <w:iCs w:val="0"/>
          <w:color w:val="auto"/>
          <w:sz w:val="22"/>
          <w:szCs w:val="22"/>
          <w:highlight w:val="none"/>
          <w:vertAlign w:val="superscript"/>
        </w:rPr>
        <w:t>2</w:t>
      </w:r>
      <w:r>
        <w:rPr>
          <w:rFonts w:hint="eastAsia" w:ascii="宋体" w:hAnsi="宋体" w:eastAsia="宋体" w:cs="宋体"/>
          <w:i w:val="0"/>
          <w:iCs w:val="0"/>
          <w:color w:val="auto"/>
          <w:sz w:val="22"/>
          <w:szCs w:val="22"/>
          <w:highlight w:val="none"/>
        </w:rPr>
        <w:t>，厂址为</w:t>
      </w:r>
      <w:r>
        <w:rPr>
          <w:rFonts w:hint="eastAsia" w:ascii="宋体" w:hAnsi="宋体" w:eastAsia="宋体" w:cs="宋体"/>
          <w:i w:val="0"/>
          <w:iCs w:val="0"/>
          <w:color w:val="auto"/>
          <w:sz w:val="22"/>
          <w:szCs w:val="22"/>
          <w:highlight w:val="none"/>
          <w:u w:val="single"/>
        </w:rPr>
        <w:t>（生产厂址）</w:t>
      </w:r>
      <w:r>
        <w:rPr>
          <w:rFonts w:hint="eastAsia" w:ascii="宋体" w:hAnsi="宋体" w:eastAsia="宋体" w:cs="宋体"/>
          <w:i w:val="0"/>
          <w:iCs w:val="0"/>
          <w:color w:val="auto"/>
          <w:sz w:val="22"/>
          <w:szCs w:val="22"/>
          <w:highlight w:val="none"/>
        </w:rPr>
        <w:t>。</w:t>
      </w:r>
      <w:r>
        <w:rPr>
          <w:rFonts w:hint="eastAsia" w:ascii="宋体" w:hAnsi="宋体" w:eastAsia="宋体" w:cs="宋体"/>
          <w:i w:val="0"/>
          <w:iCs w:val="0"/>
          <w:color w:val="auto"/>
          <w:sz w:val="22"/>
          <w:szCs w:val="22"/>
          <w:highlight w:val="none"/>
          <w:u w:val="single"/>
        </w:rPr>
        <w:t>（产品名称1）</w:t>
      </w:r>
      <w:r>
        <w:rPr>
          <w:rFonts w:hint="eastAsia" w:ascii="宋体" w:hAnsi="宋体" w:eastAsia="宋体" w:cs="宋体"/>
          <w:i w:val="0"/>
          <w:iCs w:val="0"/>
          <w:color w:val="auto"/>
          <w:sz w:val="22"/>
          <w:szCs w:val="22"/>
          <w:highlight w:val="none"/>
        </w:rPr>
        <w:t>的中国境内生产的组件成本占比≥</w:t>
      </w:r>
      <w:r>
        <w:rPr>
          <w:rFonts w:hint="eastAsia" w:ascii="宋体" w:hAnsi="宋体" w:eastAsia="宋体" w:cs="宋体"/>
          <w:i w:val="0"/>
          <w:iCs w:val="0"/>
          <w:color w:val="auto"/>
          <w:sz w:val="22"/>
          <w:szCs w:val="22"/>
          <w:highlight w:val="none"/>
          <w:u w:val="single"/>
        </w:rPr>
        <w:t>（规定比例）</w:t>
      </w:r>
      <w:r>
        <w:rPr>
          <w:rFonts w:hint="eastAsia" w:ascii="宋体" w:hAnsi="宋体" w:eastAsia="宋体" w:cs="宋体"/>
          <w:i w:val="0"/>
          <w:iCs w:val="0"/>
          <w:color w:val="auto"/>
          <w:sz w:val="22"/>
          <w:szCs w:val="22"/>
          <w:highlight w:val="none"/>
          <w:vertAlign w:val="superscript"/>
        </w:rPr>
        <w:t>3</w:t>
      </w:r>
      <w:r>
        <w:rPr>
          <w:rFonts w:hint="eastAsia" w:ascii="宋体" w:hAnsi="宋体" w:eastAsia="宋体" w:cs="宋体"/>
          <w:i w:val="0"/>
          <w:iCs w:val="0"/>
          <w:color w:val="auto"/>
          <w:sz w:val="22"/>
          <w:szCs w:val="22"/>
          <w:highlight w:val="none"/>
        </w:rPr>
        <w:t>。</w:t>
      </w:r>
      <w:r>
        <w:rPr>
          <w:rFonts w:hint="eastAsia" w:ascii="宋体" w:hAnsi="宋体" w:eastAsia="宋体" w:cs="宋体"/>
          <w:i w:val="0"/>
          <w:iCs w:val="0"/>
          <w:color w:val="auto"/>
          <w:sz w:val="22"/>
          <w:szCs w:val="22"/>
          <w:highlight w:val="none"/>
          <w:u w:val="single"/>
        </w:rPr>
        <w:t>（产品名称1）</w:t>
      </w:r>
      <w:r>
        <w:rPr>
          <w:rFonts w:hint="eastAsia" w:ascii="宋体" w:hAnsi="宋体" w:eastAsia="宋体" w:cs="宋体"/>
          <w:i w:val="0"/>
          <w:iCs w:val="0"/>
          <w:color w:val="auto"/>
          <w:sz w:val="22"/>
          <w:szCs w:val="22"/>
          <w:highlight w:val="none"/>
        </w:rPr>
        <w:t>的</w:t>
      </w:r>
      <w:r>
        <w:rPr>
          <w:rFonts w:hint="eastAsia" w:ascii="宋体" w:hAnsi="宋体" w:eastAsia="宋体" w:cs="宋体"/>
          <w:i w:val="0"/>
          <w:iCs w:val="0"/>
          <w:color w:val="auto"/>
          <w:sz w:val="22"/>
          <w:szCs w:val="22"/>
          <w:highlight w:val="none"/>
          <w:u w:val="single"/>
        </w:rPr>
        <w:t>（关键组件）</w:t>
      </w:r>
      <w:r>
        <w:rPr>
          <w:rFonts w:hint="eastAsia" w:ascii="宋体" w:hAnsi="宋体" w:eastAsia="宋体" w:cs="宋体"/>
          <w:i w:val="0"/>
          <w:iCs w:val="0"/>
          <w:color w:val="auto"/>
          <w:sz w:val="22"/>
          <w:szCs w:val="22"/>
          <w:highlight w:val="none"/>
          <w:vertAlign w:val="superscript"/>
        </w:rPr>
        <w:t>4</w:t>
      </w:r>
      <w:r>
        <w:rPr>
          <w:rFonts w:hint="eastAsia" w:ascii="宋体" w:hAnsi="宋体" w:eastAsia="宋体" w:cs="宋体"/>
          <w:i w:val="0"/>
          <w:iCs w:val="0"/>
          <w:color w:val="auto"/>
          <w:sz w:val="22"/>
          <w:szCs w:val="22"/>
          <w:highlight w:val="none"/>
        </w:rPr>
        <w:t>在中国境内生产。</w:t>
      </w:r>
      <w:r>
        <w:rPr>
          <w:rFonts w:hint="eastAsia" w:ascii="宋体" w:hAnsi="宋体" w:eastAsia="宋体" w:cs="宋体"/>
          <w:i w:val="0"/>
          <w:iCs w:val="0"/>
          <w:color w:val="auto"/>
          <w:sz w:val="22"/>
          <w:szCs w:val="22"/>
          <w:highlight w:val="none"/>
          <w:u w:val="single"/>
        </w:rPr>
        <w:t>（产品名称1）</w:t>
      </w:r>
      <w:r>
        <w:rPr>
          <w:rFonts w:hint="eastAsia" w:ascii="宋体" w:hAnsi="宋体" w:eastAsia="宋体" w:cs="宋体"/>
          <w:i w:val="0"/>
          <w:iCs w:val="0"/>
          <w:color w:val="auto"/>
          <w:sz w:val="22"/>
          <w:szCs w:val="22"/>
          <w:highlight w:val="none"/>
        </w:rPr>
        <w:t>的</w:t>
      </w:r>
      <w:r>
        <w:rPr>
          <w:rFonts w:hint="eastAsia" w:ascii="宋体" w:hAnsi="宋体" w:eastAsia="宋体" w:cs="宋体"/>
          <w:i w:val="0"/>
          <w:iCs w:val="0"/>
          <w:color w:val="auto"/>
          <w:sz w:val="22"/>
          <w:szCs w:val="22"/>
          <w:highlight w:val="none"/>
          <w:u w:val="single"/>
        </w:rPr>
        <w:t>（关键工序）</w:t>
      </w:r>
      <w:r>
        <w:rPr>
          <w:rFonts w:hint="eastAsia" w:ascii="宋体" w:hAnsi="宋体" w:eastAsia="宋体" w:cs="宋体"/>
          <w:i w:val="0"/>
          <w:iCs w:val="0"/>
          <w:color w:val="auto"/>
          <w:sz w:val="22"/>
          <w:szCs w:val="22"/>
          <w:highlight w:val="none"/>
          <w:vertAlign w:val="superscript"/>
        </w:rPr>
        <w:t>5</w:t>
      </w:r>
      <w:r>
        <w:rPr>
          <w:rFonts w:hint="eastAsia" w:ascii="宋体" w:hAnsi="宋体" w:eastAsia="宋体" w:cs="宋体"/>
          <w:i w:val="0"/>
          <w:iCs w:val="0"/>
          <w:color w:val="auto"/>
          <w:sz w:val="22"/>
          <w:szCs w:val="22"/>
          <w:highlight w:val="none"/>
        </w:rPr>
        <w:t>在中国境内完成。</w:t>
      </w:r>
    </w:p>
    <w:p w14:paraId="04697B4A">
      <w:pPr>
        <w:spacing w:line="360" w:lineRule="auto"/>
        <w:ind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2.</w:t>
      </w:r>
      <w:r>
        <w:rPr>
          <w:rFonts w:hint="eastAsia" w:ascii="宋体" w:hAnsi="宋体" w:eastAsia="宋体" w:cs="宋体"/>
          <w:i w:val="0"/>
          <w:iCs w:val="0"/>
          <w:color w:val="auto"/>
          <w:sz w:val="22"/>
          <w:szCs w:val="22"/>
          <w:highlight w:val="none"/>
          <w:u w:val="single"/>
        </w:rPr>
        <w:t>（产品名称2）</w:t>
      </w:r>
      <w:r>
        <w:rPr>
          <w:rFonts w:hint="eastAsia" w:ascii="宋体" w:hAnsi="宋体" w:eastAsia="宋体" w:cs="宋体"/>
          <w:i w:val="0"/>
          <w:iCs w:val="0"/>
          <w:color w:val="auto"/>
          <w:sz w:val="22"/>
          <w:szCs w:val="22"/>
          <w:highlight w:val="none"/>
        </w:rPr>
        <w:t>，生产厂为</w:t>
      </w:r>
      <w:r>
        <w:rPr>
          <w:rFonts w:hint="eastAsia" w:ascii="宋体" w:hAnsi="宋体" w:eastAsia="宋体" w:cs="宋体"/>
          <w:i w:val="0"/>
          <w:iCs w:val="0"/>
          <w:color w:val="auto"/>
          <w:sz w:val="22"/>
          <w:szCs w:val="22"/>
          <w:highlight w:val="none"/>
          <w:u w:val="single"/>
        </w:rPr>
        <w:t>（厂名）</w:t>
      </w:r>
      <w:r>
        <w:rPr>
          <w:rFonts w:hint="eastAsia" w:ascii="宋体" w:hAnsi="宋体" w:eastAsia="宋体" w:cs="宋体"/>
          <w:i w:val="0"/>
          <w:iCs w:val="0"/>
          <w:color w:val="auto"/>
          <w:sz w:val="22"/>
          <w:szCs w:val="22"/>
          <w:highlight w:val="none"/>
        </w:rPr>
        <w:t>，厂址为</w:t>
      </w:r>
      <w:r>
        <w:rPr>
          <w:rFonts w:hint="eastAsia" w:ascii="宋体" w:hAnsi="宋体" w:eastAsia="宋体" w:cs="宋体"/>
          <w:i w:val="0"/>
          <w:iCs w:val="0"/>
          <w:color w:val="auto"/>
          <w:sz w:val="22"/>
          <w:szCs w:val="22"/>
          <w:highlight w:val="none"/>
          <w:u w:val="single"/>
        </w:rPr>
        <w:t>（生产厂址）</w:t>
      </w:r>
      <w:r>
        <w:rPr>
          <w:rFonts w:hint="eastAsia" w:ascii="宋体" w:hAnsi="宋体" w:eastAsia="宋体" w:cs="宋体"/>
          <w:i w:val="0"/>
          <w:iCs w:val="0"/>
          <w:color w:val="auto"/>
          <w:sz w:val="22"/>
          <w:szCs w:val="22"/>
          <w:highlight w:val="none"/>
        </w:rPr>
        <w:t>。</w:t>
      </w:r>
      <w:r>
        <w:rPr>
          <w:rFonts w:hint="eastAsia" w:ascii="宋体" w:hAnsi="宋体" w:eastAsia="宋体" w:cs="宋体"/>
          <w:i w:val="0"/>
          <w:iCs w:val="0"/>
          <w:color w:val="auto"/>
          <w:sz w:val="22"/>
          <w:szCs w:val="22"/>
          <w:highlight w:val="none"/>
          <w:u w:val="single"/>
        </w:rPr>
        <w:t>（产品名称2）</w:t>
      </w:r>
      <w:r>
        <w:rPr>
          <w:rFonts w:hint="eastAsia" w:ascii="宋体" w:hAnsi="宋体" w:eastAsia="宋体" w:cs="宋体"/>
          <w:i w:val="0"/>
          <w:iCs w:val="0"/>
          <w:color w:val="auto"/>
          <w:sz w:val="22"/>
          <w:szCs w:val="22"/>
          <w:highlight w:val="none"/>
        </w:rPr>
        <w:t>的中国境内生产的组件成本占比≥</w:t>
      </w:r>
      <w:r>
        <w:rPr>
          <w:rFonts w:hint="eastAsia" w:ascii="宋体" w:hAnsi="宋体" w:eastAsia="宋体" w:cs="宋体"/>
          <w:i w:val="0"/>
          <w:iCs w:val="0"/>
          <w:color w:val="auto"/>
          <w:sz w:val="22"/>
          <w:szCs w:val="22"/>
          <w:highlight w:val="none"/>
          <w:u w:val="single"/>
        </w:rPr>
        <w:t>（规定比例）</w:t>
      </w:r>
      <w:r>
        <w:rPr>
          <w:rFonts w:hint="eastAsia" w:ascii="宋体" w:hAnsi="宋体" w:eastAsia="宋体" w:cs="宋体"/>
          <w:i w:val="0"/>
          <w:iCs w:val="0"/>
          <w:color w:val="auto"/>
          <w:sz w:val="22"/>
          <w:szCs w:val="22"/>
          <w:highlight w:val="none"/>
        </w:rPr>
        <w:t>。</w:t>
      </w:r>
      <w:r>
        <w:rPr>
          <w:rFonts w:hint="eastAsia" w:ascii="宋体" w:hAnsi="宋体" w:eastAsia="宋体" w:cs="宋体"/>
          <w:i w:val="0"/>
          <w:iCs w:val="0"/>
          <w:color w:val="auto"/>
          <w:sz w:val="22"/>
          <w:szCs w:val="22"/>
          <w:highlight w:val="none"/>
          <w:u w:val="single"/>
        </w:rPr>
        <w:t>（产品名称2）</w:t>
      </w:r>
      <w:r>
        <w:rPr>
          <w:rFonts w:hint="eastAsia" w:ascii="宋体" w:hAnsi="宋体" w:eastAsia="宋体" w:cs="宋体"/>
          <w:i w:val="0"/>
          <w:iCs w:val="0"/>
          <w:color w:val="auto"/>
          <w:sz w:val="22"/>
          <w:szCs w:val="22"/>
          <w:highlight w:val="none"/>
        </w:rPr>
        <w:t>的</w:t>
      </w:r>
      <w:r>
        <w:rPr>
          <w:rFonts w:hint="eastAsia" w:ascii="宋体" w:hAnsi="宋体" w:eastAsia="宋体" w:cs="宋体"/>
          <w:i w:val="0"/>
          <w:iCs w:val="0"/>
          <w:color w:val="auto"/>
          <w:sz w:val="22"/>
          <w:szCs w:val="22"/>
          <w:highlight w:val="none"/>
          <w:u w:val="single"/>
        </w:rPr>
        <w:t>（关键组件）</w:t>
      </w:r>
      <w:r>
        <w:rPr>
          <w:rFonts w:hint="eastAsia" w:ascii="宋体" w:hAnsi="宋体" w:eastAsia="宋体" w:cs="宋体"/>
          <w:i w:val="0"/>
          <w:iCs w:val="0"/>
          <w:color w:val="auto"/>
          <w:sz w:val="22"/>
          <w:szCs w:val="22"/>
          <w:highlight w:val="none"/>
        </w:rPr>
        <w:t>在中国境内生产。</w:t>
      </w:r>
      <w:r>
        <w:rPr>
          <w:rFonts w:hint="eastAsia" w:ascii="宋体" w:hAnsi="宋体" w:eastAsia="宋体" w:cs="宋体"/>
          <w:i w:val="0"/>
          <w:iCs w:val="0"/>
          <w:color w:val="auto"/>
          <w:sz w:val="22"/>
          <w:szCs w:val="22"/>
          <w:highlight w:val="none"/>
          <w:u w:val="single"/>
        </w:rPr>
        <w:t>（产品名称2）</w:t>
      </w:r>
      <w:r>
        <w:rPr>
          <w:rFonts w:hint="eastAsia" w:ascii="宋体" w:hAnsi="宋体" w:eastAsia="宋体" w:cs="宋体"/>
          <w:i w:val="0"/>
          <w:iCs w:val="0"/>
          <w:color w:val="auto"/>
          <w:sz w:val="22"/>
          <w:szCs w:val="22"/>
          <w:highlight w:val="none"/>
        </w:rPr>
        <w:t>的</w:t>
      </w:r>
      <w:r>
        <w:rPr>
          <w:rFonts w:hint="eastAsia" w:ascii="宋体" w:hAnsi="宋体" w:eastAsia="宋体" w:cs="宋体"/>
          <w:i w:val="0"/>
          <w:iCs w:val="0"/>
          <w:color w:val="auto"/>
          <w:sz w:val="22"/>
          <w:szCs w:val="22"/>
          <w:highlight w:val="none"/>
          <w:u w:val="single"/>
        </w:rPr>
        <w:t>（关键工序）</w:t>
      </w:r>
      <w:r>
        <w:rPr>
          <w:rFonts w:hint="eastAsia" w:ascii="宋体" w:hAnsi="宋体" w:eastAsia="宋体" w:cs="宋体"/>
          <w:i w:val="0"/>
          <w:iCs w:val="0"/>
          <w:color w:val="auto"/>
          <w:sz w:val="22"/>
          <w:szCs w:val="22"/>
          <w:highlight w:val="none"/>
        </w:rPr>
        <w:t>在中国境内完成。</w:t>
      </w:r>
    </w:p>
    <w:p w14:paraId="5F67F891">
      <w:pPr>
        <w:spacing w:line="360" w:lineRule="auto"/>
        <w:ind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w:t>
      </w:r>
    </w:p>
    <w:p w14:paraId="103563E4">
      <w:pPr>
        <w:spacing w:line="360" w:lineRule="auto"/>
        <w:ind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本公司（单位）对上述声明内容的真实性负责。如有虚假，愿承担相应法律责任。</w:t>
      </w:r>
    </w:p>
    <w:p w14:paraId="553215AC">
      <w:pPr>
        <w:snapToGrid w:val="0"/>
        <w:spacing w:line="360" w:lineRule="auto"/>
        <w:rPr>
          <w:rFonts w:hint="eastAsia" w:ascii="宋体" w:hAnsi="宋体" w:eastAsia="宋体" w:cs="宋体"/>
          <w:i w:val="0"/>
          <w:iCs w:val="0"/>
          <w:color w:val="auto"/>
          <w:sz w:val="22"/>
          <w:szCs w:val="22"/>
          <w:highlight w:val="none"/>
        </w:rPr>
      </w:pPr>
    </w:p>
    <w:p w14:paraId="189F43A2">
      <w:pPr>
        <w:snapToGrid w:val="0"/>
        <w:spacing w:line="360" w:lineRule="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pacing w:val="20"/>
          <w:sz w:val="22"/>
          <w:szCs w:val="22"/>
          <w:highlight w:val="none"/>
        </w:rPr>
        <w:t>投标人盖章：</w:t>
      </w:r>
      <w:r>
        <w:rPr>
          <w:rFonts w:hint="eastAsia" w:ascii="宋体" w:hAnsi="宋体" w:eastAsia="宋体" w:cs="宋体"/>
          <w:i w:val="0"/>
          <w:iCs w:val="0"/>
          <w:color w:val="auto"/>
          <w:spacing w:val="20"/>
          <w:sz w:val="22"/>
          <w:szCs w:val="22"/>
          <w:highlight w:val="none"/>
          <w:u w:val="single"/>
        </w:rPr>
        <w:t xml:space="preserve">            </w:t>
      </w:r>
      <w:r>
        <w:rPr>
          <w:rFonts w:hint="eastAsia" w:ascii="宋体" w:hAnsi="宋体" w:eastAsia="宋体" w:cs="宋体"/>
          <w:i w:val="0"/>
          <w:iCs w:val="0"/>
          <w:color w:val="auto"/>
          <w:spacing w:val="20"/>
          <w:sz w:val="22"/>
          <w:szCs w:val="22"/>
          <w:highlight w:val="none"/>
        </w:rPr>
        <w:t xml:space="preserve">              日  期：</w:t>
      </w:r>
      <w:r>
        <w:rPr>
          <w:rFonts w:hint="eastAsia" w:ascii="宋体" w:hAnsi="宋体" w:eastAsia="宋体" w:cs="宋体"/>
          <w:i w:val="0"/>
          <w:iCs w:val="0"/>
          <w:color w:val="auto"/>
          <w:spacing w:val="20"/>
          <w:sz w:val="22"/>
          <w:szCs w:val="22"/>
          <w:highlight w:val="none"/>
          <w:u w:val="single"/>
        </w:rPr>
        <w:t xml:space="preserve">          </w:t>
      </w:r>
    </w:p>
    <w:p w14:paraId="4523337D">
      <w:pPr>
        <w:snapToGrid w:val="0"/>
        <w:spacing w:line="360" w:lineRule="auto"/>
        <w:rPr>
          <w:rFonts w:hint="eastAsia"/>
          <w:color w:val="auto"/>
          <w:sz w:val="22"/>
          <w:szCs w:val="22"/>
          <w:highlight w:val="none"/>
        </w:rPr>
      </w:pPr>
    </w:p>
    <w:p w14:paraId="03736887">
      <w:pPr>
        <w:snapToGrid w:val="0"/>
        <w:spacing w:line="360" w:lineRule="auto"/>
        <w:rPr>
          <w:rFonts w:hint="eastAsia"/>
          <w:color w:val="auto"/>
          <w:sz w:val="22"/>
          <w:szCs w:val="22"/>
          <w:highlight w:val="none"/>
        </w:rPr>
      </w:pPr>
    </w:p>
    <w:p w14:paraId="2B94818A">
      <w:pPr>
        <w:snapToGrid w:val="0"/>
        <w:spacing w:line="360" w:lineRule="auto"/>
        <w:rPr>
          <w:rFonts w:hint="eastAsia"/>
          <w:color w:val="auto"/>
          <w:sz w:val="22"/>
          <w:szCs w:val="22"/>
          <w:highlight w:val="none"/>
        </w:rPr>
      </w:pPr>
    </w:p>
    <w:p w14:paraId="78394526">
      <w:pPr>
        <w:snapToGrid w:val="0"/>
        <w:spacing w:line="360" w:lineRule="auto"/>
        <w:rPr>
          <w:rFonts w:hint="eastAsia"/>
          <w:color w:val="auto"/>
          <w:sz w:val="22"/>
          <w:szCs w:val="22"/>
          <w:highlight w:val="none"/>
        </w:rPr>
      </w:pPr>
    </w:p>
    <w:p w14:paraId="05B6304A">
      <w:pPr>
        <w:snapToGrid w:val="0"/>
        <w:spacing w:line="360" w:lineRule="auto"/>
        <w:rPr>
          <w:rFonts w:hint="eastAsia"/>
          <w:color w:val="auto"/>
          <w:sz w:val="22"/>
          <w:szCs w:val="22"/>
          <w:highlight w:val="none"/>
        </w:rPr>
      </w:pPr>
    </w:p>
    <w:p w14:paraId="2C8AC7F9">
      <w:pPr>
        <w:snapToGrid w:val="0"/>
        <w:spacing w:line="360" w:lineRule="auto"/>
        <w:rPr>
          <w:rFonts w:hint="eastAsia"/>
          <w:color w:val="auto"/>
          <w:sz w:val="22"/>
          <w:szCs w:val="22"/>
          <w:highlight w:val="none"/>
        </w:rPr>
      </w:pPr>
    </w:p>
    <w:p w14:paraId="5453E38B">
      <w:pPr>
        <w:snapToGrid w:val="0"/>
        <w:spacing w:line="360" w:lineRule="auto"/>
        <w:rPr>
          <w:rFonts w:hint="eastAsia"/>
          <w:color w:val="auto"/>
          <w:sz w:val="22"/>
          <w:szCs w:val="22"/>
          <w:highlight w:val="none"/>
        </w:rPr>
      </w:pPr>
    </w:p>
    <w:p w14:paraId="2E4B97EF">
      <w:pPr>
        <w:spacing w:line="360" w:lineRule="auto"/>
        <w:rPr>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p w14:paraId="03C445AE">
      <w:pPr>
        <w:spacing w:line="360" w:lineRule="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1.产品如有型号，请在“产品名称”栏一并填写。</w:t>
      </w:r>
    </w:p>
    <w:p w14:paraId="6191883C">
      <w:pPr>
        <w:spacing w:line="360" w:lineRule="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2.生产厂名与厂址应与生产厂营业执照载明的相关信息保持一致。</w:t>
      </w:r>
    </w:p>
    <w:p w14:paraId="7412E72B">
      <w:pPr>
        <w:spacing w:line="360" w:lineRule="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3.该产品的中国境内生产的组件成本占比相关要求实施前，“规定比例”栏可不填，下同。</w:t>
      </w:r>
    </w:p>
    <w:p w14:paraId="28D0EBCC">
      <w:pPr>
        <w:spacing w:line="360" w:lineRule="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4.该产品的关键组件要求实施前，“关键组件”栏可不填，下同。</w:t>
      </w:r>
    </w:p>
    <w:p w14:paraId="1EE9C4A3">
      <w:pPr>
        <w:spacing w:line="360" w:lineRule="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5.该产品的关键工序要求实施前，“关键工序”栏可不填，下同。</w:t>
      </w:r>
    </w:p>
    <w:p w14:paraId="4ED45178">
      <w:pPr>
        <w:keepNext w:val="0"/>
        <w:keepLines w:val="0"/>
        <w:pageBreakBefore w:val="0"/>
        <w:kinsoku/>
        <w:wordWrap/>
        <w:overflowPunct/>
        <w:topLinePunct w:val="0"/>
        <w:autoSpaceDE/>
        <w:autoSpaceDN/>
        <w:bidi w:val="0"/>
        <w:spacing w:line="460" w:lineRule="exact"/>
        <w:rPr>
          <w:rFonts w:hint="eastAsia" w:ascii="宋体" w:hAnsi="宋体" w:eastAsia="宋体" w:cs="宋体"/>
          <w:b w:val="0"/>
          <w:bCs/>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sz w:val="24"/>
          <w:highlight w:val="none"/>
        </w:rPr>
        <w:br w:type="page"/>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b w:val="0"/>
          <w:bCs/>
          <w:color w:val="auto"/>
          <w:sz w:val="21"/>
          <w:szCs w:val="21"/>
          <w:highlight w:val="none"/>
        </w:rPr>
        <w:t>在货物采购项目中</w:t>
      </w:r>
      <w:r>
        <w:rPr>
          <w:rFonts w:hint="eastAsia" w:ascii="宋体" w:hAnsi="宋体" w:eastAsia="宋体" w:cs="宋体"/>
          <w:b w:val="0"/>
          <w:bCs/>
          <w:i w:val="0"/>
          <w:iCs w:val="0"/>
          <w:caps w:val="0"/>
          <w:color w:val="auto"/>
          <w:spacing w:val="0"/>
          <w:sz w:val="21"/>
          <w:szCs w:val="21"/>
          <w:highlight w:val="none"/>
          <w:shd w:val="clear" w:color="auto" w:fill="FFFFFF"/>
          <w:lang w:val="en-US" w:eastAsia="zh-CN"/>
        </w:rPr>
        <w:t>执行《国务院办公厅关于在政府采购中实施本国产品标准及相关政策的通知》(国办发〔2025〕34号)。相关政策主要规定及供应商填写说明如下：</w:t>
      </w:r>
    </w:p>
    <w:p w14:paraId="69C73FC1">
      <w:pPr>
        <w:pStyle w:val="5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460" w:lineRule="exact"/>
        <w:ind w:left="0" w:leftChars="0" w:right="0" w:rightChars="0" w:firstLine="420" w:firstLineChars="200"/>
        <w:jc w:val="left"/>
        <w:textAlignment w:val="auto"/>
        <w:rPr>
          <w:rFonts w:hint="eastAsia" w:ascii="宋体" w:hAnsi="宋体" w:eastAsia="宋体" w:cs="宋体"/>
          <w:b w:val="0"/>
          <w:bCs/>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i w:val="0"/>
          <w:iCs w:val="0"/>
          <w:caps w:val="0"/>
          <w:color w:val="auto"/>
          <w:spacing w:val="0"/>
          <w:sz w:val="21"/>
          <w:szCs w:val="21"/>
          <w:highlight w:val="none"/>
          <w:shd w:val="clear" w:color="auto" w:fill="FFFFFF"/>
          <w:lang w:val="en-US" w:eastAsia="zh-CN"/>
        </w:rPr>
        <w:t>1.1相关政策主要规定：</w:t>
      </w:r>
    </w:p>
    <w:p w14:paraId="637A3EC4">
      <w:pPr>
        <w:pStyle w:val="5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leftChars="0" w:right="0" w:rightChars="0" w:firstLine="420" w:firstLineChars="0"/>
        <w:textAlignment w:val="baseline"/>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1.1.1</w:t>
      </w:r>
      <w:r>
        <w:rPr>
          <w:rFonts w:hint="eastAsia" w:ascii="宋体" w:hAnsi="宋体" w:eastAsia="宋体" w:cs="宋体"/>
          <w:b/>
          <w:bCs/>
          <w:i w:val="0"/>
          <w:iCs w:val="0"/>
          <w:caps w:val="0"/>
          <w:color w:val="auto"/>
          <w:spacing w:val="0"/>
          <w:sz w:val="21"/>
          <w:szCs w:val="21"/>
          <w:highlight w:val="none"/>
          <w:shd w:val="clear" w:color="auto" w:fill="FFFFFF"/>
          <w:lang w:val="en-US" w:eastAsia="zh-CN"/>
        </w:rPr>
        <w:t>本国产品标准</w:t>
      </w:r>
    </w:p>
    <w:p w14:paraId="6A087118">
      <w:pPr>
        <w:pStyle w:val="5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420" w:leftChars="0" w:right="0" w:rightChars="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本国产品应当符合以下条件：</w:t>
      </w:r>
    </w:p>
    <w:p w14:paraId="5EC3602D">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lang w:val="en-US" w:eastAsia="zh-CN"/>
        </w:rPr>
        <w:t>1.1.1.1</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在中国境内生产</w:t>
      </w:r>
    </w:p>
    <w:p w14:paraId="41E1F90F">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产品应当在中国境内生产，即在中华人民共和国关境内实现从原材料、组件到产品的属性改变。</w:t>
      </w:r>
    </w:p>
    <w:p w14:paraId="303F866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属性改变是指经过制造、加工或者组装等工序，产生完全不同于原材料、组件的新产品，并具有新的名称和特征（用途）。属性改变不包括以下细微操作：</w:t>
      </w:r>
    </w:p>
    <w:p w14:paraId="6BE3B8E8">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u w:val="none"/>
          <w:shd w:val="clear" w:color="auto" w:fill="FFFFFF"/>
          <w:vertAlign w:val="baseline"/>
        </w:rPr>
        <w:t>为确保产品在运输或者储存期间保持某种状态而进行的操作；</w:t>
      </w:r>
    </w:p>
    <w:p w14:paraId="3364B20E">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u w:val="none"/>
          <w:shd w:val="clear" w:color="auto" w:fill="FFFFFF"/>
          <w:vertAlign w:val="baseline"/>
        </w:rPr>
        <w:t>为产品运输或者销售进行的包装或者展示；</w:t>
      </w:r>
    </w:p>
    <w:p w14:paraId="208E486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u w:val="none"/>
          <w:shd w:val="clear" w:color="auto" w:fill="FFFFFF"/>
          <w:vertAlign w:val="baseline"/>
        </w:rPr>
        <w:t>在产品或者其包装上粘贴或者印刷品牌、标志、标识以及其他用于区别的标记；</w:t>
      </w:r>
    </w:p>
    <w:p w14:paraId="0160B50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（4）</w:t>
      </w:r>
      <w:r>
        <w:rPr>
          <w:rFonts w:hint="eastAsia" w:ascii="宋体" w:hAnsi="宋体" w:eastAsia="宋体" w:cs="宋体"/>
          <w:i w:val="0"/>
          <w:iCs w:val="0"/>
          <w:caps w:val="0"/>
          <w:color w:val="auto"/>
          <w:spacing w:val="0"/>
          <w:sz w:val="21"/>
          <w:szCs w:val="21"/>
          <w:highlight w:val="none"/>
          <w:u w:val="none"/>
          <w:shd w:val="clear" w:color="auto" w:fill="FFFFFF"/>
          <w:vertAlign w:val="baseline"/>
        </w:rPr>
        <w:t>简单的上漆、磨光和分装；</w:t>
      </w:r>
    </w:p>
    <w:p w14:paraId="2D7BD0FC">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5）</w:t>
      </w:r>
      <w:r>
        <w:rPr>
          <w:rFonts w:hint="eastAsia" w:ascii="宋体" w:hAnsi="宋体" w:eastAsia="宋体" w:cs="宋体"/>
          <w:i w:val="0"/>
          <w:iCs w:val="0"/>
          <w:caps w:val="0"/>
          <w:color w:val="auto"/>
          <w:spacing w:val="0"/>
          <w:sz w:val="21"/>
          <w:szCs w:val="21"/>
          <w:highlight w:val="none"/>
          <w:u w:val="none"/>
          <w:shd w:val="clear" w:color="auto" w:fill="FFFFFF"/>
          <w:vertAlign w:val="baseline"/>
        </w:rPr>
        <w:t>其他不属于属性改变的情形。</w:t>
      </w:r>
    </w:p>
    <w:p w14:paraId="551A578F">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lang w:val="en-US" w:eastAsia="zh-CN"/>
        </w:rPr>
        <w:t>1.1.1.2</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在中国境内生产的组件成本占比达到规定比例</w:t>
      </w:r>
    </w:p>
    <w:p w14:paraId="2DB09909">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产品在中国境内生产的组件成本占比应当达到规定比例，计算公式为：</w:t>
      </w:r>
    </w:p>
    <w:p w14:paraId="46D26CE9">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360" w:lineRule="auto"/>
        <w:ind w:left="0" w:right="0"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drawing>
          <wp:inline distT="0" distB="0" distL="114300" distR="114300">
            <wp:extent cx="4829175" cy="7620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4829175" cy="762000"/>
                    </a:xfrm>
                    <a:prstGeom prst="rect">
                      <a:avLst/>
                    </a:prstGeom>
                    <a:noFill/>
                    <a:ln>
                      <a:noFill/>
                    </a:ln>
                  </pic:spPr>
                </pic:pic>
              </a:graphicData>
            </a:graphic>
          </wp:inline>
        </w:drawing>
      </w:r>
    </w:p>
    <w:p w14:paraId="4EDD42DD">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lang w:val="en-US" w:eastAsia="zh-CN"/>
        </w:rPr>
        <w:t>1.1.1.3</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特定产品的关键组件、关键工序符合相关要求</w:t>
      </w:r>
    </w:p>
    <w:p w14:paraId="48A1051B">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对特定产品，在符合本</w:t>
      </w:r>
      <w:r>
        <w:rPr>
          <w:rFonts w:hint="eastAsia" w:ascii="宋体" w:hAnsi="宋体" w:eastAsia="宋体" w:cs="宋体"/>
          <w:i w:val="0"/>
          <w:iCs w:val="0"/>
          <w:caps w:val="0"/>
          <w:color w:val="auto"/>
          <w:spacing w:val="0"/>
          <w:sz w:val="21"/>
          <w:szCs w:val="21"/>
          <w:highlight w:val="none"/>
          <w:u w:val="none"/>
          <w:shd w:val="clear" w:color="auto" w:fill="FFFFFF"/>
          <w:vertAlign w:val="baseline"/>
          <w:lang w:eastAsia="zh-CN"/>
        </w:rPr>
        <w:t>章</w:t>
      </w: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u w:val="none"/>
          <w:shd w:val="clear" w:color="auto" w:fill="FFFFFF"/>
          <w:vertAlign w:val="baseline"/>
        </w:rPr>
        <w:t>.1.1.1和</w:t>
      </w: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u w:val="none"/>
          <w:shd w:val="clear" w:color="auto" w:fill="FFFFFF"/>
          <w:vertAlign w:val="baseline"/>
        </w:rPr>
        <w:t>.1.1.</w:t>
      </w:r>
      <w:r>
        <w:rPr>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u w:val="none"/>
          <w:shd w:val="clear" w:color="auto" w:fill="FFFFFF"/>
          <w:vertAlign w:val="baseline"/>
        </w:rPr>
        <w:t>条件的基础上，应当符合财政部会同有关行业主管部门确定的其</w:t>
      </w: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关键组件、关键工序</w:t>
      </w:r>
      <w:r>
        <w:rPr>
          <w:rFonts w:hint="eastAsia" w:ascii="宋体" w:hAnsi="宋体" w:eastAsia="宋体" w:cs="宋体"/>
          <w:i w:val="0"/>
          <w:iCs w:val="0"/>
          <w:caps w:val="0"/>
          <w:color w:val="auto"/>
          <w:spacing w:val="0"/>
          <w:sz w:val="21"/>
          <w:szCs w:val="21"/>
          <w:highlight w:val="none"/>
          <w:u w:val="none"/>
          <w:shd w:val="clear" w:color="auto" w:fill="FFFFFF"/>
          <w:vertAlign w:val="baseline"/>
        </w:rPr>
        <w:t>在中国境内生产、完成等要求。</w:t>
      </w:r>
    </w:p>
    <w:p w14:paraId="4C9E4BC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Style w:val="57"/>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1.1.2</w:t>
      </w:r>
      <w:r>
        <w:rPr>
          <w:rStyle w:val="57"/>
          <w:rFonts w:hint="eastAsia" w:ascii="宋体" w:hAnsi="宋体" w:eastAsia="宋体" w:cs="宋体"/>
          <w:i w:val="0"/>
          <w:iCs w:val="0"/>
          <w:caps w:val="0"/>
          <w:color w:val="auto"/>
          <w:spacing w:val="0"/>
          <w:sz w:val="21"/>
          <w:szCs w:val="21"/>
          <w:highlight w:val="none"/>
          <w:u w:val="none"/>
          <w:shd w:val="clear" w:color="auto" w:fill="FFFFFF"/>
          <w:vertAlign w:val="baseline"/>
        </w:rPr>
        <w:t>本国产品标准的适用范围</w:t>
      </w:r>
    </w:p>
    <w:p w14:paraId="14B1DFC8">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A478DD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color w:val="auto"/>
          <w:sz w:val="21"/>
          <w:szCs w:val="21"/>
          <w:highlight w:val="none"/>
        </w:rPr>
      </w:pPr>
      <w:r>
        <w:rPr>
          <w:rStyle w:val="57"/>
          <w:rFonts w:hint="eastAsia" w:ascii="宋体" w:hAnsi="宋体" w:eastAsia="宋体" w:cs="宋体"/>
          <w:i w:val="0"/>
          <w:iCs w:val="0"/>
          <w:caps w:val="0"/>
          <w:color w:val="auto"/>
          <w:spacing w:val="0"/>
          <w:sz w:val="21"/>
          <w:szCs w:val="21"/>
          <w:highlight w:val="none"/>
          <w:u w:val="none"/>
          <w:shd w:val="clear" w:color="auto" w:fill="FFFFFF"/>
          <w:vertAlign w:val="baseline"/>
          <w:lang w:val="en-US" w:eastAsia="zh-CN"/>
        </w:rPr>
        <w:t>1.1.3</w:t>
      </w:r>
      <w:r>
        <w:rPr>
          <w:rStyle w:val="57"/>
          <w:rFonts w:hint="eastAsia" w:ascii="宋体" w:hAnsi="宋体" w:eastAsia="宋体" w:cs="宋体"/>
          <w:i w:val="0"/>
          <w:iCs w:val="0"/>
          <w:caps w:val="0"/>
          <w:color w:val="auto"/>
          <w:spacing w:val="0"/>
          <w:sz w:val="21"/>
          <w:szCs w:val="21"/>
          <w:highlight w:val="none"/>
          <w:u w:val="none"/>
          <w:shd w:val="clear" w:color="auto" w:fill="FFFFFF"/>
          <w:vertAlign w:val="baseline"/>
        </w:rPr>
        <w:t>对本国产品的支持政策</w:t>
      </w:r>
    </w:p>
    <w:p w14:paraId="4934DCE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政府采购活动中既有本国产品又有非本国产品参与竞争的，依法对本国产品给予价格评审优惠，对本国产品的报价给予20%的价格扣除，用扣除后的价格参与评审。</w:t>
      </w:r>
    </w:p>
    <w:p w14:paraId="4DD2A805">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line="460" w:lineRule="exact"/>
        <w:ind w:left="0" w:right="0" w:firstLine="42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317573">
      <w:pPr>
        <w:pStyle w:val="25"/>
        <w:rPr>
          <w:color w:val="auto"/>
          <w:highlight w:val="none"/>
        </w:rPr>
      </w:pPr>
    </w:p>
    <w:p w14:paraId="6DE9BA6D">
      <w:pPr>
        <w:pStyle w:val="24"/>
        <w:spacing w:line="460" w:lineRule="exact"/>
        <w:ind w:left="440" w:hanging="440"/>
        <w:rPr>
          <w:rFonts w:ascii="宋体" w:hAnsi="宋体" w:cs="宋体"/>
          <w:color w:val="auto"/>
          <w:kern w:val="0"/>
          <w:sz w:val="22"/>
          <w:szCs w:val="22"/>
          <w:highlight w:val="none"/>
        </w:rPr>
      </w:pPr>
    </w:p>
    <w:p w14:paraId="69EB7DED">
      <w:pPr>
        <w:pStyle w:val="24"/>
        <w:ind w:left="440" w:hanging="440"/>
        <w:rPr>
          <w:rFonts w:ascii="宋体" w:hAnsi="宋体" w:cs="宋体"/>
          <w:color w:val="auto"/>
          <w:kern w:val="0"/>
          <w:sz w:val="22"/>
          <w:szCs w:val="22"/>
          <w:highlight w:val="none"/>
        </w:rPr>
      </w:pPr>
    </w:p>
    <w:p w14:paraId="6ACA4F3D">
      <w:pPr>
        <w:pStyle w:val="24"/>
        <w:ind w:left="440" w:hanging="440"/>
        <w:rPr>
          <w:rFonts w:ascii="宋体" w:hAnsi="宋体" w:cs="宋体"/>
          <w:color w:val="auto"/>
          <w:kern w:val="0"/>
          <w:sz w:val="22"/>
          <w:szCs w:val="22"/>
          <w:highlight w:val="none"/>
        </w:rPr>
      </w:pPr>
    </w:p>
    <w:p w14:paraId="086098AD">
      <w:pPr>
        <w:pStyle w:val="24"/>
        <w:ind w:left="440" w:hanging="440"/>
        <w:rPr>
          <w:rFonts w:ascii="宋体" w:hAnsi="宋体" w:cs="宋体"/>
          <w:color w:val="auto"/>
          <w:kern w:val="0"/>
          <w:sz w:val="22"/>
          <w:szCs w:val="22"/>
          <w:highlight w:val="none"/>
        </w:rPr>
      </w:pPr>
    </w:p>
    <w:p w14:paraId="34CE39BE">
      <w:pPr>
        <w:pStyle w:val="24"/>
        <w:ind w:left="440" w:hanging="440"/>
        <w:rPr>
          <w:rFonts w:ascii="宋体" w:hAnsi="宋体" w:cs="宋体"/>
          <w:color w:val="auto"/>
          <w:kern w:val="0"/>
          <w:sz w:val="22"/>
          <w:szCs w:val="22"/>
          <w:highlight w:val="none"/>
        </w:rPr>
      </w:pPr>
    </w:p>
    <w:p w14:paraId="0BC4A0B4">
      <w:pPr>
        <w:pStyle w:val="24"/>
        <w:ind w:left="440" w:hanging="440"/>
        <w:rPr>
          <w:rFonts w:ascii="宋体" w:hAnsi="宋体" w:cs="宋体"/>
          <w:color w:val="auto"/>
          <w:kern w:val="0"/>
          <w:sz w:val="22"/>
          <w:szCs w:val="22"/>
          <w:highlight w:val="none"/>
        </w:rPr>
      </w:pPr>
    </w:p>
    <w:p w14:paraId="3135BB50">
      <w:pPr>
        <w:pStyle w:val="24"/>
        <w:ind w:left="440" w:hanging="440"/>
        <w:rPr>
          <w:rFonts w:ascii="宋体" w:hAnsi="宋体" w:cs="宋体"/>
          <w:color w:val="auto"/>
          <w:kern w:val="0"/>
          <w:sz w:val="22"/>
          <w:szCs w:val="22"/>
          <w:highlight w:val="none"/>
        </w:rPr>
      </w:pPr>
    </w:p>
    <w:p w14:paraId="4F3CE225">
      <w:pPr>
        <w:pStyle w:val="24"/>
        <w:ind w:left="440" w:hanging="440"/>
        <w:rPr>
          <w:rFonts w:ascii="宋体" w:hAnsi="宋体" w:cs="宋体"/>
          <w:color w:val="auto"/>
          <w:kern w:val="0"/>
          <w:sz w:val="22"/>
          <w:szCs w:val="22"/>
          <w:highlight w:val="none"/>
        </w:rPr>
      </w:pPr>
    </w:p>
    <w:p w14:paraId="007E3366">
      <w:pPr>
        <w:pStyle w:val="24"/>
        <w:ind w:left="440" w:hanging="440"/>
        <w:rPr>
          <w:rFonts w:ascii="宋体" w:hAnsi="宋体" w:cs="宋体"/>
          <w:color w:val="auto"/>
          <w:kern w:val="0"/>
          <w:sz w:val="22"/>
          <w:szCs w:val="22"/>
          <w:highlight w:val="none"/>
        </w:rPr>
      </w:pPr>
    </w:p>
    <w:p w14:paraId="75515B27">
      <w:pPr>
        <w:pStyle w:val="24"/>
        <w:ind w:left="440" w:hanging="440"/>
        <w:rPr>
          <w:rFonts w:ascii="宋体" w:hAnsi="宋体" w:cs="宋体"/>
          <w:color w:val="auto"/>
          <w:kern w:val="0"/>
          <w:sz w:val="22"/>
          <w:szCs w:val="22"/>
          <w:highlight w:val="none"/>
        </w:rPr>
      </w:pPr>
    </w:p>
    <w:p w14:paraId="59C60200">
      <w:pPr>
        <w:pStyle w:val="24"/>
        <w:ind w:left="440" w:hanging="440"/>
        <w:rPr>
          <w:rFonts w:ascii="宋体" w:hAnsi="宋体" w:cs="宋体"/>
          <w:color w:val="auto"/>
          <w:kern w:val="0"/>
          <w:sz w:val="22"/>
          <w:szCs w:val="22"/>
          <w:highlight w:val="none"/>
        </w:rPr>
      </w:pPr>
    </w:p>
    <w:p w14:paraId="2F38B172">
      <w:pPr>
        <w:pStyle w:val="24"/>
        <w:ind w:left="440" w:hanging="440"/>
        <w:rPr>
          <w:rFonts w:ascii="宋体" w:hAnsi="宋体" w:cs="宋体"/>
          <w:color w:val="auto"/>
          <w:kern w:val="0"/>
          <w:sz w:val="22"/>
          <w:szCs w:val="22"/>
          <w:highlight w:val="none"/>
        </w:rPr>
      </w:pPr>
    </w:p>
    <w:p w14:paraId="4EF4CE1B">
      <w:pPr>
        <w:pStyle w:val="24"/>
        <w:ind w:left="440" w:hanging="440"/>
        <w:rPr>
          <w:rFonts w:ascii="宋体" w:hAnsi="宋体" w:cs="宋体"/>
          <w:color w:val="auto"/>
          <w:kern w:val="0"/>
          <w:sz w:val="22"/>
          <w:szCs w:val="22"/>
          <w:highlight w:val="none"/>
        </w:rPr>
      </w:pPr>
    </w:p>
    <w:p w14:paraId="76E6108E">
      <w:pPr>
        <w:pStyle w:val="24"/>
        <w:ind w:left="440" w:hanging="440"/>
        <w:rPr>
          <w:rFonts w:ascii="宋体" w:hAnsi="宋体" w:cs="宋体"/>
          <w:color w:val="auto"/>
          <w:kern w:val="0"/>
          <w:sz w:val="22"/>
          <w:szCs w:val="22"/>
          <w:highlight w:val="none"/>
        </w:rPr>
      </w:pPr>
    </w:p>
    <w:p w14:paraId="61A861B2">
      <w:pPr>
        <w:pStyle w:val="24"/>
        <w:ind w:left="440" w:hanging="440"/>
        <w:rPr>
          <w:rFonts w:ascii="宋体" w:hAnsi="宋体" w:cs="宋体"/>
          <w:color w:val="auto"/>
          <w:kern w:val="0"/>
          <w:sz w:val="22"/>
          <w:szCs w:val="22"/>
          <w:highlight w:val="none"/>
        </w:rPr>
      </w:pPr>
    </w:p>
    <w:p w14:paraId="1011075A">
      <w:pPr>
        <w:pStyle w:val="24"/>
        <w:ind w:left="440" w:hanging="440"/>
        <w:rPr>
          <w:rFonts w:ascii="宋体" w:hAnsi="宋体" w:cs="宋体"/>
          <w:color w:val="auto"/>
          <w:kern w:val="0"/>
          <w:sz w:val="22"/>
          <w:szCs w:val="22"/>
          <w:highlight w:val="none"/>
        </w:rPr>
      </w:pPr>
    </w:p>
    <w:p w14:paraId="575638F4">
      <w:pPr>
        <w:rPr>
          <w:rFonts w:ascii="宋体" w:hAnsi="宋体" w:cs="宋体"/>
          <w:b/>
          <w:color w:val="auto"/>
          <w:sz w:val="22"/>
          <w:szCs w:val="22"/>
          <w:highlight w:val="none"/>
        </w:rPr>
      </w:pPr>
      <w:r>
        <w:rPr>
          <w:rFonts w:hint="eastAsia" w:ascii="宋体" w:hAnsi="宋体" w:cs="宋体"/>
          <w:b/>
          <w:color w:val="auto"/>
          <w:sz w:val="22"/>
          <w:szCs w:val="22"/>
          <w:highlight w:val="none"/>
        </w:rPr>
        <w:br w:type="page"/>
      </w:r>
    </w:p>
    <w:p w14:paraId="16B5E1B9">
      <w:pPr>
        <w:pStyle w:val="24"/>
        <w:spacing w:line="460" w:lineRule="exact"/>
        <w:ind w:left="433" w:hanging="433" w:hangingChars="196"/>
        <w:outlineLvl w:val="1"/>
        <w:rPr>
          <w:rFonts w:ascii="宋体" w:hAnsi="宋体" w:cs="宋体"/>
          <w:b/>
          <w:color w:val="auto"/>
          <w:sz w:val="22"/>
          <w:szCs w:val="22"/>
          <w:highlight w:val="none"/>
        </w:rPr>
      </w:pPr>
      <w:bookmarkStart w:id="34" w:name="_Toc19402"/>
      <w:bookmarkStart w:id="35" w:name="_Toc12035"/>
      <w:r>
        <w:rPr>
          <w:rFonts w:hint="eastAsia" w:ascii="宋体" w:hAnsi="宋体" w:cs="宋体"/>
          <w:b/>
          <w:color w:val="auto"/>
          <w:sz w:val="22"/>
          <w:szCs w:val="22"/>
          <w:highlight w:val="none"/>
        </w:rPr>
        <w:t>附件二</w:t>
      </w:r>
      <w:bookmarkEnd w:id="34"/>
      <w:bookmarkEnd w:id="35"/>
    </w:p>
    <w:p w14:paraId="2A34E9B8">
      <w:pPr>
        <w:spacing w:line="460" w:lineRule="exact"/>
        <w:jc w:val="center"/>
        <w:outlineLvl w:val="2"/>
        <w:rPr>
          <w:rFonts w:ascii="宋体" w:hAnsi="宋体" w:cs="宋体"/>
          <w:color w:val="auto"/>
          <w:sz w:val="28"/>
          <w:szCs w:val="28"/>
          <w:highlight w:val="none"/>
        </w:rPr>
      </w:pPr>
      <w:bookmarkStart w:id="36" w:name="_Toc25309"/>
      <w:bookmarkStart w:id="37" w:name="_Toc4718"/>
      <w:r>
        <w:rPr>
          <w:rFonts w:hint="eastAsia" w:ascii="宋体" w:hAnsi="宋体" w:cs="宋体"/>
          <w:b/>
          <w:bCs/>
          <w:color w:val="auto"/>
          <w:sz w:val="32"/>
          <w:szCs w:val="32"/>
          <w:highlight w:val="none"/>
        </w:rPr>
        <w:t>资格证明文件</w:t>
      </w:r>
      <w:bookmarkEnd w:id="36"/>
      <w:bookmarkEnd w:id="37"/>
    </w:p>
    <w:p w14:paraId="24C6FA9E">
      <w:pPr>
        <w:pStyle w:val="50"/>
        <w:tabs>
          <w:tab w:val="left" w:pos="630"/>
          <w:tab w:val="left" w:pos="840"/>
          <w:tab w:val="left" w:pos="1050"/>
        </w:tabs>
        <w:adjustRightInd w:val="0"/>
        <w:snapToGrid w:val="0"/>
        <w:spacing w:before="0" w:beforeAutospacing="0" w:after="0" w:afterAutospacing="0" w:line="360" w:lineRule="auto"/>
        <w:jc w:val="center"/>
        <w:rPr>
          <w:b/>
          <w:color w:val="auto"/>
          <w:sz w:val="32"/>
          <w:szCs w:val="32"/>
          <w:highlight w:val="none"/>
        </w:rPr>
      </w:pPr>
      <w:bookmarkStart w:id="38" w:name="_Toc31356"/>
      <w:bookmarkStart w:id="39" w:name="_Toc16516"/>
    </w:p>
    <w:p w14:paraId="387DDA3C">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1、资格条件承诺函</w:t>
      </w:r>
    </w:p>
    <w:p w14:paraId="33CF9508">
      <w:pPr>
        <w:shd w:val="clear" w:color="auto" w:fill="FFFFFF"/>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温州市中医院、温州历程招标有限公司：</w:t>
      </w:r>
    </w:p>
    <w:p w14:paraId="12F4641E">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（采购项目名称、编号）</w:t>
      </w:r>
      <w:r>
        <w:rPr>
          <w:rFonts w:hint="eastAsia" w:ascii="宋体" w:hAnsi="宋体" w:cs="宋体"/>
          <w:color w:val="auto"/>
          <w:sz w:val="22"/>
          <w:szCs w:val="22"/>
          <w:highlight w:val="none"/>
        </w:rPr>
        <w:t>投标，现郑重承诺，</w:t>
      </w:r>
      <w:r>
        <w:rPr>
          <w:rFonts w:hint="eastAsia" w:ascii="宋体" w:hAnsi="宋体" w:cs="宋体"/>
          <w:color w:val="auto"/>
          <w:kern w:val="0"/>
          <w:sz w:val="22"/>
          <w:szCs w:val="22"/>
          <w:highlight w:val="none"/>
        </w:rPr>
        <w:t>参加本次政府采购活动前3年内</w:t>
      </w:r>
      <w:r>
        <w:rPr>
          <w:rFonts w:hint="eastAsia" w:ascii="宋体" w:hAnsi="宋体" w:cs="宋体"/>
          <w:color w:val="auto"/>
          <w:sz w:val="22"/>
          <w:szCs w:val="22"/>
          <w:highlight w:val="none"/>
        </w:rPr>
        <w:t>：</w:t>
      </w:r>
    </w:p>
    <w:p w14:paraId="25AA48EC">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1、我方符合《中华人民共和国政府采购法》第22条规定的资格条件，即</w:t>
      </w:r>
    </w:p>
    <w:p w14:paraId="2F849427">
      <w:pPr>
        <w:widowControl/>
        <w:snapToGrid w:val="0"/>
        <w:spacing w:line="440" w:lineRule="exact"/>
        <w:ind w:left="420" w:leftChars="200" w:firstLine="220" w:firstLineChars="1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45CAF2CB">
      <w:pPr>
        <w:widowControl/>
        <w:snapToGrid w:val="0"/>
        <w:spacing w:line="440" w:lineRule="exact"/>
        <w:ind w:left="420" w:leftChars="200" w:firstLine="220" w:firstLineChars="1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499E17E8">
      <w:pPr>
        <w:widowControl/>
        <w:snapToGrid w:val="0"/>
        <w:spacing w:line="440" w:lineRule="exact"/>
        <w:ind w:left="420" w:leftChars="200" w:firstLine="220" w:firstLineChars="1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70A9CE5D">
      <w:pPr>
        <w:widowControl/>
        <w:snapToGrid w:val="0"/>
        <w:spacing w:line="440" w:lineRule="exact"/>
        <w:ind w:left="420" w:leftChars="200" w:firstLine="220" w:firstLineChars="1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730143F8">
      <w:pPr>
        <w:widowControl/>
        <w:snapToGrid w:val="0"/>
        <w:spacing w:line="440" w:lineRule="exact"/>
        <w:ind w:left="989" w:leftChars="314" w:hanging="330" w:hangingChars="1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D2E3AD8">
      <w:pPr>
        <w:widowControl/>
        <w:spacing w:line="440" w:lineRule="exact"/>
        <w:ind w:left="479" w:leftChars="228" w:firstLine="180" w:firstLineChars="82"/>
        <w:rPr>
          <w:rFonts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中国政府采购网（www.ccgp.gov.cn）列入失信被执行人名单、重大税收违法案件当事人名单、政府采购严重违法失信行为记录名单。</w:t>
      </w:r>
    </w:p>
    <w:p w14:paraId="23CF30F5">
      <w:pPr>
        <w:widowControl/>
        <w:spacing w:line="440" w:lineRule="exact"/>
        <w:ind w:left="479" w:leftChars="228" w:firstLine="180" w:firstLineChars="82"/>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3、我方与参加本次项目同一合同项下政府采购活动的其他供应商不存在单位负责人为同一人或者直接控股、管理关系。</w:t>
      </w:r>
    </w:p>
    <w:p w14:paraId="6FD353A4">
      <w:pPr>
        <w:widowControl/>
        <w:spacing w:line="440" w:lineRule="exact"/>
        <w:ind w:left="479" w:leftChars="228" w:firstLine="180" w:firstLineChars="82"/>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4、我方不属于公益一类事业单位。</w:t>
      </w:r>
    </w:p>
    <w:p w14:paraId="34A71653">
      <w:pPr>
        <w:widowControl/>
        <w:snapToGrid w:val="0"/>
        <w:spacing w:line="440" w:lineRule="exact"/>
        <w:ind w:firstLine="440" w:firstLineChars="200"/>
        <w:jc w:val="left"/>
        <w:rPr>
          <w:rFonts w:ascii="宋体" w:hAnsi="宋体" w:cs="宋体"/>
          <w:color w:val="auto"/>
          <w:kern w:val="0"/>
          <w:sz w:val="22"/>
          <w:szCs w:val="22"/>
          <w:highlight w:val="none"/>
        </w:rPr>
      </w:pPr>
    </w:p>
    <w:p w14:paraId="5566B786">
      <w:pPr>
        <w:widowControl/>
        <w:snapToGrid w:val="0"/>
        <w:spacing w:line="440" w:lineRule="exact"/>
        <w:ind w:left="210" w:leftChars="10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我方任何资格（投标/成交/签订合同）</w:t>
      </w:r>
      <w:r>
        <w:rPr>
          <w:rFonts w:hint="eastAsia" w:ascii="宋体" w:hAnsi="宋体" w:cs="宋体"/>
          <w:color w:val="auto"/>
          <w:sz w:val="22"/>
          <w:szCs w:val="22"/>
          <w:highlight w:val="none"/>
        </w:rPr>
        <w:t>及其他任何形式的处理。</w:t>
      </w:r>
    </w:p>
    <w:p w14:paraId="3858D587">
      <w:pPr>
        <w:widowControl/>
        <w:snapToGrid w:val="0"/>
        <w:spacing w:line="440" w:lineRule="exact"/>
        <w:ind w:firstLine="440" w:firstLineChars="200"/>
        <w:jc w:val="left"/>
        <w:rPr>
          <w:rFonts w:ascii="宋体" w:hAnsi="宋体" w:cs="宋体"/>
          <w:color w:val="auto"/>
          <w:kern w:val="0"/>
          <w:sz w:val="22"/>
          <w:szCs w:val="22"/>
          <w:highlight w:val="none"/>
        </w:rPr>
      </w:pPr>
    </w:p>
    <w:p w14:paraId="73E36CD9">
      <w:pPr>
        <w:snapToGrid w:val="0"/>
        <w:spacing w:line="360" w:lineRule="auto"/>
        <w:ind w:firstLine="5060" w:firstLineChars="2300"/>
        <w:rPr>
          <w:rFonts w:ascii="宋体" w:hAnsi="宋体" w:cs="宋体"/>
          <w:color w:val="auto"/>
          <w:kern w:val="0"/>
          <w:sz w:val="22"/>
          <w:szCs w:val="22"/>
          <w:highlight w:val="none"/>
          <w:lang w:val="zh-CN"/>
        </w:rPr>
      </w:pPr>
    </w:p>
    <w:p w14:paraId="5F2E3585">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sz w:val="22"/>
          <w:szCs w:val="22"/>
          <w:highlight w:val="none"/>
        </w:rPr>
        <w:t>投标人全称（盖章）</w:t>
      </w:r>
      <w:r>
        <w:rPr>
          <w:rFonts w:hint="eastAsia" w:ascii="宋体" w:hAnsi="宋体" w:cs="宋体"/>
          <w:color w:val="auto"/>
          <w:kern w:val="0"/>
          <w:sz w:val="22"/>
          <w:szCs w:val="22"/>
          <w:highlight w:val="none"/>
        </w:rPr>
        <w:t>：</w:t>
      </w:r>
    </w:p>
    <w:p w14:paraId="31223620">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14:paraId="0E831C2D">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日期：年月日</w:t>
      </w:r>
    </w:p>
    <w:p w14:paraId="56E36CDC">
      <w:pPr>
        <w:rPr>
          <w:rFonts w:ascii="宋体" w:hAnsi="宋体" w:cs="宋体"/>
          <w:color w:val="auto"/>
          <w:highlight w:val="none"/>
        </w:rPr>
      </w:pPr>
    </w:p>
    <w:p w14:paraId="620405A6">
      <w:pPr>
        <w:pStyle w:val="50"/>
        <w:tabs>
          <w:tab w:val="left" w:pos="630"/>
          <w:tab w:val="left" w:pos="840"/>
          <w:tab w:val="left" w:pos="1050"/>
        </w:tabs>
        <w:adjustRightInd w:val="0"/>
        <w:snapToGrid w:val="0"/>
        <w:spacing w:before="0" w:beforeAutospacing="0" w:after="0" w:afterAutospacing="0" w:line="360" w:lineRule="auto"/>
        <w:jc w:val="both"/>
        <w:rPr>
          <w:b/>
          <w:color w:val="auto"/>
          <w:sz w:val="28"/>
          <w:szCs w:val="28"/>
          <w:highlight w:val="none"/>
        </w:rPr>
      </w:pPr>
    </w:p>
    <w:p w14:paraId="66C421F9">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F4E5A06">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2、有效营业执照</w:t>
      </w:r>
    </w:p>
    <w:p w14:paraId="5BCCC335">
      <w:pPr>
        <w:pStyle w:val="50"/>
        <w:tabs>
          <w:tab w:val="left" w:pos="630"/>
          <w:tab w:val="left" w:pos="840"/>
          <w:tab w:val="left" w:pos="1050"/>
        </w:tabs>
        <w:adjustRightInd w:val="0"/>
        <w:snapToGrid w:val="0"/>
        <w:spacing w:before="0" w:beforeAutospacing="0" w:after="0" w:afterAutospacing="0" w:line="360" w:lineRule="auto"/>
        <w:ind w:left="420"/>
        <w:rPr>
          <w:bCs/>
          <w:color w:val="auto"/>
          <w:highlight w:val="none"/>
        </w:rPr>
      </w:pPr>
    </w:p>
    <w:p w14:paraId="43613BB3">
      <w:pPr>
        <w:pStyle w:val="50"/>
        <w:tabs>
          <w:tab w:val="left" w:pos="630"/>
          <w:tab w:val="left" w:pos="840"/>
          <w:tab w:val="left" w:pos="1050"/>
        </w:tabs>
        <w:adjustRightInd w:val="0"/>
        <w:snapToGrid w:val="0"/>
        <w:spacing w:before="0" w:beforeAutospacing="0" w:after="0" w:afterAutospacing="0" w:line="360" w:lineRule="auto"/>
        <w:ind w:left="420"/>
        <w:rPr>
          <w:bCs/>
          <w:color w:val="auto"/>
          <w:sz w:val="22"/>
          <w:szCs w:val="22"/>
          <w:highlight w:val="none"/>
        </w:rPr>
      </w:pPr>
      <w:r>
        <w:rPr>
          <w:rFonts w:hint="eastAsia"/>
          <w:bCs/>
          <w:color w:val="auto"/>
          <w:sz w:val="22"/>
          <w:szCs w:val="22"/>
          <w:highlight w:val="none"/>
        </w:rPr>
        <w:t>投标人须在投标文件中出具符合以下情况的证明材料复印件（五选一）：</w:t>
      </w:r>
    </w:p>
    <w:p w14:paraId="434E7B90">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①如投标人是企业（包括合伙企业），提供在工商部门注册的有效“企业法人营业执照”或“营业执照”；</w:t>
      </w:r>
    </w:p>
    <w:p w14:paraId="739101A6">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②如投标人是事业单位，提供有效的“事业单位法人证书”；</w:t>
      </w:r>
    </w:p>
    <w:p w14:paraId="13744697">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③如投标人是非企业专业服务机构的，提供执业许可证等证明文件；</w:t>
      </w:r>
    </w:p>
    <w:p w14:paraId="7F7F4B86">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④如投标人是个体工商户，提供有效的“个体工商户营业执照”；</w:t>
      </w:r>
    </w:p>
    <w:p w14:paraId="348CCFE6">
      <w:pPr>
        <w:pStyle w:val="50"/>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⑤如投标人是自然人，提供有效的自然人身份证明（居民身份证正反面或公安机关出具的临时居民身份证正反面或港澳台胞证或护照）。</w:t>
      </w:r>
    </w:p>
    <w:p w14:paraId="004C3BF9">
      <w:pPr>
        <w:pStyle w:val="50"/>
        <w:tabs>
          <w:tab w:val="left" w:pos="312"/>
        </w:tabs>
        <w:adjustRightInd w:val="0"/>
        <w:snapToGrid w:val="0"/>
        <w:spacing w:before="0" w:beforeAutospacing="0" w:after="0" w:afterAutospacing="0" w:line="360" w:lineRule="auto"/>
        <w:rPr>
          <w:bCs/>
          <w:color w:val="auto"/>
          <w:sz w:val="22"/>
          <w:szCs w:val="22"/>
          <w:highlight w:val="none"/>
        </w:rPr>
      </w:pPr>
    </w:p>
    <w:p w14:paraId="72B5E115">
      <w:pPr>
        <w:pStyle w:val="221"/>
        <w:tabs>
          <w:tab w:val="left" w:pos="1212"/>
          <w:tab w:val="left" w:pos="3888"/>
        </w:tabs>
        <w:snapToGrid w:val="0"/>
        <w:spacing w:line="360" w:lineRule="auto"/>
        <w:ind w:firstLine="420"/>
        <w:rPr>
          <w:rFonts w:hAnsi="宋体"/>
          <w:color w:val="auto"/>
          <w:sz w:val="22"/>
          <w:szCs w:val="22"/>
          <w:highlight w:val="none"/>
        </w:rPr>
      </w:pPr>
      <w:r>
        <w:rPr>
          <w:rFonts w:hint="eastAsia" w:hAnsi="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732D5E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3A0DAA1">
      <w:pPr>
        <w:rPr>
          <w:rFonts w:ascii="宋体" w:hAnsi="宋体" w:cs="宋体"/>
          <w:color w:val="auto"/>
          <w:highlight w:val="none"/>
        </w:rPr>
      </w:pPr>
    </w:p>
    <w:p w14:paraId="32DBE78C">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3、投标人信用查询</w:t>
      </w:r>
    </w:p>
    <w:p w14:paraId="0B9ED750">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1、投标人信用信息查询的查询渠道：“信用中国”(www.creditchina.gov.cn)；“中国政府采购网”（http://www.ccgp.gov.cn/）；</w:t>
      </w:r>
    </w:p>
    <w:p w14:paraId="1C65B3D0">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2、投标人信用信息查询截止时点：招标公告发布之日至投标截止时间前。</w:t>
      </w:r>
    </w:p>
    <w:p w14:paraId="667C86C8">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3、投标人信用信息查询记录和证据留存的具体方式：</w:t>
      </w:r>
      <w:r>
        <w:rPr>
          <w:rFonts w:hint="eastAsia" w:ascii="宋体" w:hAnsi="宋体" w:cs="宋体"/>
          <w:b/>
          <w:bCs/>
          <w:color w:val="auto"/>
          <w:sz w:val="22"/>
          <w:highlight w:val="none"/>
        </w:rPr>
        <w:t>网页截图</w:t>
      </w:r>
      <w:r>
        <w:rPr>
          <w:rFonts w:hint="eastAsia" w:ascii="宋体" w:hAnsi="宋体" w:cs="宋体"/>
          <w:color w:val="auto"/>
          <w:sz w:val="22"/>
          <w:highlight w:val="none"/>
        </w:rPr>
        <w:t>；</w:t>
      </w:r>
    </w:p>
    <w:p w14:paraId="6BF57170">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highlight w:val="none"/>
        </w:rPr>
        <w:t>4、信用信息的使用规则：对列入失信被执行人、重大税收违法案件当事人名单、政府采购严重违法失信行为记录名单的投标人，其投标将作无效标处理。</w:t>
      </w:r>
    </w:p>
    <w:p w14:paraId="322CCA6A">
      <w:pPr>
        <w:rPr>
          <w:rFonts w:cs="宋体"/>
          <w:b/>
          <w:color w:val="auto"/>
          <w:kern w:val="0"/>
          <w:sz w:val="28"/>
          <w:szCs w:val="28"/>
          <w:highlight w:val="none"/>
        </w:rPr>
      </w:pPr>
    </w:p>
    <w:p w14:paraId="65D44F7E">
      <w:pPr>
        <w:rPr>
          <w:rFonts w:cs="宋体"/>
          <w:b/>
          <w:color w:val="auto"/>
          <w:kern w:val="0"/>
          <w:sz w:val="28"/>
          <w:szCs w:val="28"/>
          <w:highlight w:val="none"/>
        </w:rPr>
      </w:pPr>
      <w:r>
        <w:rPr>
          <w:rFonts w:hint="eastAsia" w:cs="宋体"/>
          <w:b/>
          <w:color w:val="auto"/>
          <w:kern w:val="0"/>
          <w:sz w:val="28"/>
          <w:szCs w:val="28"/>
          <w:highlight w:val="none"/>
        </w:rPr>
        <w:br w:type="page"/>
      </w:r>
    </w:p>
    <w:p w14:paraId="5F13DFFA">
      <w:pPr>
        <w:pStyle w:val="50"/>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4、采购活动现场确认声明书</w:t>
      </w:r>
    </w:p>
    <w:p w14:paraId="4A8A976A">
      <w:pPr>
        <w:spacing w:line="460" w:lineRule="exact"/>
        <w:rPr>
          <w:rFonts w:ascii="宋体" w:hAnsi="宋体" w:cs="宋体"/>
          <w:b/>
          <w:bCs/>
          <w:color w:val="auto"/>
          <w:sz w:val="22"/>
          <w:szCs w:val="22"/>
          <w:highlight w:val="none"/>
        </w:rPr>
      </w:pPr>
    </w:p>
    <w:p w14:paraId="781A3F7A">
      <w:pPr>
        <w:spacing w:line="460" w:lineRule="exac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eastAsia="zh-CN"/>
        </w:rPr>
        <w:t>温州历程招标有限公司</w:t>
      </w:r>
      <w:r>
        <w:rPr>
          <w:rFonts w:hint="eastAsia" w:ascii="宋体" w:hAnsi="宋体" w:eastAsia="宋体" w:cs="宋体"/>
          <w:color w:val="auto"/>
          <w:sz w:val="22"/>
          <w:szCs w:val="22"/>
          <w:highlight w:val="none"/>
        </w:rPr>
        <w:t>：</w:t>
      </w:r>
    </w:p>
    <w:p w14:paraId="4AEC06C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本人经由</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（供应商名称）负责人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（姓名）合法授权参加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项目（编号：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）采购活动，经与本单位法人代表（负责人）联系确认，现就有关公平竞争事项郑重声明如下：</w:t>
      </w:r>
    </w:p>
    <w:p w14:paraId="271F4E20">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本单位与招标人之间 □不存在利害关系 □存在下列利害关系：</w:t>
      </w:r>
    </w:p>
    <w:p w14:paraId="25799B6C">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w:t>
      </w:r>
    </w:p>
    <w:p w14:paraId="73C3FF4E">
      <w:pPr>
        <w:spacing w:line="460" w:lineRule="exact"/>
        <w:ind w:firstLine="660" w:firstLineChars="3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B.行政隶属关系    </w:t>
      </w:r>
    </w:p>
    <w:p w14:paraId="6BD24825">
      <w:pPr>
        <w:spacing w:line="460" w:lineRule="exact"/>
        <w:ind w:firstLine="660" w:firstLineChars="3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C.业务指导关系  </w:t>
      </w:r>
    </w:p>
    <w:p w14:paraId="1356DA8D">
      <w:pPr>
        <w:spacing w:line="460" w:lineRule="exact"/>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D.其他可能影响采购公正的利害关系</w:t>
      </w:r>
      <w:r>
        <w:rPr>
          <w:rStyle w:val="335"/>
          <w:rFonts w:hint="eastAsia" w:ascii="宋体" w:hAnsi="宋体" w:eastAsia="宋体" w:cs="宋体"/>
          <w:color w:val="auto"/>
          <w:sz w:val="22"/>
          <w:szCs w:val="22"/>
          <w:highlight w:val="none"/>
        </w:rPr>
        <w:t xml:space="preserve">（如有，请如实说明）                 </w:t>
      </w:r>
      <w:r>
        <w:rPr>
          <w:rFonts w:hint="eastAsia" w:ascii="宋体" w:hAnsi="宋体" w:eastAsia="宋体" w:cs="宋体"/>
          <w:color w:val="auto"/>
          <w:kern w:val="0"/>
          <w:sz w:val="22"/>
          <w:szCs w:val="22"/>
          <w:highlight w:val="none"/>
        </w:rPr>
        <w:t>。</w:t>
      </w:r>
    </w:p>
    <w:p w14:paraId="2A558BC0">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现已清楚知道参加本项目采购活动的其他所有供应商名称，本单位 </w:t>
      </w:r>
    </w:p>
    <w:p w14:paraId="4B5B04E6">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□与其他所有供应商之间均不存在利害关系 </w:t>
      </w:r>
    </w:p>
    <w:p w14:paraId="5F70B430">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供应商名称）之间存在下列利害关系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6B3FD32B">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10C6BEFF">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1261656E">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A9E1DE9">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00D65155">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01655C3B">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4D6BE2F0">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G.存在共同直接或间接投资设立子公司、联营企业和合营企业情况</w:t>
      </w:r>
    </w:p>
    <w:p w14:paraId="4830F430">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p>
    <w:p w14:paraId="295F96BA">
      <w:pPr>
        <w:numPr>
          <w:ilvl w:val="0"/>
          <w:numId w:val="2"/>
        </w:num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I.其他利害关系情况</w:t>
      </w:r>
      <w:r>
        <w:rPr>
          <w:rFonts w:hint="eastAsia" w:ascii="宋体" w:hAnsi="宋体" w:eastAsia="宋体" w:cs="宋体"/>
          <w:color w:val="auto"/>
          <w:kern w:val="0"/>
          <w:sz w:val="22"/>
          <w:szCs w:val="22"/>
          <w:highlight w:val="none"/>
          <w:u w:val="single"/>
        </w:rPr>
        <w:t xml:space="preserve">                              。</w:t>
      </w:r>
    </w:p>
    <w:p w14:paraId="1EFC08A6">
      <w:pPr>
        <w:pStyle w:val="24"/>
        <w:spacing w:line="460" w:lineRule="exact"/>
        <w:ind w:left="0"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（三）现已清楚知道并严格遵守政府采购法律法规和现场纪律</w:t>
      </w:r>
    </w:p>
    <w:p w14:paraId="6A55A5CE">
      <w:pPr>
        <w:pStyle w:val="24"/>
        <w:spacing w:line="460" w:lineRule="exact"/>
        <w:ind w:left="0"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（四）我发现</w:t>
      </w:r>
      <w:r>
        <w:rPr>
          <w:rStyle w:val="335"/>
          <w:rFonts w:hint="eastAsia" w:ascii="宋体" w:hAnsi="宋体" w:eastAsia="宋体" w:cs="宋体"/>
          <w:color w:val="auto"/>
          <w:sz w:val="22"/>
          <w:szCs w:val="22"/>
          <w:highlight w:val="none"/>
          <w:u w:val="single"/>
        </w:rPr>
        <w:t xml:space="preserve">                  </w:t>
      </w:r>
      <w:r>
        <w:rPr>
          <w:rStyle w:val="335"/>
          <w:rFonts w:hint="eastAsia" w:ascii="宋体" w:hAnsi="宋体" w:eastAsia="宋体" w:cs="宋体"/>
          <w:color w:val="auto"/>
          <w:sz w:val="22"/>
          <w:szCs w:val="22"/>
          <w:highlight w:val="none"/>
        </w:rPr>
        <w:t>与</w:t>
      </w:r>
      <w:r>
        <w:rPr>
          <w:rStyle w:val="335"/>
          <w:rFonts w:hint="eastAsia" w:ascii="宋体" w:hAnsi="宋体" w:eastAsia="宋体" w:cs="宋体"/>
          <w:color w:val="auto"/>
          <w:sz w:val="22"/>
          <w:szCs w:val="22"/>
          <w:highlight w:val="none"/>
          <w:u w:val="single"/>
        </w:rPr>
        <w:t xml:space="preserve">                  </w:t>
      </w:r>
      <w:r>
        <w:rPr>
          <w:rStyle w:val="335"/>
          <w:rFonts w:hint="eastAsia" w:ascii="宋体" w:hAnsi="宋体" w:eastAsia="宋体" w:cs="宋体"/>
          <w:color w:val="auto"/>
          <w:sz w:val="22"/>
          <w:szCs w:val="22"/>
          <w:highlight w:val="none"/>
        </w:rPr>
        <w:t>（供应商名称）</w:t>
      </w:r>
      <w:r>
        <w:rPr>
          <w:rFonts w:hint="eastAsia" w:ascii="宋体" w:hAnsi="宋体" w:eastAsia="宋体" w:cs="宋体"/>
          <w:color w:val="auto"/>
          <w:kern w:val="0"/>
          <w:sz w:val="22"/>
          <w:szCs w:val="22"/>
          <w:highlight w:val="none"/>
        </w:rPr>
        <w:t>之间存在或可能存在上述第二条第</w:t>
      </w:r>
      <w:r>
        <w:rPr>
          <w:rStyle w:val="335"/>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740D4DCA">
      <w:pPr>
        <w:pStyle w:val="24"/>
        <w:spacing w:line="460" w:lineRule="exact"/>
        <w:ind w:left="0" w:firstLine="0" w:firstLineChars="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供应商代表签名:</w:t>
      </w:r>
    </w:p>
    <w:p w14:paraId="1A14D7FC">
      <w:pPr>
        <w:pStyle w:val="24"/>
        <w:spacing w:line="460" w:lineRule="exact"/>
        <w:ind w:left="0" w:firstLine="0" w:firstLineChars="0"/>
        <w:jc w:val="right"/>
        <w:rPr>
          <w:rFonts w:hint="eastAsia" w:ascii="宋体" w:hAnsi="宋体" w:eastAsia="宋体" w:cs="宋体"/>
          <w:b/>
          <w:bCs/>
          <w:color w:val="auto"/>
          <w:sz w:val="22"/>
          <w:szCs w:val="22"/>
          <w:highlight w:val="none"/>
        </w:rPr>
      </w:pPr>
      <w:r>
        <w:rPr>
          <w:rFonts w:hint="eastAsia" w:ascii="宋体" w:hAnsi="宋体" w:eastAsia="宋体" w:cs="宋体"/>
          <w:b/>
          <w:color w:val="auto"/>
          <w:kern w:val="0"/>
          <w:sz w:val="22"/>
          <w:szCs w:val="22"/>
          <w:highlight w:val="none"/>
        </w:rPr>
        <w:t>日期:202</w:t>
      </w:r>
      <w:r>
        <w:rPr>
          <w:rFonts w:hint="eastAsia" w:ascii="宋体" w:hAnsi="宋体" w:eastAsia="宋体" w:cs="宋体"/>
          <w:b/>
          <w:color w:val="auto"/>
          <w:kern w:val="0"/>
          <w:sz w:val="22"/>
          <w:szCs w:val="22"/>
          <w:highlight w:val="none"/>
          <w:lang w:val="en-US" w:eastAsia="zh-CN"/>
        </w:rPr>
        <w:t xml:space="preserve">  </w:t>
      </w:r>
      <w:r>
        <w:rPr>
          <w:rFonts w:hint="eastAsia" w:ascii="宋体" w:hAnsi="宋体" w:eastAsia="宋体" w:cs="宋体"/>
          <w:b/>
          <w:color w:val="auto"/>
          <w:kern w:val="0"/>
          <w:sz w:val="22"/>
          <w:szCs w:val="22"/>
          <w:highlight w:val="none"/>
        </w:rPr>
        <w:t>年    月    日</w:t>
      </w:r>
    </w:p>
    <w:p w14:paraId="208657CC">
      <w:pPr>
        <w:pStyle w:val="24"/>
        <w:spacing w:line="460" w:lineRule="exact"/>
        <w:ind w:left="0" w:firstLine="0" w:firstLineChars="0"/>
        <w:jc w:val="right"/>
        <w:rPr>
          <w:rFonts w:ascii="宋体" w:hAnsi="宋体" w:cs="宋体"/>
          <w:b/>
          <w:bCs/>
          <w:color w:val="auto"/>
          <w:sz w:val="22"/>
          <w:szCs w:val="22"/>
          <w:highlight w:val="none"/>
        </w:rPr>
      </w:pPr>
    </w:p>
    <w:p w14:paraId="59B7F7E2">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42FCD04C">
      <w:pPr>
        <w:outlineLvl w:val="1"/>
        <w:rPr>
          <w:rFonts w:ascii="宋体" w:hAnsi="宋体" w:cs="宋体"/>
          <w:b/>
          <w:bCs/>
          <w:color w:val="auto"/>
          <w:sz w:val="22"/>
          <w:szCs w:val="22"/>
          <w:highlight w:val="none"/>
        </w:rPr>
      </w:pPr>
      <w:r>
        <w:rPr>
          <w:rFonts w:hint="eastAsia" w:ascii="宋体" w:hAnsi="宋体" w:cs="宋体"/>
          <w:b/>
          <w:bCs/>
          <w:color w:val="auto"/>
          <w:sz w:val="22"/>
          <w:szCs w:val="22"/>
          <w:highlight w:val="none"/>
        </w:rPr>
        <w:t>附件三</w:t>
      </w:r>
      <w:bookmarkEnd w:id="38"/>
      <w:bookmarkEnd w:id="39"/>
    </w:p>
    <w:p w14:paraId="2F0D8604">
      <w:pPr>
        <w:spacing w:line="460" w:lineRule="exact"/>
        <w:jc w:val="center"/>
        <w:outlineLvl w:val="2"/>
        <w:rPr>
          <w:rFonts w:ascii="宋体" w:hAnsi="宋体" w:cs="宋体"/>
          <w:b/>
          <w:bCs/>
          <w:color w:val="auto"/>
          <w:sz w:val="28"/>
          <w:szCs w:val="28"/>
          <w:highlight w:val="none"/>
          <w:lang w:val="zh-CN"/>
        </w:rPr>
      </w:pPr>
      <w:bookmarkStart w:id="40" w:name="_Toc13639"/>
      <w:bookmarkStart w:id="41" w:name="_Toc29102"/>
      <w:r>
        <w:rPr>
          <w:rFonts w:hint="eastAsia" w:ascii="宋体" w:hAnsi="宋体" w:cs="宋体"/>
          <w:b/>
          <w:bCs/>
          <w:color w:val="auto"/>
          <w:sz w:val="28"/>
          <w:szCs w:val="28"/>
          <w:highlight w:val="none"/>
          <w:lang w:val="zh-CN"/>
        </w:rPr>
        <w:t>商务技术文件</w:t>
      </w:r>
      <w:bookmarkEnd w:id="40"/>
      <w:bookmarkEnd w:id="41"/>
    </w:p>
    <w:p w14:paraId="74EB402D">
      <w:pPr>
        <w:spacing w:line="400" w:lineRule="exact"/>
        <w:jc w:val="center"/>
        <w:rPr>
          <w:rFonts w:ascii="宋体" w:hAnsi="宋体" w:cs="宋体"/>
          <w:b/>
          <w:bCs/>
          <w:color w:val="auto"/>
          <w:sz w:val="28"/>
          <w:szCs w:val="28"/>
          <w:highlight w:val="none"/>
        </w:rPr>
      </w:pPr>
    </w:p>
    <w:p w14:paraId="4DC8B864">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1、法定代表人授权书</w:t>
      </w:r>
    </w:p>
    <w:p w14:paraId="7DCFE452">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温州市中医院、温州历程招标有限公司：</w:t>
      </w:r>
    </w:p>
    <w:p w14:paraId="3B1D30B6">
      <w:pPr>
        <w:spacing w:line="460" w:lineRule="exact"/>
        <w:rPr>
          <w:rFonts w:ascii="宋体" w:hAnsi="宋体" w:cs="宋体"/>
          <w:color w:val="auto"/>
          <w:sz w:val="22"/>
          <w:szCs w:val="22"/>
          <w:highlight w:val="none"/>
          <w:u w:val="single"/>
        </w:rPr>
      </w:pPr>
    </w:p>
    <w:p w14:paraId="74677B67">
      <w:pPr>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（投标人全称）</w:t>
      </w:r>
      <w:r>
        <w:rPr>
          <w:rFonts w:hint="eastAsia" w:ascii="宋体" w:hAnsi="宋体" w:cs="宋体"/>
          <w:color w:val="auto"/>
          <w:sz w:val="22"/>
          <w:szCs w:val="22"/>
          <w:highlight w:val="none"/>
        </w:rPr>
        <w:t>法定代表人授权</w:t>
      </w:r>
      <w:r>
        <w:rPr>
          <w:rFonts w:hint="eastAsia" w:ascii="宋体" w:hAnsi="宋体" w:cs="宋体"/>
          <w:color w:val="auto"/>
          <w:sz w:val="22"/>
          <w:szCs w:val="22"/>
          <w:highlight w:val="none"/>
          <w:u w:val="single"/>
        </w:rPr>
        <w:t>（全权代表姓名）</w:t>
      </w:r>
      <w:r>
        <w:rPr>
          <w:rFonts w:hint="eastAsia" w:ascii="宋体" w:hAnsi="宋体" w:cs="宋体"/>
          <w:color w:val="auto"/>
          <w:sz w:val="22"/>
          <w:szCs w:val="22"/>
          <w:highlight w:val="none"/>
        </w:rPr>
        <w:t>为全权代表，参加贵处组织的</w:t>
      </w:r>
      <w:r>
        <w:rPr>
          <w:rFonts w:hint="eastAsia" w:ascii="宋体" w:hAnsi="宋体" w:cs="宋体"/>
          <w:color w:val="auto"/>
          <w:sz w:val="22"/>
          <w:szCs w:val="22"/>
          <w:highlight w:val="none"/>
          <w:u w:val="single"/>
        </w:rPr>
        <w:t>（项目名称、编号）</w:t>
      </w:r>
      <w:r>
        <w:rPr>
          <w:rFonts w:hint="eastAsia" w:ascii="宋体" w:hAnsi="宋体" w:cs="宋体"/>
          <w:color w:val="auto"/>
          <w:sz w:val="22"/>
          <w:szCs w:val="22"/>
          <w:highlight w:val="none"/>
        </w:rPr>
        <w:t>的招标活动，全权代表我方处理招标活动中的一切事宜。</w:t>
      </w:r>
    </w:p>
    <w:p w14:paraId="1A7CF040">
      <w:pPr>
        <w:spacing w:line="460" w:lineRule="exact"/>
        <w:ind w:firstLine="2955"/>
        <w:rPr>
          <w:rFonts w:ascii="宋体" w:hAnsi="宋体" w:cs="宋体"/>
          <w:color w:val="auto"/>
          <w:sz w:val="22"/>
          <w:szCs w:val="22"/>
          <w:highlight w:val="none"/>
        </w:rPr>
      </w:pPr>
    </w:p>
    <w:p w14:paraId="7B3FD227">
      <w:pPr>
        <w:spacing w:line="460" w:lineRule="exact"/>
        <w:ind w:firstLine="2955"/>
        <w:rPr>
          <w:rFonts w:ascii="宋体" w:hAnsi="宋体" w:cs="宋体"/>
          <w:color w:val="auto"/>
          <w:sz w:val="22"/>
          <w:szCs w:val="22"/>
          <w:highlight w:val="none"/>
        </w:rPr>
      </w:pPr>
    </w:p>
    <w:p w14:paraId="73375089">
      <w:pPr>
        <w:spacing w:line="460" w:lineRule="exact"/>
        <w:ind w:firstLine="4081" w:firstLineChars="1855"/>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法定代表人(签字或盖章)：</w:t>
      </w:r>
    </w:p>
    <w:p w14:paraId="661E9141">
      <w:pPr>
        <w:spacing w:line="460" w:lineRule="exact"/>
        <w:ind w:firstLine="4081" w:firstLineChars="1855"/>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投标人全称（公章）：</w:t>
      </w:r>
    </w:p>
    <w:p w14:paraId="5F409CB3">
      <w:pPr>
        <w:spacing w:line="460" w:lineRule="exact"/>
        <w:ind w:firstLine="4081" w:firstLineChars="1855"/>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7911FE4F">
      <w:pPr>
        <w:spacing w:line="380" w:lineRule="exact"/>
        <w:rPr>
          <w:rFonts w:ascii="宋体" w:hAnsi="宋体" w:cs="宋体"/>
          <w:color w:val="auto"/>
          <w:sz w:val="22"/>
          <w:szCs w:val="22"/>
          <w:highlight w:val="none"/>
        </w:rPr>
      </w:pPr>
    </w:p>
    <w:p w14:paraId="3A029AE7">
      <w:pPr>
        <w:spacing w:line="380" w:lineRule="exact"/>
        <w:rPr>
          <w:rFonts w:ascii="宋体" w:hAnsi="宋体" w:cs="宋体"/>
          <w:color w:val="auto"/>
          <w:sz w:val="22"/>
          <w:szCs w:val="22"/>
          <w:highlight w:val="none"/>
        </w:rPr>
      </w:pPr>
    </w:p>
    <w:p w14:paraId="7F5AEE39">
      <w:pPr>
        <w:spacing w:line="380" w:lineRule="exact"/>
        <w:rPr>
          <w:rFonts w:ascii="宋体" w:hAnsi="宋体" w:cs="宋体"/>
          <w:color w:val="auto"/>
          <w:sz w:val="22"/>
          <w:szCs w:val="22"/>
          <w:highlight w:val="none"/>
        </w:rPr>
      </w:pPr>
    </w:p>
    <w:p w14:paraId="2CDB1B7E">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附：</w:t>
      </w:r>
    </w:p>
    <w:p w14:paraId="2351F19D">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授权代表姓名：</w:t>
      </w:r>
    </w:p>
    <w:p w14:paraId="4EF1A3EC">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职务：</w:t>
      </w:r>
    </w:p>
    <w:p w14:paraId="401DF592">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详细通讯地址：</w:t>
      </w:r>
    </w:p>
    <w:p w14:paraId="219E6FF1">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电话：</w:t>
      </w:r>
    </w:p>
    <w:p w14:paraId="7A4949F3">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传真：</w:t>
      </w:r>
    </w:p>
    <w:p w14:paraId="05158971">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邮政编码:</w:t>
      </w:r>
    </w:p>
    <w:p w14:paraId="39CBCDB9">
      <w:pPr>
        <w:spacing w:line="380" w:lineRule="exact"/>
        <w:rPr>
          <w:rFonts w:ascii="宋体" w:hAnsi="宋体" w:cs="宋体"/>
          <w:color w:val="auto"/>
          <w:sz w:val="22"/>
          <w:szCs w:val="22"/>
          <w:highlight w:val="none"/>
        </w:rPr>
      </w:pPr>
    </w:p>
    <w:p w14:paraId="502A1B85">
      <w:pPr>
        <w:spacing w:line="460" w:lineRule="exact"/>
        <w:jc w:val="center"/>
        <w:rPr>
          <w:rFonts w:ascii="宋体" w:hAnsi="宋体" w:cs="宋体"/>
          <w:b/>
          <w:bCs/>
          <w:color w:val="auto"/>
          <w:sz w:val="28"/>
          <w:szCs w:val="28"/>
          <w:highlight w:val="none"/>
        </w:rPr>
      </w:pPr>
    </w:p>
    <w:p w14:paraId="5B790A80">
      <w:pPr>
        <w:spacing w:line="460" w:lineRule="exact"/>
        <w:jc w:val="center"/>
        <w:rPr>
          <w:rFonts w:ascii="宋体" w:hAnsi="宋体" w:cs="宋体"/>
          <w:b/>
          <w:bCs/>
          <w:color w:val="auto"/>
          <w:sz w:val="28"/>
          <w:szCs w:val="28"/>
          <w:highlight w:val="none"/>
        </w:rPr>
      </w:pPr>
    </w:p>
    <w:p w14:paraId="5E368E92">
      <w:pPr>
        <w:spacing w:line="460" w:lineRule="exact"/>
        <w:jc w:val="center"/>
        <w:rPr>
          <w:rFonts w:ascii="宋体" w:hAnsi="宋体" w:cs="宋体"/>
          <w:b/>
          <w:bCs/>
          <w:color w:val="auto"/>
          <w:sz w:val="28"/>
          <w:szCs w:val="28"/>
          <w:highlight w:val="none"/>
        </w:rPr>
      </w:pPr>
    </w:p>
    <w:p w14:paraId="0A5804B8">
      <w:pPr>
        <w:spacing w:line="460" w:lineRule="exact"/>
        <w:jc w:val="center"/>
        <w:rPr>
          <w:rFonts w:ascii="宋体" w:hAnsi="宋体" w:cs="宋体"/>
          <w:b/>
          <w:bCs/>
          <w:color w:val="auto"/>
          <w:sz w:val="28"/>
          <w:szCs w:val="28"/>
          <w:highlight w:val="none"/>
        </w:rPr>
      </w:pPr>
    </w:p>
    <w:p w14:paraId="04E01E43">
      <w:pPr>
        <w:spacing w:line="460" w:lineRule="exact"/>
        <w:jc w:val="center"/>
        <w:rPr>
          <w:rFonts w:ascii="宋体" w:hAnsi="宋体" w:cs="宋体"/>
          <w:b/>
          <w:bCs/>
          <w:color w:val="auto"/>
          <w:sz w:val="28"/>
          <w:szCs w:val="28"/>
          <w:highlight w:val="none"/>
        </w:rPr>
      </w:pPr>
    </w:p>
    <w:p w14:paraId="08BE67C7">
      <w:pPr>
        <w:spacing w:line="460" w:lineRule="exact"/>
        <w:jc w:val="center"/>
        <w:rPr>
          <w:rFonts w:ascii="宋体" w:hAnsi="宋体" w:cs="宋体"/>
          <w:b/>
          <w:bCs/>
          <w:color w:val="auto"/>
          <w:sz w:val="28"/>
          <w:szCs w:val="28"/>
          <w:highlight w:val="none"/>
        </w:rPr>
      </w:pPr>
    </w:p>
    <w:p w14:paraId="2E5C2EC5">
      <w:pPr>
        <w:spacing w:line="460" w:lineRule="exact"/>
        <w:jc w:val="center"/>
        <w:rPr>
          <w:rFonts w:ascii="宋体" w:hAnsi="宋体" w:cs="宋体"/>
          <w:b/>
          <w:bCs/>
          <w:color w:val="auto"/>
          <w:sz w:val="28"/>
          <w:szCs w:val="28"/>
          <w:highlight w:val="none"/>
        </w:rPr>
      </w:pPr>
    </w:p>
    <w:p w14:paraId="4217C217">
      <w:pPr>
        <w:spacing w:line="460" w:lineRule="exact"/>
        <w:jc w:val="center"/>
        <w:rPr>
          <w:rFonts w:ascii="宋体" w:hAnsi="宋体" w:cs="宋体"/>
          <w:b/>
          <w:bCs/>
          <w:color w:val="auto"/>
          <w:sz w:val="28"/>
          <w:szCs w:val="28"/>
          <w:highlight w:val="none"/>
        </w:rPr>
      </w:pPr>
    </w:p>
    <w:p w14:paraId="2E179DCB">
      <w:pPr>
        <w:spacing w:line="460" w:lineRule="exact"/>
        <w:jc w:val="center"/>
        <w:rPr>
          <w:rFonts w:ascii="宋体" w:hAnsi="宋体" w:cs="宋体"/>
          <w:b/>
          <w:bCs/>
          <w:color w:val="auto"/>
          <w:sz w:val="28"/>
          <w:szCs w:val="28"/>
          <w:highlight w:val="none"/>
        </w:rPr>
      </w:pPr>
    </w:p>
    <w:p w14:paraId="44CFD464">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w:pict>
          <v:shape id="Text Box 2" o:spid="_x0000_s1028" o:spt="202" type="#_x0000_t202" style="position:absolute;left:0pt;margin-left:8.95pt;margin-top:25.25pt;height:236.55pt;width:492.45pt;z-index:251660288;mso-width-relative:page;mso-height-relative:page;"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JqVlfQECAABEBAAADgAAAGRycy9lMm9Eb2MueG1srVPN&#10;btswDL4P2DsIui92sibojDgFtiy7DNuAdg+gyLQtQH8Qldh5+1FymqbdDjnMB5kiqY/kR3L9MBrN&#10;jhBQOVvz+azkDKx0jbJdzX8/7T7cc4ZR2EZoZ6HmJ0D+sHn/bj34Chaud7qBwAjEYjX4mvcx+qoo&#10;UPZgBM6cB0vG1gUjIl1DVzRBDIRudLEoy1UxuND44CQgknY7GfkZMdwC6NpWSdg6eTBg44QaQItI&#10;JWGvPPJNzrZtQcafbYsQma45VRrzSUFI3qez2KxF1QXheyXPKYhbUnhTkxHKUtAL1FZEwQ5B/QVl&#10;lAwOXRtn0pliKiQzQlXMyzfcPPbCQ66FqEZ/IR3/H6z8cfwVmGpqvuLMCkMNf4Ixss9uZIvEzuCx&#10;IqdHT25xJDXNzLMeSZmKHttg0p/KYWQnbk8XbhOYJOVqsbybz5ecSbJ9LMu7+f0y4RQvz33A+A2c&#10;YUmoeaDmZU7F8TvGyfXZJUVDp1WzU1rnS+j2X3RgR0GN3uXvjP7KTVs21PzTcpESETS9LU0NicYT&#10;A2i7HO/VC7wGLvP3L+CU2FZgPyWQEZKbqIyKELLUg2i+2obFkyeWLS0XT8kYaDjTQLuYpOwZhdK3&#10;eBJ32qYgkCf9zFLq2NSZJMVxPxJoEveuOVEXDz6orieCcx+LZKHhyp04L0Ka3us7ydfL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9wjaNgAAAAKAQAADwAAAAAAAAABACAAAAAiAAAAZHJzL2Rv&#10;d25yZXYueG1sUEsBAhQAFAAAAAgAh07iQCalZX0BAgAARAQAAA4AAAAAAAAAAQAgAAAAJwEAAGRy&#10;cy9lMm9Eb2MueG1sUEsFBgAAAAAGAAYAWQEAAJoFAAAAAA==&#10;">
            <v:path/>
            <v:fill focussize="0,0"/>
            <v:stroke joinstyle="miter"/>
            <v:imagedata o:title=""/>
            <o:lock v:ext="edit"/>
            <v:textbox>
              <w:txbxContent>
                <w:p w14:paraId="3BA593E1">
                  <w:r>
                    <w:rPr>
                      <w:rFonts w:hint="eastAsia" w:ascii="新宋体" w:hAnsi="新宋体" w:eastAsia="新宋体"/>
                      <w:sz w:val="22"/>
                      <w:szCs w:val="22"/>
                    </w:rPr>
                    <w:t>法定代表人身份证（正反面）：</w:t>
                  </w:r>
                </w:p>
              </w:txbxContent>
            </v:textbox>
          </v:shape>
        </w:pict>
      </w:r>
    </w:p>
    <w:p w14:paraId="60E54336">
      <w:pPr>
        <w:spacing w:line="460" w:lineRule="exact"/>
        <w:jc w:val="center"/>
        <w:rPr>
          <w:rFonts w:ascii="宋体" w:hAnsi="宋体" w:cs="宋体"/>
          <w:b/>
          <w:bCs/>
          <w:color w:val="auto"/>
          <w:sz w:val="28"/>
          <w:szCs w:val="28"/>
          <w:highlight w:val="none"/>
        </w:rPr>
      </w:pPr>
    </w:p>
    <w:p w14:paraId="38EF3C33">
      <w:pPr>
        <w:spacing w:line="460" w:lineRule="exact"/>
        <w:jc w:val="center"/>
        <w:rPr>
          <w:rFonts w:ascii="宋体" w:hAnsi="宋体" w:cs="宋体"/>
          <w:b/>
          <w:bCs/>
          <w:color w:val="auto"/>
          <w:sz w:val="28"/>
          <w:szCs w:val="28"/>
          <w:highlight w:val="none"/>
        </w:rPr>
      </w:pPr>
    </w:p>
    <w:p w14:paraId="2A74449E">
      <w:pPr>
        <w:spacing w:line="460" w:lineRule="exact"/>
        <w:jc w:val="center"/>
        <w:rPr>
          <w:rFonts w:ascii="宋体" w:hAnsi="宋体" w:cs="宋体"/>
          <w:b/>
          <w:bCs/>
          <w:color w:val="auto"/>
          <w:sz w:val="28"/>
          <w:szCs w:val="28"/>
          <w:highlight w:val="none"/>
        </w:rPr>
      </w:pPr>
    </w:p>
    <w:p w14:paraId="67F572DE">
      <w:pPr>
        <w:spacing w:line="460" w:lineRule="exact"/>
        <w:jc w:val="center"/>
        <w:rPr>
          <w:rFonts w:ascii="宋体" w:hAnsi="宋体" w:cs="宋体"/>
          <w:b/>
          <w:bCs/>
          <w:color w:val="auto"/>
          <w:sz w:val="28"/>
          <w:szCs w:val="28"/>
          <w:highlight w:val="none"/>
        </w:rPr>
      </w:pPr>
    </w:p>
    <w:p w14:paraId="5571B403">
      <w:pPr>
        <w:spacing w:line="460" w:lineRule="exact"/>
        <w:jc w:val="center"/>
        <w:rPr>
          <w:rFonts w:ascii="宋体" w:hAnsi="宋体" w:cs="宋体"/>
          <w:b/>
          <w:bCs/>
          <w:color w:val="auto"/>
          <w:sz w:val="28"/>
          <w:szCs w:val="28"/>
          <w:highlight w:val="none"/>
        </w:rPr>
      </w:pPr>
    </w:p>
    <w:p w14:paraId="62A657B6">
      <w:pPr>
        <w:spacing w:line="460" w:lineRule="exact"/>
        <w:jc w:val="center"/>
        <w:rPr>
          <w:rFonts w:ascii="宋体" w:hAnsi="宋体" w:cs="宋体"/>
          <w:b/>
          <w:bCs/>
          <w:color w:val="auto"/>
          <w:sz w:val="28"/>
          <w:szCs w:val="28"/>
          <w:highlight w:val="none"/>
        </w:rPr>
      </w:pPr>
    </w:p>
    <w:p w14:paraId="3C7DFE24">
      <w:pPr>
        <w:spacing w:line="460" w:lineRule="exact"/>
        <w:jc w:val="center"/>
        <w:rPr>
          <w:rFonts w:ascii="宋体" w:hAnsi="宋体" w:cs="宋体"/>
          <w:b/>
          <w:bCs/>
          <w:color w:val="auto"/>
          <w:sz w:val="28"/>
          <w:szCs w:val="28"/>
          <w:highlight w:val="none"/>
        </w:rPr>
      </w:pPr>
    </w:p>
    <w:p w14:paraId="479698A4">
      <w:pPr>
        <w:spacing w:line="460" w:lineRule="exact"/>
        <w:jc w:val="center"/>
        <w:rPr>
          <w:rFonts w:ascii="宋体" w:hAnsi="宋体" w:cs="宋体"/>
          <w:b/>
          <w:bCs/>
          <w:color w:val="auto"/>
          <w:sz w:val="28"/>
          <w:szCs w:val="28"/>
          <w:highlight w:val="none"/>
        </w:rPr>
      </w:pPr>
    </w:p>
    <w:p w14:paraId="3D731D71">
      <w:pPr>
        <w:spacing w:line="460" w:lineRule="exact"/>
        <w:jc w:val="center"/>
        <w:rPr>
          <w:rFonts w:ascii="宋体" w:hAnsi="宋体" w:cs="宋体"/>
          <w:b/>
          <w:bCs/>
          <w:color w:val="auto"/>
          <w:sz w:val="28"/>
          <w:szCs w:val="28"/>
          <w:highlight w:val="none"/>
        </w:rPr>
      </w:pPr>
    </w:p>
    <w:p w14:paraId="3824BAF0">
      <w:pPr>
        <w:spacing w:line="460" w:lineRule="exact"/>
        <w:jc w:val="center"/>
        <w:rPr>
          <w:rFonts w:ascii="宋体" w:hAnsi="宋体" w:cs="宋体"/>
          <w:b/>
          <w:bCs/>
          <w:color w:val="auto"/>
          <w:sz w:val="28"/>
          <w:szCs w:val="28"/>
          <w:highlight w:val="none"/>
        </w:rPr>
      </w:pPr>
    </w:p>
    <w:p w14:paraId="68E319D1">
      <w:pPr>
        <w:spacing w:line="460" w:lineRule="exact"/>
        <w:jc w:val="center"/>
        <w:rPr>
          <w:rFonts w:ascii="宋体" w:hAnsi="宋体" w:cs="宋体"/>
          <w:b/>
          <w:bCs/>
          <w:color w:val="auto"/>
          <w:sz w:val="28"/>
          <w:szCs w:val="28"/>
          <w:highlight w:val="none"/>
        </w:rPr>
      </w:pPr>
    </w:p>
    <w:p w14:paraId="2D707D6F">
      <w:pPr>
        <w:spacing w:line="460" w:lineRule="exact"/>
        <w:jc w:val="center"/>
        <w:rPr>
          <w:rFonts w:ascii="宋体" w:hAnsi="宋体" w:cs="宋体"/>
          <w:b/>
          <w:bCs/>
          <w:color w:val="auto"/>
          <w:sz w:val="28"/>
          <w:szCs w:val="28"/>
          <w:highlight w:val="none"/>
        </w:rPr>
      </w:pPr>
    </w:p>
    <w:p w14:paraId="6657330A">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w:pict>
          <v:shape id="文本框 26" o:spid="_x0000_s1027" o:spt="202" type="#_x0000_t202" style="position:absolute;left:0pt;margin-left:6.95pt;margin-top:-4.25pt;height:305.15pt;width:496.35pt;z-index:251661312;mso-width-relative:page;mso-height-relative:page;"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txrnBMCAABGBAAADgAAAGRycy9lMm9Eb2MueG1srVPN&#10;jtMwEL4j8Q6W7zTZdttdoqYrQSkXBEgLD+A6TmLJf/K4TfoC8AacuHDnufocO3aypbtw6IEcnPHM&#10;+JuZb2aWd71WZC88SGtKejXJKRGG20qapqRfv2xe3VICgZmKKWtESQ8C6N3q5Ytl5woxta1VlfAE&#10;QQwUnStpG4Irsgx4KzSDiXXCoLG2XrOAV99klWcdomuVTfN8kXXWV85bLgBQux6MdET0lwDaupZc&#10;rC3faWHCgOqFYgFLglY6oKuUbV0LHj7VNYhAVEmx0pBODILyNp7ZasmKxjPXSj6mwC5J4VlNmkmD&#10;QU9QaxYY2Xn5F5SW3FuwdZhwq7OhkMQIVnGVP+PmvmVOpFqQanAn0uH/wfKP+8+eyKqkN5QYprHh&#10;xx/fjz9/H399I9NF5KdzUKDbvUPH0L+xPU7Nox5QGcvua6/jHwsiaEd2Dyd2RR8IR+Vils8W13NK&#10;ONpmtzfz63wecbI/z52H8F5YTaJQUo/tS6yy/QcIg+ujS4wGVslqI5VKF99s3ypP9gxbvUnfiP7E&#10;TRnSlfT1fBoTYTi/Nc4NitohB2CaFO/JCzgHztP3L+CY2JpBOySQEKIbK7QMwiepFax6ZyoSDg55&#10;NrheNCajRUWJEriNUUqegUl1iSdyp0wMItKsjyzFjg2diVLotz2CRnFrqwN2cee8bFokOPUxixYc&#10;r9SJcRXi/J7fUT5f/9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GqLXdgAAAAKAQAADwAAAAAA&#10;AAABACAAAAAiAAAAZHJzL2Rvd25yZXYueG1sUEsBAhQAFAAAAAgAh07iQELca5wTAgAARgQAAA4A&#10;AAAAAAAAAQAgAAAAJwEAAGRycy9lMm9Eb2MueG1sUEsFBgAAAAAGAAYAWQEAAKwFAAAAAA==&#10;">
            <v:path/>
            <v:fill focussize="0,0"/>
            <v:stroke joinstyle="miter"/>
            <v:imagedata o:title=""/>
            <o:lock v:ext="edit"/>
            <v:textbox>
              <w:txbxContent>
                <w:p w14:paraId="0996C99C">
                  <w:r>
                    <w:rPr>
                      <w:rFonts w:hint="eastAsia" w:ascii="新宋体" w:hAnsi="新宋体" w:eastAsia="新宋体"/>
                      <w:sz w:val="22"/>
                      <w:szCs w:val="22"/>
                    </w:rPr>
                    <w:t>授权代表身份证（正反面）：</w:t>
                  </w:r>
                </w:p>
              </w:txbxContent>
            </v:textbox>
          </v:shape>
        </w:pict>
      </w:r>
    </w:p>
    <w:p w14:paraId="63D6A697">
      <w:pPr>
        <w:spacing w:line="460" w:lineRule="exact"/>
        <w:jc w:val="center"/>
        <w:rPr>
          <w:rFonts w:ascii="宋体" w:hAnsi="宋体" w:cs="宋体"/>
          <w:b/>
          <w:bCs/>
          <w:color w:val="auto"/>
          <w:sz w:val="28"/>
          <w:szCs w:val="28"/>
          <w:highlight w:val="none"/>
        </w:rPr>
      </w:pPr>
    </w:p>
    <w:p w14:paraId="445632E2">
      <w:pPr>
        <w:spacing w:line="460" w:lineRule="exact"/>
        <w:jc w:val="center"/>
        <w:rPr>
          <w:rFonts w:ascii="宋体" w:hAnsi="宋体" w:cs="宋体"/>
          <w:b/>
          <w:bCs/>
          <w:color w:val="auto"/>
          <w:sz w:val="28"/>
          <w:szCs w:val="28"/>
          <w:highlight w:val="none"/>
        </w:rPr>
      </w:pPr>
    </w:p>
    <w:p w14:paraId="0D7572F1">
      <w:pPr>
        <w:spacing w:line="460" w:lineRule="exact"/>
        <w:jc w:val="center"/>
        <w:rPr>
          <w:rFonts w:ascii="宋体" w:hAnsi="宋体" w:cs="宋体"/>
          <w:b/>
          <w:bCs/>
          <w:color w:val="auto"/>
          <w:sz w:val="28"/>
          <w:szCs w:val="28"/>
          <w:highlight w:val="none"/>
        </w:rPr>
      </w:pPr>
    </w:p>
    <w:p w14:paraId="16588B86">
      <w:pPr>
        <w:spacing w:line="460" w:lineRule="exact"/>
        <w:jc w:val="center"/>
        <w:rPr>
          <w:rFonts w:ascii="宋体" w:hAnsi="宋体" w:cs="宋体"/>
          <w:b/>
          <w:bCs/>
          <w:color w:val="auto"/>
          <w:sz w:val="28"/>
          <w:szCs w:val="28"/>
          <w:highlight w:val="none"/>
        </w:rPr>
      </w:pPr>
    </w:p>
    <w:p w14:paraId="6BEDB590">
      <w:pPr>
        <w:spacing w:line="460" w:lineRule="exact"/>
        <w:jc w:val="center"/>
        <w:rPr>
          <w:rFonts w:ascii="宋体" w:hAnsi="宋体" w:cs="宋体"/>
          <w:b/>
          <w:bCs/>
          <w:color w:val="auto"/>
          <w:sz w:val="28"/>
          <w:szCs w:val="28"/>
          <w:highlight w:val="none"/>
        </w:rPr>
      </w:pPr>
    </w:p>
    <w:p w14:paraId="1AA694DE">
      <w:pPr>
        <w:spacing w:line="460" w:lineRule="exact"/>
        <w:jc w:val="center"/>
        <w:rPr>
          <w:rFonts w:ascii="宋体" w:hAnsi="宋体" w:cs="宋体"/>
          <w:b/>
          <w:bCs/>
          <w:color w:val="auto"/>
          <w:sz w:val="28"/>
          <w:szCs w:val="28"/>
          <w:highlight w:val="none"/>
        </w:rPr>
      </w:pPr>
    </w:p>
    <w:p w14:paraId="696272C2">
      <w:pPr>
        <w:spacing w:line="460" w:lineRule="exact"/>
        <w:jc w:val="center"/>
        <w:rPr>
          <w:rFonts w:ascii="宋体" w:hAnsi="宋体" w:cs="宋体"/>
          <w:b/>
          <w:bCs/>
          <w:color w:val="auto"/>
          <w:sz w:val="28"/>
          <w:szCs w:val="28"/>
          <w:highlight w:val="none"/>
        </w:rPr>
      </w:pPr>
    </w:p>
    <w:p w14:paraId="2845E258">
      <w:pPr>
        <w:spacing w:line="460" w:lineRule="exact"/>
        <w:jc w:val="center"/>
        <w:rPr>
          <w:rFonts w:ascii="宋体" w:hAnsi="宋体" w:cs="宋体"/>
          <w:b/>
          <w:bCs/>
          <w:color w:val="auto"/>
          <w:sz w:val="28"/>
          <w:szCs w:val="28"/>
          <w:highlight w:val="none"/>
        </w:rPr>
      </w:pPr>
    </w:p>
    <w:p w14:paraId="26F636DD">
      <w:pPr>
        <w:spacing w:line="460" w:lineRule="exact"/>
        <w:jc w:val="center"/>
        <w:rPr>
          <w:rFonts w:ascii="宋体" w:hAnsi="宋体" w:cs="宋体"/>
          <w:b/>
          <w:bCs/>
          <w:color w:val="auto"/>
          <w:sz w:val="28"/>
          <w:szCs w:val="28"/>
          <w:highlight w:val="none"/>
        </w:rPr>
      </w:pPr>
    </w:p>
    <w:p w14:paraId="1B57570A">
      <w:pPr>
        <w:spacing w:line="460" w:lineRule="exact"/>
        <w:jc w:val="center"/>
        <w:rPr>
          <w:rFonts w:ascii="宋体" w:hAnsi="宋体" w:cs="宋体"/>
          <w:b/>
          <w:bCs/>
          <w:color w:val="auto"/>
          <w:sz w:val="28"/>
          <w:szCs w:val="28"/>
          <w:highlight w:val="none"/>
        </w:rPr>
      </w:pPr>
    </w:p>
    <w:p w14:paraId="6E852464">
      <w:pPr>
        <w:spacing w:line="460" w:lineRule="exact"/>
        <w:jc w:val="center"/>
        <w:rPr>
          <w:rFonts w:ascii="宋体" w:hAnsi="宋体" w:cs="宋体"/>
          <w:b/>
          <w:bCs/>
          <w:color w:val="auto"/>
          <w:sz w:val="28"/>
          <w:szCs w:val="28"/>
          <w:highlight w:val="none"/>
        </w:rPr>
      </w:pPr>
    </w:p>
    <w:p w14:paraId="24EAA768">
      <w:pPr>
        <w:spacing w:line="460" w:lineRule="exact"/>
        <w:jc w:val="center"/>
        <w:rPr>
          <w:rFonts w:ascii="宋体" w:hAnsi="宋体" w:cs="宋体"/>
          <w:b/>
          <w:bCs/>
          <w:color w:val="auto"/>
          <w:sz w:val="28"/>
          <w:szCs w:val="28"/>
          <w:highlight w:val="none"/>
        </w:rPr>
      </w:pPr>
    </w:p>
    <w:p w14:paraId="172D3354">
      <w:pPr>
        <w:spacing w:line="460" w:lineRule="exact"/>
        <w:jc w:val="center"/>
        <w:rPr>
          <w:rFonts w:ascii="宋体" w:hAnsi="宋体" w:cs="宋体"/>
          <w:b/>
          <w:bCs/>
          <w:color w:val="auto"/>
          <w:sz w:val="28"/>
          <w:szCs w:val="28"/>
          <w:highlight w:val="none"/>
        </w:rPr>
      </w:pPr>
    </w:p>
    <w:p w14:paraId="32230EE0">
      <w:pPr>
        <w:spacing w:line="460" w:lineRule="exact"/>
        <w:jc w:val="center"/>
        <w:rPr>
          <w:rFonts w:ascii="宋体" w:hAnsi="宋体" w:cs="宋体"/>
          <w:b/>
          <w:bCs/>
          <w:color w:val="auto"/>
          <w:sz w:val="28"/>
          <w:szCs w:val="28"/>
          <w:highlight w:val="none"/>
        </w:rPr>
      </w:pPr>
    </w:p>
    <w:p w14:paraId="489DBF19">
      <w:pPr>
        <w:spacing w:line="460" w:lineRule="exact"/>
        <w:jc w:val="center"/>
        <w:rPr>
          <w:rFonts w:ascii="宋体" w:hAnsi="宋体" w:cs="宋体"/>
          <w:b/>
          <w:bCs/>
          <w:color w:val="auto"/>
          <w:sz w:val="28"/>
          <w:szCs w:val="28"/>
          <w:highlight w:val="none"/>
        </w:rPr>
      </w:pPr>
    </w:p>
    <w:p w14:paraId="19B29BFC">
      <w:pPr>
        <w:spacing w:line="460" w:lineRule="exact"/>
        <w:jc w:val="center"/>
        <w:outlineLvl w:val="3"/>
        <w:rPr>
          <w:rFonts w:ascii="宋体" w:hAnsi="宋体" w:cs="宋体"/>
          <w:b/>
          <w:bCs/>
          <w:color w:val="auto"/>
          <w:sz w:val="22"/>
          <w:szCs w:val="22"/>
          <w:highlight w:val="none"/>
        </w:rPr>
        <w:sectPr>
          <w:footerReference r:id="rId5" w:type="first"/>
          <w:headerReference r:id="rId3" w:type="default"/>
          <w:footerReference r:id="rId4" w:type="default"/>
          <w:pgSz w:w="11906" w:h="16838"/>
          <w:pgMar w:top="1134" w:right="1134" w:bottom="1134" w:left="1134" w:header="850" w:footer="992" w:gutter="0"/>
          <w:cols w:space="720" w:num="1"/>
          <w:titlePg/>
          <w:docGrid w:type="lines" w:linePitch="312" w:charSpace="0"/>
        </w:sectPr>
      </w:pPr>
    </w:p>
    <w:p w14:paraId="446C45E0">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2、投标人情况表</w:t>
      </w:r>
    </w:p>
    <w:p w14:paraId="5023396A">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228F6A25">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479"/>
        <w:gridCol w:w="716"/>
        <w:gridCol w:w="1465"/>
        <w:gridCol w:w="1152"/>
        <w:gridCol w:w="964"/>
        <w:gridCol w:w="2099"/>
        <w:gridCol w:w="1005"/>
      </w:tblGrid>
      <w:tr w14:paraId="3387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10" w:type="dxa"/>
            <w:vAlign w:val="center"/>
          </w:tcPr>
          <w:p w14:paraId="1F1DAC18">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单位名称</w:t>
            </w:r>
          </w:p>
        </w:tc>
        <w:tc>
          <w:tcPr>
            <w:tcW w:w="1479" w:type="dxa"/>
            <w:vAlign w:val="center"/>
          </w:tcPr>
          <w:p w14:paraId="205BA0F5">
            <w:pPr>
              <w:spacing w:line="480" w:lineRule="exact"/>
              <w:jc w:val="center"/>
              <w:rPr>
                <w:rFonts w:ascii="宋体" w:hAnsi="宋体" w:cs="宋体"/>
                <w:color w:val="auto"/>
                <w:sz w:val="22"/>
                <w:szCs w:val="22"/>
                <w:highlight w:val="none"/>
              </w:rPr>
            </w:pPr>
          </w:p>
        </w:tc>
        <w:tc>
          <w:tcPr>
            <w:tcW w:w="716" w:type="dxa"/>
            <w:vAlign w:val="center"/>
          </w:tcPr>
          <w:p w14:paraId="358BCDDE">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电话</w:t>
            </w:r>
          </w:p>
        </w:tc>
        <w:tc>
          <w:tcPr>
            <w:tcW w:w="1465" w:type="dxa"/>
            <w:vAlign w:val="center"/>
          </w:tcPr>
          <w:p w14:paraId="36C47A4C">
            <w:pPr>
              <w:spacing w:line="480" w:lineRule="exact"/>
              <w:jc w:val="center"/>
              <w:rPr>
                <w:rFonts w:ascii="宋体" w:hAnsi="宋体" w:cs="宋体"/>
                <w:color w:val="auto"/>
                <w:sz w:val="22"/>
                <w:szCs w:val="22"/>
                <w:highlight w:val="none"/>
              </w:rPr>
            </w:pPr>
          </w:p>
        </w:tc>
        <w:tc>
          <w:tcPr>
            <w:tcW w:w="1152" w:type="dxa"/>
            <w:vAlign w:val="center"/>
          </w:tcPr>
          <w:p w14:paraId="72878EF2">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964" w:type="dxa"/>
            <w:vAlign w:val="center"/>
          </w:tcPr>
          <w:p w14:paraId="61967254">
            <w:pPr>
              <w:spacing w:line="480" w:lineRule="exact"/>
              <w:jc w:val="center"/>
              <w:rPr>
                <w:rFonts w:ascii="宋体" w:hAnsi="宋体" w:cs="宋体"/>
                <w:color w:val="auto"/>
                <w:sz w:val="22"/>
                <w:szCs w:val="22"/>
                <w:highlight w:val="none"/>
              </w:rPr>
            </w:pPr>
          </w:p>
        </w:tc>
        <w:tc>
          <w:tcPr>
            <w:tcW w:w="2099" w:type="dxa"/>
            <w:vAlign w:val="center"/>
          </w:tcPr>
          <w:p w14:paraId="53D4783E">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企业负责人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005" w:type="dxa"/>
            <w:vAlign w:val="center"/>
          </w:tcPr>
          <w:p w14:paraId="11A822CD">
            <w:pPr>
              <w:spacing w:line="480" w:lineRule="exact"/>
              <w:jc w:val="center"/>
              <w:rPr>
                <w:rFonts w:ascii="宋体" w:hAnsi="宋体" w:cs="宋体"/>
                <w:color w:val="auto"/>
                <w:sz w:val="22"/>
                <w:szCs w:val="22"/>
                <w:highlight w:val="none"/>
              </w:rPr>
            </w:pPr>
          </w:p>
        </w:tc>
      </w:tr>
      <w:tr w14:paraId="36A1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10" w:type="dxa"/>
            <w:vAlign w:val="center"/>
          </w:tcPr>
          <w:p w14:paraId="4F5C6741">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地址</w:t>
            </w:r>
          </w:p>
        </w:tc>
        <w:tc>
          <w:tcPr>
            <w:tcW w:w="1479" w:type="dxa"/>
            <w:vAlign w:val="center"/>
          </w:tcPr>
          <w:p w14:paraId="6107909B">
            <w:pPr>
              <w:spacing w:line="480" w:lineRule="exact"/>
              <w:jc w:val="center"/>
              <w:rPr>
                <w:rFonts w:ascii="宋体" w:hAnsi="宋体" w:cs="宋体"/>
                <w:color w:val="auto"/>
                <w:sz w:val="22"/>
                <w:szCs w:val="22"/>
                <w:highlight w:val="none"/>
              </w:rPr>
            </w:pPr>
          </w:p>
        </w:tc>
        <w:tc>
          <w:tcPr>
            <w:tcW w:w="716" w:type="dxa"/>
            <w:vAlign w:val="center"/>
          </w:tcPr>
          <w:p w14:paraId="5278445C">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传真</w:t>
            </w:r>
          </w:p>
        </w:tc>
        <w:tc>
          <w:tcPr>
            <w:tcW w:w="1465" w:type="dxa"/>
            <w:vAlign w:val="center"/>
          </w:tcPr>
          <w:p w14:paraId="1B536A92">
            <w:pPr>
              <w:spacing w:line="480" w:lineRule="exact"/>
              <w:jc w:val="center"/>
              <w:rPr>
                <w:rFonts w:ascii="宋体" w:hAnsi="宋体" w:cs="宋体"/>
                <w:color w:val="auto"/>
                <w:sz w:val="22"/>
                <w:szCs w:val="22"/>
                <w:highlight w:val="none"/>
              </w:rPr>
            </w:pPr>
          </w:p>
        </w:tc>
        <w:tc>
          <w:tcPr>
            <w:tcW w:w="1152" w:type="dxa"/>
            <w:vAlign w:val="center"/>
          </w:tcPr>
          <w:p w14:paraId="5DD2043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964" w:type="dxa"/>
            <w:vAlign w:val="center"/>
          </w:tcPr>
          <w:p w14:paraId="42561FEE">
            <w:pPr>
              <w:spacing w:line="480" w:lineRule="exact"/>
              <w:jc w:val="center"/>
              <w:rPr>
                <w:rFonts w:ascii="宋体" w:hAnsi="宋体" w:cs="宋体"/>
                <w:color w:val="auto"/>
                <w:sz w:val="22"/>
                <w:szCs w:val="22"/>
                <w:highlight w:val="none"/>
              </w:rPr>
            </w:pPr>
          </w:p>
        </w:tc>
        <w:tc>
          <w:tcPr>
            <w:tcW w:w="2099" w:type="dxa"/>
            <w:vAlign w:val="center"/>
          </w:tcPr>
          <w:p w14:paraId="777B4276">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授权代表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005" w:type="dxa"/>
            <w:vAlign w:val="center"/>
          </w:tcPr>
          <w:p w14:paraId="4C3542AE">
            <w:pPr>
              <w:spacing w:line="480" w:lineRule="exact"/>
              <w:jc w:val="center"/>
              <w:rPr>
                <w:rFonts w:ascii="宋体" w:hAnsi="宋体" w:cs="宋体"/>
                <w:color w:val="auto"/>
                <w:sz w:val="22"/>
                <w:szCs w:val="22"/>
                <w:highlight w:val="none"/>
              </w:rPr>
            </w:pPr>
          </w:p>
        </w:tc>
      </w:tr>
      <w:tr w14:paraId="689F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1" w:hRule="atLeast"/>
        </w:trPr>
        <w:tc>
          <w:tcPr>
            <w:tcW w:w="1110" w:type="dxa"/>
            <w:vAlign w:val="center"/>
          </w:tcPr>
          <w:p w14:paraId="73158F5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6DC801DA">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8880" w:type="dxa"/>
            <w:gridSpan w:val="7"/>
            <w:vAlign w:val="center"/>
          </w:tcPr>
          <w:p w14:paraId="6E8DC4E1">
            <w:pPr>
              <w:spacing w:line="480" w:lineRule="exact"/>
              <w:rPr>
                <w:rFonts w:ascii="宋体" w:hAnsi="宋体" w:cs="宋体"/>
                <w:color w:val="auto"/>
                <w:sz w:val="22"/>
                <w:szCs w:val="22"/>
                <w:highlight w:val="none"/>
              </w:rPr>
            </w:pPr>
          </w:p>
        </w:tc>
      </w:tr>
    </w:tbl>
    <w:p w14:paraId="277D51D8">
      <w:pPr>
        <w:spacing w:line="460" w:lineRule="exact"/>
        <w:rPr>
          <w:rFonts w:ascii="宋体" w:hAnsi="宋体" w:cs="宋体"/>
          <w:color w:val="auto"/>
          <w:sz w:val="22"/>
          <w:szCs w:val="22"/>
          <w:highlight w:val="none"/>
        </w:rPr>
        <w:sectPr>
          <w:pgSz w:w="11906" w:h="16838"/>
          <w:pgMar w:top="1134" w:right="1134" w:bottom="1134" w:left="1134" w:header="850" w:footer="992" w:gutter="0"/>
          <w:cols w:space="720" w:num="1"/>
          <w:docGrid w:type="lines" w:linePitch="321" w:charSpace="0"/>
        </w:sectPr>
      </w:pPr>
    </w:p>
    <w:p w14:paraId="035B8C2C">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3、</w:t>
      </w:r>
      <w:r>
        <w:rPr>
          <w:rFonts w:hint="eastAsia" w:ascii="宋体" w:hAnsi="宋体" w:cs="宋体"/>
          <w:b/>
          <w:bCs/>
          <w:color w:val="auto"/>
          <w:sz w:val="28"/>
          <w:szCs w:val="28"/>
          <w:highlight w:val="none"/>
          <w:lang w:val="zh-CN"/>
        </w:rPr>
        <w:t>偏离表（</w:t>
      </w:r>
      <w:r>
        <w:rPr>
          <w:rFonts w:hint="eastAsia" w:ascii="宋体" w:hAnsi="宋体" w:cs="宋体"/>
          <w:b/>
          <w:bCs/>
          <w:color w:val="auto"/>
          <w:sz w:val="28"/>
          <w:szCs w:val="28"/>
          <w:highlight w:val="none"/>
        </w:rPr>
        <w:t>商务、技术偏离</w:t>
      </w:r>
      <w:r>
        <w:rPr>
          <w:rFonts w:hint="eastAsia" w:ascii="宋体" w:hAnsi="宋体" w:cs="宋体"/>
          <w:b/>
          <w:bCs/>
          <w:color w:val="auto"/>
          <w:sz w:val="28"/>
          <w:szCs w:val="28"/>
          <w:highlight w:val="none"/>
          <w:lang w:val="zh-CN"/>
        </w:rPr>
        <w:t>）</w:t>
      </w:r>
    </w:p>
    <w:p w14:paraId="552C6CEA">
      <w:pPr>
        <w:spacing w:line="360" w:lineRule="auto"/>
        <w:rPr>
          <w:rFonts w:ascii="宋体" w:hAnsi="宋体" w:cs="宋体"/>
          <w:color w:val="auto"/>
          <w:sz w:val="22"/>
          <w:szCs w:val="22"/>
          <w:highlight w:val="none"/>
        </w:rPr>
      </w:pPr>
    </w:p>
    <w:p w14:paraId="11312DAE">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7ABA2D48">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1F2E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3DB34D38">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3687" w:type="dxa"/>
            <w:shd w:val="clear" w:color="auto" w:fill="FFFFFF"/>
            <w:vAlign w:val="center"/>
          </w:tcPr>
          <w:p w14:paraId="77DE5FBB">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招标文件</w:t>
            </w:r>
          </w:p>
          <w:p w14:paraId="36705789">
            <w:pPr>
              <w:jc w:val="center"/>
              <w:rPr>
                <w:rFonts w:ascii="宋体" w:hAnsi="宋体" w:cs="宋体"/>
                <w:b/>
                <w:color w:val="auto"/>
                <w:sz w:val="22"/>
                <w:szCs w:val="22"/>
                <w:highlight w:val="none"/>
              </w:rPr>
            </w:pPr>
            <w:r>
              <w:rPr>
                <w:rFonts w:hint="eastAsia" w:ascii="宋体" w:hAnsi="宋体" w:cs="宋体"/>
                <w:b/>
                <w:color w:val="auto"/>
                <w:sz w:val="22"/>
                <w:szCs w:val="22"/>
                <w:highlight w:val="none"/>
              </w:rPr>
              <w:t>规格要求</w:t>
            </w:r>
          </w:p>
        </w:tc>
        <w:tc>
          <w:tcPr>
            <w:tcW w:w="3402" w:type="dxa"/>
            <w:shd w:val="clear" w:color="auto" w:fill="FFFFFF"/>
            <w:vAlign w:val="center"/>
          </w:tcPr>
          <w:p w14:paraId="24E91518">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投标文件</w:t>
            </w:r>
          </w:p>
          <w:p w14:paraId="67ED0A1E">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对应规格</w:t>
            </w:r>
          </w:p>
        </w:tc>
        <w:tc>
          <w:tcPr>
            <w:tcW w:w="1580" w:type="dxa"/>
            <w:shd w:val="clear" w:color="auto" w:fill="FFFFFF"/>
            <w:vAlign w:val="center"/>
          </w:tcPr>
          <w:p w14:paraId="3F57C02C">
            <w:pPr>
              <w:jc w:val="center"/>
              <w:rPr>
                <w:rFonts w:ascii="宋体" w:hAnsi="宋体" w:cs="宋体"/>
                <w:b/>
                <w:color w:val="auto"/>
                <w:sz w:val="22"/>
                <w:szCs w:val="22"/>
                <w:highlight w:val="none"/>
              </w:rPr>
            </w:pPr>
            <w:r>
              <w:rPr>
                <w:rFonts w:hint="eastAsia" w:ascii="宋体" w:hAnsi="宋体" w:cs="宋体"/>
                <w:b/>
                <w:color w:val="auto"/>
                <w:sz w:val="22"/>
                <w:szCs w:val="22"/>
                <w:highlight w:val="none"/>
              </w:rPr>
              <w:t>说明</w:t>
            </w:r>
          </w:p>
        </w:tc>
      </w:tr>
      <w:tr w14:paraId="2E96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3348C5E8">
            <w:pPr>
              <w:ind w:firstLine="220" w:firstLineChars="100"/>
              <w:rPr>
                <w:rFonts w:ascii="宋体" w:hAnsi="宋体" w:cs="宋体"/>
                <w:color w:val="auto"/>
                <w:sz w:val="22"/>
                <w:szCs w:val="22"/>
                <w:highlight w:val="none"/>
              </w:rPr>
            </w:pPr>
          </w:p>
        </w:tc>
        <w:tc>
          <w:tcPr>
            <w:tcW w:w="3687" w:type="dxa"/>
            <w:vAlign w:val="center"/>
          </w:tcPr>
          <w:p w14:paraId="6C0DB99D">
            <w:pPr>
              <w:jc w:val="center"/>
              <w:rPr>
                <w:rFonts w:ascii="宋体" w:hAnsi="宋体" w:cs="宋体"/>
                <w:color w:val="auto"/>
                <w:sz w:val="22"/>
                <w:szCs w:val="22"/>
                <w:highlight w:val="none"/>
              </w:rPr>
            </w:pPr>
          </w:p>
        </w:tc>
        <w:tc>
          <w:tcPr>
            <w:tcW w:w="3402" w:type="dxa"/>
            <w:vAlign w:val="center"/>
          </w:tcPr>
          <w:p w14:paraId="19B6025B">
            <w:pPr>
              <w:jc w:val="center"/>
              <w:rPr>
                <w:rFonts w:ascii="宋体" w:hAnsi="宋体" w:cs="宋体"/>
                <w:color w:val="auto"/>
                <w:sz w:val="22"/>
                <w:szCs w:val="22"/>
                <w:highlight w:val="none"/>
              </w:rPr>
            </w:pPr>
          </w:p>
        </w:tc>
        <w:tc>
          <w:tcPr>
            <w:tcW w:w="1580" w:type="dxa"/>
            <w:vAlign w:val="center"/>
          </w:tcPr>
          <w:p w14:paraId="5ACA37E9">
            <w:pPr>
              <w:jc w:val="center"/>
              <w:rPr>
                <w:rFonts w:ascii="宋体" w:hAnsi="宋体" w:cs="宋体"/>
                <w:color w:val="auto"/>
                <w:sz w:val="22"/>
                <w:szCs w:val="22"/>
                <w:highlight w:val="none"/>
              </w:rPr>
            </w:pPr>
          </w:p>
        </w:tc>
      </w:tr>
      <w:tr w14:paraId="2CF5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9E77A70">
            <w:pPr>
              <w:jc w:val="center"/>
              <w:rPr>
                <w:rFonts w:ascii="宋体" w:hAnsi="宋体" w:cs="宋体"/>
                <w:color w:val="auto"/>
                <w:sz w:val="22"/>
                <w:szCs w:val="22"/>
                <w:highlight w:val="none"/>
              </w:rPr>
            </w:pPr>
          </w:p>
        </w:tc>
        <w:tc>
          <w:tcPr>
            <w:tcW w:w="3687" w:type="dxa"/>
            <w:vAlign w:val="center"/>
          </w:tcPr>
          <w:p w14:paraId="0B89DBF1">
            <w:pPr>
              <w:jc w:val="center"/>
              <w:rPr>
                <w:rFonts w:ascii="宋体" w:hAnsi="宋体" w:cs="宋体"/>
                <w:color w:val="auto"/>
                <w:sz w:val="22"/>
                <w:szCs w:val="22"/>
                <w:highlight w:val="none"/>
              </w:rPr>
            </w:pPr>
          </w:p>
        </w:tc>
        <w:tc>
          <w:tcPr>
            <w:tcW w:w="3402" w:type="dxa"/>
            <w:vAlign w:val="center"/>
          </w:tcPr>
          <w:p w14:paraId="693105E1">
            <w:pPr>
              <w:jc w:val="center"/>
              <w:rPr>
                <w:rFonts w:ascii="宋体" w:hAnsi="宋体" w:cs="宋体"/>
                <w:color w:val="auto"/>
                <w:sz w:val="22"/>
                <w:szCs w:val="22"/>
                <w:highlight w:val="none"/>
              </w:rPr>
            </w:pPr>
          </w:p>
        </w:tc>
        <w:tc>
          <w:tcPr>
            <w:tcW w:w="1580" w:type="dxa"/>
            <w:vAlign w:val="center"/>
          </w:tcPr>
          <w:p w14:paraId="7CA8C4C2">
            <w:pPr>
              <w:jc w:val="center"/>
              <w:rPr>
                <w:rFonts w:ascii="宋体" w:hAnsi="宋体" w:cs="宋体"/>
                <w:color w:val="auto"/>
                <w:sz w:val="22"/>
                <w:szCs w:val="22"/>
                <w:highlight w:val="none"/>
              </w:rPr>
            </w:pPr>
          </w:p>
        </w:tc>
      </w:tr>
      <w:tr w14:paraId="4D0F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239986D">
            <w:pPr>
              <w:jc w:val="center"/>
              <w:rPr>
                <w:rFonts w:ascii="宋体" w:hAnsi="宋体" w:cs="宋体"/>
                <w:color w:val="auto"/>
                <w:sz w:val="22"/>
                <w:szCs w:val="22"/>
                <w:highlight w:val="none"/>
              </w:rPr>
            </w:pPr>
          </w:p>
        </w:tc>
        <w:tc>
          <w:tcPr>
            <w:tcW w:w="3687" w:type="dxa"/>
            <w:vAlign w:val="center"/>
          </w:tcPr>
          <w:p w14:paraId="64CA2019">
            <w:pPr>
              <w:jc w:val="center"/>
              <w:rPr>
                <w:rFonts w:ascii="宋体" w:hAnsi="宋体" w:cs="宋体"/>
                <w:color w:val="auto"/>
                <w:sz w:val="22"/>
                <w:szCs w:val="22"/>
                <w:highlight w:val="none"/>
              </w:rPr>
            </w:pPr>
          </w:p>
        </w:tc>
        <w:tc>
          <w:tcPr>
            <w:tcW w:w="3402" w:type="dxa"/>
            <w:vAlign w:val="center"/>
          </w:tcPr>
          <w:p w14:paraId="751B47AF">
            <w:pPr>
              <w:jc w:val="center"/>
              <w:rPr>
                <w:rFonts w:ascii="宋体" w:hAnsi="宋体" w:cs="宋体"/>
                <w:color w:val="auto"/>
                <w:sz w:val="22"/>
                <w:szCs w:val="22"/>
                <w:highlight w:val="none"/>
              </w:rPr>
            </w:pPr>
          </w:p>
        </w:tc>
        <w:tc>
          <w:tcPr>
            <w:tcW w:w="1580" w:type="dxa"/>
            <w:vAlign w:val="center"/>
          </w:tcPr>
          <w:p w14:paraId="4F19DD7E">
            <w:pPr>
              <w:jc w:val="center"/>
              <w:rPr>
                <w:rFonts w:ascii="宋体" w:hAnsi="宋体" w:cs="宋体"/>
                <w:color w:val="auto"/>
                <w:sz w:val="22"/>
                <w:szCs w:val="22"/>
                <w:highlight w:val="none"/>
              </w:rPr>
            </w:pPr>
          </w:p>
        </w:tc>
      </w:tr>
      <w:tr w14:paraId="6418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5EF09D8">
            <w:pPr>
              <w:jc w:val="center"/>
              <w:rPr>
                <w:rFonts w:ascii="宋体" w:hAnsi="宋体" w:cs="宋体"/>
                <w:color w:val="auto"/>
                <w:sz w:val="22"/>
                <w:szCs w:val="22"/>
                <w:highlight w:val="none"/>
              </w:rPr>
            </w:pPr>
          </w:p>
        </w:tc>
        <w:tc>
          <w:tcPr>
            <w:tcW w:w="3687" w:type="dxa"/>
            <w:vAlign w:val="center"/>
          </w:tcPr>
          <w:p w14:paraId="0375D0D7">
            <w:pPr>
              <w:jc w:val="center"/>
              <w:rPr>
                <w:rFonts w:ascii="宋体" w:hAnsi="宋体" w:cs="宋体"/>
                <w:color w:val="auto"/>
                <w:sz w:val="22"/>
                <w:szCs w:val="22"/>
                <w:highlight w:val="none"/>
              </w:rPr>
            </w:pPr>
          </w:p>
        </w:tc>
        <w:tc>
          <w:tcPr>
            <w:tcW w:w="3402" w:type="dxa"/>
            <w:vAlign w:val="center"/>
          </w:tcPr>
          <w:p w14:paraId="0B53CEB3">
            <w:pPr>
              <w:jc w:val="center"/>
              <w:rPr>
                <w:rFonts w:ascii="宋体" w:hAnsi="宋体" w:cs="宋体"/>
                <w:color w:val="auto"/>
                <w:sz w:val="22"/>
                <w:szCs w:val="22"/>
                <w:highlight w:val="none"/>
              </w:rPr>
            </w:pPr>
          </w:p>
        </w:tc>
        <w:tc>
          <w:tcPr>
            <w:tcW w:w="1580" w:type="dxa"/>
            <w:vAlign w:val="center"/>
          </w:tcPr>
          <w:p w14:paraId="108E222A">
            <w:pPr>
              <w:jc w:val="center"/>
              <w:rPr>
                <w:rFonts w:ascii="宋体" w:hAnsi="宋体" w:cs="宋体"/>
                <w:color w:val="auto"/>
                <w:sz w:val="22"/>
                <w:szCs w:val="22"/>
                <w:highlight w:val="none"/>
              </w:rPr>
            </w:pPr>
          </w:p>
        </w:tc>
      </w:tr>
      <w:tr w14:paraId="7249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2A0204B">
            <w:pPr>
              <w:jc w:val="center"/>
              <w:rPr>
                <w:rFonts w:ascii="宋体" w:hAnsi="宋体" w:cs="宋体"/>
                <w:color w:val="auto"/>
                <w:sz w:val="22"/>
                <w:szCs w:val="22"/>
                <w:highlight w:val="none"/>
              </w:rPr>
            </w:pPr>
          </w:p>
        </w:tc>
        <w:tc>
          <w:tcPr>
            <w:tcW w:w="3687" w:type="dxa"/>
            <w:vAlign w:val="center"/>
          </w:tcPr>
          <w:p w14:paraId="45C0DC8E">
            <w:pPr>
              <w:jc w:val="center"/>
              <w:rPr>
                <w:rFonts w:ascii="宋体" w:hAnsi="宋体" w:cs="宋体"/>
                <w:color w:val="auto"/>
                <w:sz w:val="22"/>
                <w:szCs w:val="22"/>
                <w:highlight w:val="none"/>
              </w:rPr>
            </w:pPr>
          </w:p>
        </w:tc>
        <w:tc>
          <w:tcPr>
            <w:tcW w:w="3402" w:type="dxa"/>
            <w:vAlign w:val="center"/>
          </w:tcPr>
          <w:p w14:paraId="0436747F">
            <w:pPr>
              <w:jc w:val="center"/>
              <w:rPr>
                <w:rFonts w:ascii="宋体" w:hAnsi="宋体" w:cs="宋体"/>
                <w:color w:val="auto"/>
                <w:sz w:val="22"/>
                <w:szCs w:val="22"/>
                <w:highlight w:val="none"/>
              </w:rPr>
            </w:pPr>
          </w:p>
        </w:tc>
        <w:tc>
          <w:tcPr>
            <w:tcW w:w="1580" w:type="dxa"/>
            <w:vAlign w:val="center"/>
          </w:tcPr>
          <w:p w14:paraId="7C21A160">
            <w:pPr>
              <w:jc w:val="center"/>
              <w:rPr>
                <w:rFonts w:ascii="宋体" w:hAnsi="宋体" w:cs="宋体"/>
                <w:color w:val="auto"/>
                <w:sz w:val="22"/>
                <w:szCs w:val="22"/>
                <w:highlight w:val="none"/>
              </w:rPr>
            </w:pPr>
          </w:p>
        </w:tc>
      </w:tr>
      <w:tr w14:paraId="5040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FAEBB77">
            <w:pPr>
              <w:ind w:firstLine="220" w:firstLineChars="100"/>
              <w:rPr>
                <w:rFonts w:ascii="宋体" w:hAnsi="宋体" w:cs="宋体"/>
                <w:color w:val="auto"/>
                <w:sz w:val="22"/>
                <w:szCs w:val="22"/>
                <w:highlight w:val="none"/>
              </w:rPr>
            </w:pPr>
          </w:p>
        </w:tc>
        <w:tc>
          <w:tcPr>
            <w:tcW w:w="3687" w:type="dxa"/>
            <w:vAlign w:val="center"/>
          </w:tcPr>
          <w:p w14:paraId="769E665E">
            <w:pPr>
              <w:jc w:val="center"/>
              <w:rPr>
                <w:rFonts w:ascii="宋体" w:hAnsi="宋体" w:cs="宋体"/>
                <w:color w:val="auto"/>
                <w:sz w:val="22"/>
                <w:szCs w:val="22"/>
                <w:highlight w:val="none"/>
              </w:rPr>
            </w:pPr>
          </w:p>
        </w:tc>
        <w:tc>
          <w:tcPr>
            <w:tcW w:w="3402" w:type="dxa"/>
            <w:vAlign w:val="center"/>
          </w:tcPr>
          <w:p w14:paraId="21432E52">
            <w:pPr>
              <w:jc w:val="center"/>
              <w:rPr>
                <w:rFonts w:ascii="宋体" w:hAnsi="宋体" w:cs="宋体"/>
                <w:color w:val="auto"/>
                <w:sz w:val="22"/>
                <w:szCs w:val="22"/>
                <w:highlight w:val="none"/>
              </w:rPr>
            </w:pPr>
          </w:p>
        </w:tc>
        <w:tc>
          <w:tcPr>
            <w:tcW w:w="1580" w:type="dxa"/>
            <w:vAlign w:val="center"/>
          </w:tcPr>
          <w:p w14:paraId="6003134E">
            <w:pPr>
              <w:jc w:val="center"/>
              <w:rPr>
                <w:rFonts w:ascii="宋体" w:hAnsi="宋体" w:cs="宋体"/>
                <w:color w:val="auto"/>
                <w:sz w:val="22"/>
                <w:szCs w:val="22"/>
                <w:highlight w:val="none"/>
              </w:rPr>
            </w:pPr>
          </w:p>
        </w:tc>
      </w:tr>
      <w:tr w14:paraId="3B76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3E6AE0D">
            <w:pPr>
              <w:jc w:val="center"/>
              <w:rPr>
                <w:rFonts w:ascii="宋体" w:hAnsi="宋体" w:cs="宋体"/>
                <w:color w:val="auto"/>
                <w:sz w:val="22"/>
                <w:szCs w:val="22"/>
                <w:highlight w:val="none"/>
              </w:rPr>
            </w:pPr>
          </w:p>
        </w:tc>
        <w:tc>
          <w:tcPr>
            <w:tcW w:w="3687" w:type="dxa"/>
            <w:vAlign w:val="center"/>
          </w:tcPr>
          <w:p w14:paraId="0ADB4043">
            <w:pPr>
              <w:jc w:val="center"/>
              <w:rPr>
                <w:rFonts w:ascii="宋体" w:hAnsi="宋体" w:cs="宋体"/>
                <w:color w:val="auto"/>
                <w:sz w:val="22"/>
                <w:szCs w:val="22"/>
                <w:highlight w:val="none"/>
              </w:rPr>
            </w:pPr>
          </w:p>
        </w:tc>
        <w:tc>
          <w:tcPr>
            <w:tcW w:w="3402" w:type="dxa"/>
            <w:vAlign w:val="center"/>
          </w:tcPr>
          <w:p w14:paraId="7FFA8822">
            <w:pPr>
              <w:jc w:val="center"/>
              <w:rPr>
                <w:rFonts w:ascii="宋体" w:hAnsi="宋体" w:cs="宋体"/>
                <w:color w:val="auto"/>
                <w:sz w:val="22"/>
                <w:szCs w:val="22"/>
                <w:highlight w:val="none"/>
              </w:rPr>
            </w:pPr>
          </w:p>
        </w:tc>
        <w:tc>
          <w:tcPr>
            <w:tcW w:w="1580" w:type="dxa"/>
            <w:vAlign w:val="center"/>
          </w:tcPr>
          <w:p w14:paraId="0331FED6">
            <w:pPr>
              <w:jc w:val="center"/>
              <w:rPr>
                <w:rFonts w:ascii="宋体" w:hAnsi="宋体" w:cs="宋体"/>
                <w:color w:val="auto"/>
                <w:sz w:val="22"/>
                <w:szCs w:val="22"/>
                <w:highlight w:val="none"/>
              </w:rPr>
            </w:pPr>
          </w:p>
        </w:tc>
      </w:tr>
      <w:tr w14:paraId="1561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3A438C2">
            <w:pPr>
              <w:jc w:val="center"/>
              <w:rPr>
                <w:rFonts w:ascii="宋体" w:hAnsi="宋体" w:cs="宋体"/>
                <w:color w:val="auto"/>
                <w:sz w:val="22"/>
                <w:szCs w:val="22"/>
                <w:highlight w:val="none"/>
              </w:rPr>
            </w:pPr>
          </w:p>
        </w:tc>
        <w:tc>
          <w:tcPr>
            <w:tcW w:w="3687" w:type="dxa"/>
            <w:vAlign w:val="center"/>
          </w:tcPr>
          <w:p w14:paraId="2475189D">
            <w:pPr>
              <w:jc w:val="center"/>
              <w:rPr>
                <w:rFonts w:ascii="宋体" w:hAnsi="宋体" w:cs="宋体"/>
                <w:color w:val="auto"/>
                <w:sz w:val="22"/>
                <w:szCs w:val="22"/>
                <w:highlight w:val="none"/>
              </w:rPr>
            </w:pPr>
          </w:p>
        </w:tc>
        <w:tc>
          <w:tcPr>
            <w:tcW w:w="3402" w:type="dxa"/>
            <w:vAlign w:val="center"/>
          </w:tcPr>
          <w:p w14:paraId="3FEDF256">
            <w:pPr>
              <w:jc w:val="center"/>
              <w:rPr>
                <w:rFonts w:ascii="宋体" w:hAnsi="宋体" w:cs="宋体"/>
                <w:color w:val="auto"/>
                <w:sz w:val="22"/>
                <w:szCs w:val="22"/>
                <w:highlight w:val="none"/>
              </w:rPr>
            </w:pPr>
          </w:p>
        </w:tc>
        <w:tc>
          <w:tcPr>
            <w:tcW w:w="1580" w:type="dxa"/>
            <w:vAlign w:val="center"/>
          </w:tcPr>
          <w:p w14:paraId="2C31B327">
            <w:pPr>
              <w:jc w:val="center"/>
              <w:rPr>
                <w:rFonts w:ascii="宋体" w:hAnsi="宋体" w:cs="宋体"/>
                <w:color w:val="auto"/>
                <w:sz w:val="22"/>
                <w:szCs w:val="22"/>
                <w:highlight w:val="none"/>
              </w:rPr>
            </w:pPr>
          </w:p>
        </w:tc>
      </w:tr>
      <w:tr w14:paraId="085C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6BC87A1E">
            <w:pPr>
              <w:jc w:val="center"/>
              <w:rPr>
                <w:rFonts w:ascii="宋体" w:hAnsi="宋体" w:cs="宋体"/>
                <w:color w:val="auto"/>
                <w:sz w:val="22"/>
                <w:szCs w:val="22"/>
                <w:highlight w:val="none"/>
              </w:rPr>
            </w:pPr>
          </w:p>
        </w:tc>
        <w:tc>
          <w:tcPr>
            <w:tcW w:w="3687" w:type="dxa"/>
            <w:vAlign w:val="center"/>
          </w:tcPr>
          <w:p w14:paraId="243067EA">
            <w:pPr>
              <w:jc w:val="center"/>
              <w:rPr>
                <w:rFonts w:ascii="宋体" w:hAnsi="宋体" w:cs="宋体"/>
                <w:color w:val="auto"/>
                <w:sz w:val="22"/>
                <w:szCs w:val="22"/>
                <w:highlight w:val="none"/>
              </w:rPr>
            </w:pPr>
          </w:p>
        </w:tc>
        <w:tc>
          <w:tcPr>
            <w:tcW w:w="3402" w:type="dxa"/>
            <w:vAlign w:val="center"/>
          </w:tcPr>
          <w:p w14:paraId="05153A16">
            <w:pPr>
              <w:jc w:val="center"/>
              <w:rPr>
                <w:rFonts w:ascii="宋体" w:hAnsi="宋体" w:cs="宋体"/>
                <w:color w:val="auto"/>
                <w:sz w:val="22"/>
                <w:szCs w:val="22"/>
                <w:highlight w:val="none"/>
              </w:rPr>
            </w:pPr>
          </w:p>
        </w:tc>
        <w:tc>
          <w:tcPr>
            <w:tcW w:w="1580" w:type="dxa"/>
            <w:vAlign w:val="center"/>
          </w:tcPr>
          <w:p w14:paraId="2D9205D7">
            <w:pPr>
              <w:jc w:val="center"/>
              <w:rPr>
                <w:rFonts w:ascii="宋体" w:hAnsi="宋体" w:cs="宋体"/>
                <w:color w:val="auto"/>
                <w:sz w:val="22"/>
                <w:szCs w:val="22"/>
                <w:highlight w:val="none"/>
              </w:rPr>
            </w:pPr>
          </w:p>
        </w:tc>
      </w:tr>
    </w:tbl>
    <w:p w14:paraId="762B84D0">
      <w:pPr>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注：如有偏离，必须在偏离表中进行详细对比说明并注明正偏离和负偏离，如不说明偏离情况，视为完全响应采购文件要求无偏离</w:t>
      </w:r>
      <w:r>
        <w:rPr>
          <w:rFonts w:hint="eastAsia" w:ascii="宋体" w:hAnsi="宋体" w:cs="宋体"/>
          <w:b/>
          <w:bCs/>
          <w:color w:val="auto"/>
          <w:sz w:val="22"/>
          <w:szCs w:val="22"/>
          <w:highlight w:val="none"/>
          <w:lang w:eastAsia="zh-CN"/>
        </w:rPr>
        <w:t>。</w:t>
      </w:r>
    </w:p>
    <w:p w14:paraId="62921938">
      <w:pPr>
        <w:spacing w:line="360" w:lineRule="auto"/>
        <w:jc w:val="left"/>
        <w:rPr>
          <w:rFonts w:hint="eastAsia" w:ascii="宋体" w:hAnsi="宋体" w:cs="宋体"/>
          <w:color w:val="auto"/>
          <w:sz w:val="22"/>
          <w:szCs w:val="22"/>
          <w:highlight w:val="none"/>
        </w:rPr>
      </w:pPr>
      <w:bookmarkStart w:id="42" w:name="_Toc415152386"/>
    </w:p>
    <w:p w14:paraId="70A0859F">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75E3CBBB">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6DD2C16F">
      <w:pPr>
        <w:spacing w:line="360" w:lineRule="auto"/>
        <w:jc w:val="left"/>
        <w:rPr>
          <w:rFonts w:ascii="宋体" w:hAnsi="宋体" w:cs="宋体"/>
          <w:b/>
          <w:color w:val="auto"/>
          <w:sz w:val="24"/>
          <w:highlight w:val="none"/>
        </w:rPr>
      </w:pPr>
      <w:r>
        <w:rPr>
          <w:rFonts w:hint="eastAsia" w:ascii="宋体" w:hAnsi="宋体" w:cs="宋体"/>
          <w:color w:val="auto"/>
          <w:sz w:val="22"/>
          <w:szCs w:val="22"/>
          <w:highlight w:val="none"/>
        </w:rPr>
        <w:t>日期：</w:t>
      </w:r>
      <w:r>
        <w:rPr>
          <w:rFonts w:hint="eastAsia" w:ascii="宋体" w:hAnsi="宋体" w:cs="宋体"/>
          <w:b/>
          <w:color w:val="auto"/>
          <w:sz w:val="24"/>
          <w:highlight w:val="none"/>
        </w:rPr>
        <w:br w:type="page"/>
      </w:r>
    </w:p>
    <w:p w14:paraId="6FDC0612">
      <w:pPr>
        <w:spacing w:line="400" w:lineRule="exact"/>
        <w:jc w:val="center"/>
        <w:outlineLvl w:val="3"/>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zh-CN"/>
        </w:rPr>
        <w:t>投标人综合情况</w:t>
      </w:r>
    </w:p>
    <w:p w14:paraId="772D64C3">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113136F5">
      <w:pPr>
        <w:keepNext/>
        <w:spacing w:line="360" w:lineRule="auto"/>
        <w:rPr>
          <w:rFonts w:hint="eastAsia" w:ascii="新宋体" w:hAnsi="新宋体" w:eastAsia="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030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7B1E8397">
            <w:pPr>
              <w:spacing w:line="360" w:lineRule="auto"/>
              <w:rPr>
                <w:rFonts w:ascii="宋体" w:hAnsi="宋体" w:cs="宋体"/>
                <w:color w:val="auto"/>
                <w:sz w:val="22"/>
                <w:szCs w:val="22"/>
                <w:highlight w:val="none"/>
              </w:rPr>
            </w:pPr>
          </w:p>
        </w:tc>
      </w:tr>
    </w:tbl>
    <w:p w14:paraId="330249C1">
      <w:pPr>
        <w:pStyle w:val="31"/>
        <w:spacing w:line="400" w:lineRule="atLeast"/>
        <w:rPr>
          <w:rFonts w:ascii="新宋体" w:hAnsi="新宋体" w:eastAsia="新宋体"/>
          <w:color w:val="auto"/>
          <w:sz w:val="22"/>
          <w:szCs w:val="22"/>
          <w:highlight w:val="none"/>
        </w:rPr>
      </w:pPr>
    </w:p>
    <w:p w14:paraId="26B945EC">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9D91632">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57C0741">
      <w:pPr>
        <w:rPr>
          <w:rFonts w:hint="eastAsia" w:ascii="宋体" w:hAnsi="宋体" w:eastAsia="宋体" w:cs="宋体"/>
          <w:b/>
          <w:bCs/>
          <w:color w:val="auto"/>
          <w:sz w:val="28"/>
          <w:szCs w:val="28"/>
          <w:highlight w:val="none"/>
          <w:lang w:val="en-US" w:eastAsia="zh-CN"/>
        </w:rPr>
      </w:pPr>
      <w:r>
        <w:rPr>
          <w:rFonts w:hint="eastAsia" w:ascii="宋体" w:hAnsi="宋体" w:cs="宋体"/>
          <w:color w:val="auto"/>
          <w:sz w:val="22"/>
          <w:szCs w:val="22"/>
          <w:highlight w:val="none"/>
        </w:rPr>
        <w:t>日期：</w:t>
      </w:r>
    </w:p>
    <w:p w14:paraId="71D49BE6">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757B1F62">
      <w:pPr>
        <w:spacing w:line="400" w:lineRule="exact"/>
        <w:jc w:val="center"/>
        <w:outlineLvl w:val="3"/>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zh-CN"/>
        </w:rPr>
        <w:t>技术指标响应</w:t>
      </w:r>
    </w:p>
    <w:p w14:paraId="0AEF957A">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4262212F">
      <w:pPr>
        <w:keepNext/>
        <w:spacing w:line="360" w:lineRule="auto"/>
        <w:rPr>
          <w:rFonts w:hint="eastAsia"/>
          <w:color w:val="auto"/>
          <w:highlight w:val="none"/>
          <w:lang w:val="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126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4C797F31">
            <w:pPr>
              <w:spacing w:line="360" w:lineRule="auto"/>
              <w:rPr>
                <w:rFonts w:ascii="宋体" w:hAnsi="宋体" w:cs="宋体"/>
                <w:color w:val="auto"/>
                <w:sz w:val="22"/>
                <w:szCs w:val="22"/>
                <w:highlight w:val="none"/>
              </w:rPr>
            </w:pPr>
          </w:p>
        </w:tc>
      </w:tr>
    </w:tbl>
    <w:p w14:paraId="33C46376">
      <w:pPr>
        <w:spacing w:line="360" w:lineRule="auto"/>
        <w:jc w:val="left"/>
        <w:rPr>
          <w:rFonts w:hint="eastAsia" w:ascii="宋体" w:hAnsi="宋体" w:cs="宋体"/>
          <w:color w:val="auto"/>
          <w:sz w:val="22"/>
          <w:szCs w:val="22"/>
          <w:highlight w:val="none"/>
        </w:rPr>
      </w:pPr>
    </w:p>
    <w:p w14:paraId="3A19A5B1">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300F704B">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E603941">
      <w:pPr>
        <w:rPr>
          <w:rFonts w:hint="eastAsia" w:ascii="宋体" w:hAnsi="宋体" w:eastAsia="宋体" w:cs="宋体"/>
          <w:b/>
          <w:bCs/>
          <w:color w:val="auto"/>
          <w:sz w:val="28"/>
          <w:szCs w:val="28"/>
          <w:highlight w:val="none"/>
          <w:lang w:val="en-US" w:eastAsia="zh-CN"/>
        </w:rPr>
      </w:pPr>
      <w:r>
        <w:rPr>
          <w:rFonts w:hint="eastAsia" w:ascii="宋体" w:hAnsi="宋体" w:cs="宋体"/>
          <w:color w:val="auto"/>
          <w:sz w:val="22"/>
          <w:szCs w:val="22"/>
          <w:highlight w:val="none"/>
        </w:rPr>
        <w:t>日期：</w:t>
      </w:r>
    </w:p>
    <w:p w14:paraId="0A2E92A2">
      <w:pPr>
        <w:rPr>
          <w:rFonts w:hint="eastAsia" w:ascii="宋体" w:hAnsi="宋体" w:cs="宋体"/>
          <w:b/>
          <w:bCs/>
          <w:color w:val="auto"/>
          <w:sz w:val="28"/>
          <w:szCs w:val="28"/>
          <w:highlight w:val="none"/>
          <w:lang w:val="en-US" w:eastAsia="zh-CN"/>
        </w:rPr>
      </w:pPr>
    </w:p>
    <w:p w14:paraId="7EAA0689">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312691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、总体建设方案</w:t>
      </w:r>
    </w:p>
    <w:p w14:paraId="49090247">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5CB3F380">
      <w:pPr>
        <w:spacing w:line="360" w:lineRule="auto"/>
        <w:rPr>
          <w:rFonts w:hint="eastAsia" w:ascii="宋体" w:hAnsi="宋体" w:cs="宋体"/>
          <w:b w:val="0"/>
          <w:bCs w:val="0"/>
          <w:color w:val="auto"/>
          <w:sz w:val="22"/>
          <w:szCs w:val="18"/>
          <w:highlight w:val="none"/>
          <w:lang w:val="en-US"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1755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7BF0178F">
            <w:pPr>
              <w:spacing w:line="360" w:lineRule="auto"/>
              <w:rPr>
                <w:rFonts w:ascii="宋体" w:hAnsi="宋体" w:cs="宋体"/>
                <w:color w:val="auto"/>
                <w:sz w:val="22"/>
                <w:szCs w:val="22"/>
                <w:highlight w:val="none"/>
              </w:rPr>
            </w:pPr>
          </w:p>
        </w:tc>
      </w:tr>
    </w:tbl>
    <w:p w14:paraId="3B177876">
      <w:pPr>
        <w:pStyle w:val="31"/>
        <w:spacing w:line="400" w:lineRule="atLeast"/>
        <w:rPr>
          <w:rFonts w:ascii="新宋体" w:hAnsi="新宋体" w:eastAsia="新宋体"/>
          <w:color w:val="auto"/>
          <w:sz w:val="22"/>
          <w:szCs w:val="22"/>
          <w:highlight w:val="none"/>
        </w:rPr>
      </w:pPr>
    </w:p>
    <w:p w14:paraId="4A8B6FC3">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4137564">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42DC5ACD">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17090C52">
      <w:pPr>
        <w:spacing w:line="460" w:lineRule="exact"/>
        <w:ind w:firstLine="5060" w:firstLineChars="2300"/>
        <w:rPr>
          <w:rFonts w:ascii="新宋体" w:hAnsi="新宋体" w:eastAsia="新宋体"/>
          <w:color w:val="auto"/>
          <w:sz w:val="22"/>
          <w:szCs w:val="22"/>
          <w:highlight w:val="none"/>
        </w:rPr>
      </w:pPr>
    </w:p>
    <w:p w14:paraId="09571D5C">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220D305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val="zh-CN" w:eastAsia="zh-CN"/>
        </w:rPr>
        <w:t>、实施部署方案</w:t>
      </w:r>
    </w:p>
    <w:p w14:paraId="77566C4B">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768E2775">
      <w:pPr>
        <w:keepNext/>
        <w:spacing w:line="360" w:lineRule="auto"/>
        <w:rPr>
          <w:rFonts w:hint="eastAsia" w:ascii="新宋体" w:hAnsi="新宋体" w:eastAsia="宋体" w:cs="新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0A73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1DB05D9F">
            <w:pPr>
              <w:spacing w:line="360" w:lineRule="auto"/>
              <w:rPr>
                <w:rFonts w:ascii="宋体" w:hAnsi="宋体" w:cs="宋体"/>
                <w:color w:val="auto"/>
                <w:sz w:val="22"/>
                <w:szCs w:val="22"/>
                <w:highlight w:val="none"/>
              </w:rPr>
            </w:pPr>
          </w:p>
        </w:tc>
      </w:tr>
    </w:tbl>
    <w:p w14:paraId="0C2131D0">
      <w:pPr>
        <w:spacing w:line="400" w:lineRule="exact"/>
        <w:ind w:firstLine="4620" w:firstLineChars="2100"/>
        <w:rPr>
          <w:rFonts w:ascii="新宋体" w:hAnsi="新宋体" w:eastAsia="新宋体" w:cs="新宋体"/>
          <w:color w:val="auto"/>
          <w:sz w:val="22"/>
          <w:szCs w:val="22"/>
          <w:highlight w:val="none"/>
        </w:rPr>
      </w:pPr>
    </w:p>
    <w:p w14:paraId="51264221">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525C6ED">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63224612">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6E9717C9">
      <w:pPr>
        <w:rPr>
          <w:rFonts w:hint="eastAsia" w:ascii="宋体" w:hAnsi="宋体" w:cs="宋体"/>
          <w:b/>
          <w:bCs/>
          <w:color w:val="auto"/>
          <w:sz w:val="28"/>
          <w:szCs w:val="28"/>
          <w:highlight w:val="none"/>
          <w:lang w:val="en-US" w:eastAsia="zh-CN"/>
        </w:rPr>
      </w:pPr>
    </w:p>
    <w:p w14:paraId="6A941226">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5EC7E59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lang w:val="zh-CN" w:eastAsia="zh-CN"/>
        </w:rPr>
        <w:t>、项目团队</w:t>
      </w:r>
    </w:p>
    <w:p w14:paraId="3A7B3913">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5AA0CF93">
      <w:pPr>
        <w:keepNext/>
        <w:spacing w:line="360" w:lineRule="auto"/>
        <w:rPr>
          <w:rFonts w:hint="eastAsia" w:ascii="新宋体" w:hAnsi="新宋体" w:eastAsia="宋体" w:cs="新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26A4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17ED8377">
            <w:pPr>
              <w:spacing w:line="360" w:lineRule="auto"/>
              <w:rPr>
                <w:rFonts w:ascii="宋体" w:hAnsi="宋体" w:cs="宋体"/>
                <w:color w:val="auto"/>
                <w:sz w:val="22"/>
                <w:szCs w:val="22"/>
                <w:highlight w:val="none"/>
              </w:rPr>
            </w:pPr>
          </w:p>
        </w:tc>
      </w:tr>
    </w:tbl>
    <w:p w14:paraId="7DB7C978">
      <w:pPr>
        <w:spacing w:line="400" w:lineRule="exact"/>
        <w:ind w:firstLine="4620" w:firstLineChars="2100"/>
        <w:rPr>
          <w:rFonts w:ascii="新宋体" w:hAnsi="新宋体" w:eastAsia="新宋体" w:cs="新宋体"/>
          <w:color w:val="auto"/>
          <w:sz w:val="22"/>
          <w:szCs w:val="22"/>
          <w:highlight w:val="none"/>
        </w:rPr>
      </w:pPr>
    </w:p>
    <w:p w14:paraId="7D9D12EE">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8ED50F7">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4065C71">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14176131">
      <w:pPr>
        <w:rPr>
          <w:rFonts w:hint="eastAsia" w:ascii="宋体" w:hAnsi="宋体" w:cs="宋体"/>
          <w:b/>
          <w:bCs/>
          <w:color w:val="auto"/>
          <w:sz w:val="28"/>
          <w:szCs w:val="28"/>
          <w:highlight w:val="none"/>
          <w:lang w:val="en-US" w:eastAsia="zh-CN"/>
        </w:rPr>
      </w:pPr>
    </w:p>
    <w:p w14:paraId="255A4D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与院内PACS/RIS系统对接</w:t>
      </w:r>
    </w:p>
    <w:p w14:paraId="7C89B45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4BE1DA8F">
      <w:pPr>
        <w:keepNext/>
        <w:spacing w:line="360" w:lineRule="auto"/>
        <w:rPr>
          <w:rFonts w:hint="eastAsia" w:ascii="新宋体" w:hAnsi="新宋体" w:eastAsia="宋体" w:cs="新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2F38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79654AEA">
            <w:pPr>
              <w:spacing w:line="360" w:lineRule="auto"/>
              <w:rPr>
                <w:rFonts w:ascii="宋体" w:hAnsi="宋体" w:cs="宋体"/>
                <w:color w:val="auto"/>
                <w:sz w:val="22"/>
                <w:szCs w:val="22"/>
                <w:highlight w:val="none"/>
              </w:rPr>
            </w:pPr>
          </w:p>
        </w:tc>
      </w:tr>
    </w:tbl>
    <w:p w14:paraId="7E7C8436">
      <w:pPr>
        <w:spacing w:line="400" w:lineRule="exact"/>
        <w:ind w:firstLine="4620" w:firstLineChars="2100"/>
        <w:rPr>
          <w:rFonts w:ascii="新宋体" w:hAnsi="新宋体" w:eastAsia="新宋体" w:cs="新宋体"/>
          <w:color w:val="auto"/>
          <w:sz w:val="22"/>
          <w:szCs w:val="22"/>
          <w:highlight w:val="none"/>
        </w:rPr>
      </w:pPr>
    </w:p>
    <w:p w14:paraId="321B3A54">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27E5AB5">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331E67DA">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008F0A3F">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35A8F320">
      <w:pPr>
        <w:spacing w:line="360" w:lineRule="auto"/>
        <w:ind w:firstLine="689" w:firstLineChars="245"/>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、培训及售后服务</w:t>
      </w:r>
    </w:p>
    <w:p w14:paraId="7F24A361">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2DD13A96">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38DD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612595CF">
            <w:pPr>
              <w:spacing w:line="360" w:lineRule="auto"/>
              <w:rPr>
                <w:rFonts w:ascii="宋体" w:hAnsi="宋体" w:cs="宋体"/>
                <w:color w:val="auto"/>
                <w:sz w:val="22"/>
                <w:szCs w:val="22"/>
                <w:highlight w:val="none"/>
              </w:rPr>
            </w:pPr>
          </w:p>
        </w:tc>
      </w:tr>
    </w:tbl>
    <w:p w14:paraId="75EBC095">
      <w:pPr>
        <w:pStyle w:val="31"/>
        <w:spacing w:line="400" w:lineRule="atLeast"/>
        <w:rPr>
          <w:rFonts w:hAnsi="宋体" w:cs="宋体"/>
          <w:color w:val="auto"/>
          <w:sz w:val="22"/>
          <w:szCs w:val="22"/>
          <w:highlight w:val="none"/>
        </w:rPr>
      </w:pPr>
    </w:p>
    <w:p w14:paraId="06F9179C">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C7409A8">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7BDC0824">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66474FAF">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778808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信息技术应用创新能力</w:t>
      </w:r>
    </w:p>
    <w:p w14:paraId="1A5A3D00">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3671734D">
      <w:pPr>
        <w:keepNext/>
        <w:spacing w:line="360" w:lineRule="auto"/>
        <w:rPr>
          <w:rFonts w:hint="eastAsia" w:ascii="新宋体" w:hAnsi="新宋体" w:eastAsia="宋体" w:cs="新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042C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3516E090">
            <w:pPr>
              <w:spacing w:line="360" w:lineRule="auto"/>
              <w:rPr>
                <w:rFonts w:ascii="宋体" w:hAnsi="宋体" w:cs="宋体"/>
                <w:color w:val="auto"/>
                <w:sz w:val="22"/>
                <w:szCs w:val="22"/>
                <w:highlight w:val="none"/>
              </w:rPr>
            </w:pPr>
          </w:p>
        </w:tc>
      </w:tr>
    </w:tbl>
    <w:p w14:paraId="1C05D11E">
      <w:pPr>
        <w:spacing w:line="400" w:lineRule="exact"/>
        <w:ind w:firstLine="4620" w:firstLineChars="2100"/>
        <w:rPr>
          <w:rFonts w:ascii="新宋体" w:hAnsi="新宋体" w:eastAsia="新宋体" w:cs="新宋体"/>
          <w:color w:val="auto"/>
          <w:sz w:val="22"/>
          <w:szCs w:val="22"/>
          <w:highlight w:val="none"/>
        </w:rPr>
      </w:pPr>
    </w:p>
    <w:p w14:paraId="5904DD1A">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4DCF2DA">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793CE62">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6C909EDF">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4FF21536">
      <w:pPr>
        <w:spacing w:line="360" w:lineRule="auto"/>
        <w:ind w:firstLine="689" w:firstLineChars="245"/>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rPr>
        <w:t>、业绩情况</w:t>
      </w:r>
    </w:p>
    <w:p w14:paraId="422F8E55">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WZLCZB（W）-2026-02024</w:t>
      </w:r>
    </w:p>
    <w:p w14:paraId="58CBAEFD">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医技检查预约平台项目</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5A3B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FF68406">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069" w:type="dxa"/>
            <w:noWrap w:val="0"/>
            <w:vAlign w:val="center"/>
          </w:tcPr>
          <w:p w14:paraId="60A5FD44">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用户名称</w:t>
            </w:r>
          </w:p>
        </w:tc>
        <w:tc>
          <w:tcPr>
            <w:tcW w:w="2437" w:type="dxa"/>
            <w:noWrap w:val="0"/>
            <w:vAlign w:val="center"/>
          </w:tcPr>
          <w:p w14:paraId="0195F9C9">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1737" w:type="dxa"/>
            <w:noWrap w:val="0"/>
            <w:vAlign w:val="center"/>
          </w:tcPr>
          <w:p w14:paraId="1190699C">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合同金额</w:t>
            </w:r>
          </w:p>
        </w:tc>
        <w:tc>
          <w:tcPr>
            <w:tcW w:w="1737" w:type="dxa"/>
            <w:noWrap w:val="0"/>
            <w:vAlign w:val="center"/>
          </w:tcPr>
          <w:p w14:paraId="361EA305">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联系方式</w:t>
            </w:r>
          </w:p>
        </w:tc>
        <w:tc>
          <w:tcPr>
            <w:tcW w:w="926" w:type="dxa"/>
            <w:noWrap w:val="0"/>
            <w:vAlign w:val="center"/>
          </w:tcPr>
          <w:p w14:paraId="37BE23E7">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0971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7CDC41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1A51A27">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8720B80">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8ECE6E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BA73F9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6B3573F4">
            <w:pPr>
              <w:spacing w:line="380" w:lineRule="exact"/>
              <w:ind w:left="442" w:hanging="442" w:hangingChars="200"/>
              <w:jc w:val="center"/>
              <w:rPr>
                <w:rFonts w:hint="eastAsia" w:ascii="宋体" w:hAnsi="宋体" w:eastAsia="宋体" w:cs="宋体"/>
                <w:b/>
                <w:bCs/>
                <w:color w:val="auto"/>
                <w:sz w:val="22"/>
                <w:szCs w:val="22"/>
                <w:highlight w:val="none"/>
              </w:rPr>
            </w:pPr>
          </w:p>
        </w:tc>
      </w:tr>
      <w:tr w14:paraId="5A68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A2F14A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07D7FD48">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7B71C05E">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42B4B8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5E68694">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E47567A">
            <w:pPr>
              <w:spacing w:line="380" w:lineRule="exact"/>
              <w:ind w:left="442" w:hanging="442" w:hangingChars="200"/>
              <w:jc w:val="center"/>
              <w:rPr>
                <w:rFonts w:hint="eastAsia" w:ascii="宋体" w:hAnsi="宋体" w:eastAsia="宋体" w:cs="宋体"/>
                <w:b/>
                <w:bCs/>
                <w:color w:val="auto"/>
                <w:sz w:val="22"/>
                <w:szCs w:val="22"/>
                <w:highlight w:val="none"/>
              </w:rPr>
            </w:pPr>
          </w:p>
        </w:tc>
      </w:tr>
      <w:tr w14:paraId="5DE2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2083528">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238BCC7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4C073EC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D1C2F5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6F15BB9">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09057FE">
            <w:pPr>
              <w:spacing w:line="380" w:lineRule="exact"/>
              <w:ind w:left="442" w:hanging="442" w:hangingChars="200"/>
              <w:jc w:val="center"/>
              <w:rPr>
                <w:rFonts w:hint="eastAsia" w:ascii="宋体" w:hAnsi="宋体" w:eastAsia="宋体" w:cs="宋体"/>
                <w:b/>
                <w:bCs/>
                <w:color w:val="auto"/>
                <w:sz w:val="22"/>
                <w:szCs w:val="22"/>
                <w:highlight w:val="none"/>
              </w:rPr>
            </w:pPr>
          </w:p>
        </w:tc>
      </w:tr>
      <w:tr w14:paraId="77B8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AB954A8">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EA18D0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3152CA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D2E6CA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829D2E0">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E2056B0">
            <w:pPr>
              <w:spacing w:line="380" w:lineRule="exact"/>
              <w:ind w:left="442" w:hanging="442" w:hangingChars="200"/>
              <w:jc w:val="center"/>
              <w:rPr>
                <w:rFonts w:hint="eastAsia" w:ascii="宋体" w:hAnsi="宋体" w:eastAsia="宋体" w:cs="宋体"/>
                <w:b/>
                <w:bCs/>
                <w:color w:val="auto"/>
                <w:sz w:val="22"/>
                <w:szCs w:val="22"/>
                <w:highlight w:val="none"/>
              </w:rPr>
            </w:pPr>
          </w:p>
        </w:tc>
      </w:tr>
      <w:tr w14:paraId="55B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A998053">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3D081CF">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98B9ED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55BE00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6A46317">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F61F0B5">
            <w:pPr>
              <w:spacing w:line="380" w:lineRule="exact"/>
              <w:ind w:left="442" w:hanging="442" w:hangingChars="200"/>
              <w:jc w:val="center"/>
              <w:rPr>
                <w:rFonts w:hint="eastAsia" w:ascii="宋体" w:hAnsi="宋体" w:eastAsia="宋体" w:cs="宋体"/>
                <w:b/>
                <w:bCs/>
                <w:color w:val="auto"/>
                <w:sz w:val="22"/>
                <w:szCs w:val="22"/>
                <w:highlight w:val="none"/>
              </w:rPr>
            </w:pPr>
          </w:p>
        </w:tc>
      </w:tr>
      <w:tr w14:paraId="037B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F8FBB7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3C2D423">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3FD2E94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AF1BC5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49F1700">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EB8C789">
            <w:pPr>
              <w:spacing w:line="380" w:lineRule="exact"/>
              <w:ind w:left="442" w:hanging="442" w:hangingChars="200"/>
              <w:jc w:val="center"/>
              <w:rPr>
                <w:rFonts w:hint="eastAsia" w:ascii="宋体" w:hAnsi="宋体" w:eastAsia="宋体" w:cs="宋体"/>
                <w:b/>
                <w:bCs/>
                <w:color w:val="auto"/>
                <w:sz w:val="22"/>
                <w:szCs w:val="22"/>
                <w:highlight w:val="none"/>
              </w:rPr>
            </w:pPr>
          </w:p>
        </w:tc>
      </w:tr>
      <w:tr w14:paraId="446E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707772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F1648F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C7E192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611022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B8ABCA1">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EC64D07">
            <w:pPr>
              <w:spacing w:line="380" w:lineRule="exact"/>
              <w:ind w:left="442" w:hanging="442" w:hangingChars="200"/>
              <w:jc w:val="center"/>
              <w:rPr>
                <w:rFonts w:hint="eastAsia" w:ascii="宋体" w:hAnsi="宋体" w:eastAsia="宋体" w:cs="宋体"/>
                <w:b/>
                <w:bCs/>
                <w:color w:val="auto"/>
                <w:sz w:val="22"/>
                <w:szCs w:val="22"/>
                <w:highlight w:val="none"/>
              </w:rPr>
            </w:pPr>
          </w:p>
        </w:tc>
      </w:tr>
      <w:tr w14:paraId="3378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064B981">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B82B10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7D19DE57">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1B6842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259D205">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28D3D700">
            <w:pPr>
              <w:spacing w:line="380" w:lineRule="exact"/>
              <w:ind w:left="442" w:hanging="442" w:hangingChars="200"/>
              <w:jc w:val="center"/>
              <w:rPr>
                <w:rFonts w:hint="eastAsia" w:ascii="宋体" w:hAnsi="宋体" w:eastAsia="宋体" w:cs="宋体"/>
                <w:b/>
                <w:bCs/>
                <w:color w:val="auto"/>
                <w:sz w:val="22"/>
                <w:szCs w:val="22"/>
                <w:highlight w:val="none"/>
              </w:rPr>
            </w:pPr>
          </w:p>
        </w:tc>
      </w:tr>
      <w:tr w14:paraId="4ACB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7B3DB70">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F8AC00F">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3CA0564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A79D87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27CD1D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084F85D">
            <w:pPr>
              <w:spacing w:line="380" w:lineRule="exact"/>
              <w:ind w:left="442" w:hanging="442" w:hangingChars="200"/>
              <w:jc w:val="center"/>
              <w:rPr>
                <w:rFonts w:hint="eastAsia" w:ascii="宋体" w:hAnsi="宋体" w:eastAsia="宋体" w:cs="宋体"/>
                <w:b/>
                <w:bCs/>
                <w:color w:val="auto"/>
                <w:sz w:val="22"/>
                <w:szCs w:val="22"/>
                <w:highlight w:val="none"/>
              </w:rPr>
            </w:pPr>
          </w:p>
        </w:tc>
      </w:tr>
      <w:tr w14:paraId="353F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459F086">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D2319E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1E2D862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927D76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9061FB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B16A182">
            <w:pPr>
              <w:spacing w:line="380" w:lineRule="exact"/>
              <w:ind w:left="442" w:hanging="442" w:hangingChars="200"/>
              <w:jc w:val="center"/>
              <w:rPr>
                <w:rFonts w:hint="eastAsia" w:ascii="宋体" w:hAnsi="宋体" w:eastAsia="宋体" w:cs="宋体"/>
                <w:b/>
                <w:bCs/>
                <w:color w:val="auto"/>
                <w:sz w:val="22"/>
                <w:szCs w:val="22"/>
                <w:highlight w:val="none"/>
              </w:rPr>
            </w:pPr>
          </w:p>
        </w:tc>
      </w:tr>
      <w:tr w14:paraId="145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28B0D2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B1AAE37">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79405619">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53F109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D0FC319">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1368B1AD">
            <w:pPr>
              <w:spacing w:line="380" w:lineRule="exact"/>
              <w:ind w:left="442" w:hanging="442" w:hangingChars="200"/>
              <w:jc w:val="center"/>
              <w:rPr>
                <w:rFonts w:hint="eastAsia" w:ascii="宋体" w:hAnsi="宋体" w:eastAsia="宋体" w:cs="宋体"/>
                <w:b/>
                <w:bCs/>
                <w:color w:val="auto"/>
                <w:sz w:val="22"/>
                <w:szCs w:val="22"/>
                <w:highlight w:val="none"/>
              </w:rPr>
            </w:pPr>
          </w:p>
        </w:tc>
      </w:tr>
      <w:tr w14:paraId="64D7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560707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17ECFAA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4BA2ED9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68EE9E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C74D132">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57AB65A9">
            <w:pPr>
              <w:spacing w:line="380" w:lineRule="exact"/>
              <w:ind w:left="442" w:hanging="442" w:hangingChars="200"/>
              <w:jc w:val="center"/>
              <w:rPr>
                <w:rFonts w:hint="eastAsia" w:ascii="宋体" w:hAnsi="宋体" w:eastAsia="宋体" w:cs="宋体"/>
                <w:b/>
                <w:bCs/>
                <w:color w:val="auto"/>
                <w:sz w:val="22"/>
                <w:szCs w:val="22"/>
                <w:highlight w:val="none"/>
              </w:rPr>
            </w:pPr>
          </w:p>
        </w:tc>
      </w:tr>
      <w:tr w14:paraId="1027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F317FD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0F4797B2">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7C70B37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B937A49">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BD4DD5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1980073B">
            <w:pPr>
              <w:spacing w:line="380" w:lineRule="exact"/>
              <w:ind w:left="442" w:hanging="442" w:hangingChars="200"/>
              <w:jc w:val="center"/>
              <w:rPr>
                <w:rFonts w:hint="eastAsia" w:ascii="宋体" w:hAnsi="宋体" w:eastAsia="宋体" w:cs="宋体"/>
                <w:b/>
                <w:bCs/>
                <w:color w:val="auto"/>
                <w:sz w:val="22"/>
                <w:szCs w:val="22"/>
                <w:highlight w:val="none"/>
              </w:rPr>
            </w:pPr>
          </w:p>
        </w:tc>
      </w:tr>
      <w:tr w14:paraId="4B7C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7C4342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4D5725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42AD100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A684E5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C30FC4A">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50B6FCC">
            <w:pPr>
              <w:spacing w:line="380" w:lineRule="exact"/>
              <w:ind w:left="442" w:hanging="442" w:hangingChars="200"/>
              <w:jc w:val="center"/>
              <w:rPr>
                <w:rFonts w:hint="eastAsia" w:ascii="宋体" w:hAnsi="宋体" w:eastAsia="宋体" w:cs="宋体"/>
                <w:b/>
                <w:bCs/>
                <w:color w:val="auto"/>
                <w:sz w:val="22"/>
                <w:szCs w:val="22"/>
                <w:highlight w:val="none"/>
              </w:rPr>
            </w:pPr>
          </w:p>
        </w:tc>
      </w:tr>
    </w:tbl>
    <w:p w14:paraId="01F8A703">
      <w:pPr>
        <w:pStyle w:val="31"/>
        <w:spacing w:line="400" w:lineRule="atLeast"/>
        <w:rPr>
          <w:rFonts w:hAnsi="宋体" w:cs="宋体"/>
          <w:color w:val="auto"/>
          <w:sz w:val="22"/>
          <w:szCs w:val="22"/>
          <w:highlight w:val="none"/>
        </w:rPr>
      </w:pPr>
    </w:p>
    <w:p w14:paraId="7CD5117C">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2C698A55">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3EF373F">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42EDCC0C">
      <w:pPr>
        <w:pStyle w:val="206"/>
        <w:rPr>
          <w:color w:val="auto"/>
          <w:highlight w:val="none"/>
        </w:rPr>
      </w:pPr>
    </w:p>
    <w:p w14:paraId="189A6D78">
      <w:pPr>
        <w:pStyle w:val="206"/>
        <w:rPr>
          <w:color w:val="auto"/>
          <w:highlight w:val="none"/>
        </w:rPr>
      </w:pPr>
    </w:p>
    <w:p w14:paraId="49771EE1">
      <w:pPr>
        <w:rPr>
          <w:color w:val="auto"/>
          <w:highlight w:val="none"/>
        </w:rPr>
      </w:pPr>
      <w:r>
        <w:rPr>
          <w:rFonts w:hint="eastAsia" w:ascii="宋体" w:hAnsi="宋体" w:cs="宋体"/>
          <w:b/>
          <w:bCs/>
          <w:color w:val="auto"/>
          <w:sz w:val="28"/>
          <w:szCs w:val="28"/>
          <w:highlight w:val="none"/>
        </w:rPr>
        <w:br w:type="page"/>
      </w:r>
      <w:bookmarkEnd w:id="42"/>
    </w:p>
    <w:p w14:paraId="4721E1EF">
      <w:pPr>
        <w:rPr>
          <w:rFonts w:ascii="宋体" w:hAnsi="宋体" w:cs="宋体"/>
          <w:color w:val="auto"/>
          <w:sz w:val="22"/>
          <w:szCs w:val="22"/>
          <w:highlight w:val="none"/>
        </w:rPr>
      </w:pPr>
    </w:p>
    <w:p w14:paraId="57026BAE">
      <w:pPr>
        <w:pStyle w:val="5"/>
        <w:numPr>
          <w:ilvl w:val="0"/>
          <w:numId w:val="3"/>
        </w:numPr>
        <w:rPr>
          <w:rFonts w:ascii="宋体" w:hAnsi="宋体" w:eastAsia="宋体" w:cs="宋体"/>
          <w:color w:val="auto"/>
          <w:highlight w:val="none"/>
        </w:rPr>
      </w:pPr>
      <w:bookmarkStart w:id="43" w:name="_Toc10142"/>
      <w:bookmarkStart w:id="44" w:name="_Toc3381"/>
      <w:bookmarkStart w:id="45" w:name="_Toc221356958"/>
      <w:bookmarkStart w:id="46" w:name="_Toc221356895"/>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项目技术规范和服务要求</w:t>
      </w:r>
      <w:bookmarkEnd w:id="43"/>
      <w:bookmarkEnd w:id="44"/>
    </w:p>
    <w:bookmarkEnd w:id="45"/>
    <w:bookmarkEnd w:id="46"/>
    <w:p w14:paraId="489DA06B">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ascii="新宋体" w:hAnsi="新宋体" w:eastAsia="新宋体" w:cs="新宋体"/>
          <w:b/>
          <w:bCs/>
          <w:color w:val="auto"/>
          <w:sz w:val="22"/>
          <w:szCs w:val="22"/>
          <w:highlight w:val="none"/>
        </w:rPr>
      </w:pPr>
      <w:bookmarkStart w:id="47" w:name="_Toc30323"/>
      <w:bookmarkStart w:id="48" w:name="_Toc18194"/>
      <w:r>
        <w:rPr>
          <w:rFonts w:hint="eastAsia" w:ascii="新宋体" w:hAnsi="新宋体" w:eastAsia="新宋体" w:cs="新宋体"/>
          <w:b/>
          <w:bCs/>
          <w:color w:val="auto"/>
          <w:sz w:val="22"/>
          <w:szCs w:val="22"/>
          <w:highlight w:val="none"/>
        </w:rPr>
        <w:t>一、项目概述</w:t>
      </w:r>
    </w:p>
    <w:p w14:paraId="566E52C9">
      <w:pPr>
        <w:spacing w:line="460" w:lineRule="exact"/>
        <w:ind w:firstLine="539" w:firstLineChars="245"/>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本次招标采购内容为温州市</w:t>
      </w:r>
      <w:r>
        <w:rPr>
          <w:rFonts w:hint="eastAsia" w:ascii="新宋体" w:hAnsi="新宋体" w:eastAsia="新宋体" w:cs="新宋体"/>
          <w:color w:val="auto"/>
          <w:sz w:val="22"/>
          <w:szCs w:val="22"/>
          <w:highlight w:val="none"/>
          <w:lang w:val="en-US" w:eastAsia="zh-CN"/>
        </w:rPr>
        <w:t>中</w:t>
      </w:r>
      <w:r>
        <w:rPr>
          <w:rFonts w:hint="eastAsia" w:ascii="新宋体" w:hAnsi="新宋体" w:eastAsia="新宋体" w:cs="新宋体"/>
          <w:color w:val="auto"/>
          <w:sz w:val="22"/>
          <w:szCs w:val="22"/>
          <w:highlight w:val="none"/>
        </w:rPr>
        <w:t>医院医技检查智慧预约平台项目，包括集中预约、诊间预约、自助预约、移动预约等多渠道预约及相关医技科室排队叫号、分诊叫号，实现全院医技检查号源的统一管理，合理高效的利用人员、设备等医疗资源，向患者提供智慧服务，使其少跑路、少排队、少抱怨，提升患者的就医体验，提升医院的智慧服务和管理能力及核心竞争力。满足电子病历5级、智慧管理3级、智慧服务3级、互联互通五乙要求</w:t>
      </w:r>
      <w:r>
        <w:rPr>
          <w:rFonts w:hint="eastAsia" w:ascii="新宋体" w:hAnsi="新宋体" w:eastAsia="新宋体" w:cs="新宋体"/>
          <w:color w:val="auto"/>
          <w:sz w:val="22"/>
          <w:szCs w:val="22"/>
          <w:highlight w:val="none"/>
          <w:lang w:eastAsia="zh-CN"/>
        </w:rPr>
        <w:t>。</w:t>
      </w:r>
    </w:p>
    <w:p w14:paraId="7F6AA9A8">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二、项目建设清单</w:t>
      </w:r>
    </w:p>
    <w:tbl>
      <w:tblPr>
        <w:tblStyle w:val="54"/>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690"/>
        <w:gridCol w:w="1894"/>
        <w:gridCol w:w="4385"/>
        <w:gridCol w:w="838"/>
      </w:tblGrid>
      <w:tr w14:paraId="127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shd w:val="clear" w:color="auto" w:fill="auto"/>
            <w:vAlign w:val="center"/>
          </w:tcPr>
          <w:p w14:paraId="11F4C399">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878" w:type="pct"/>
            <w:vAlign w:val="center"/>
          </w:tcPr>
          <w:p w14:paraId="114BB8BE">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项目名称</w:t>
            </w:r>
          </w:p>
        </w:tc>
        <w:tc>
          <w:tcPr>
            <w:tcW w:w="984" w:type="pct"/>
            <w:shd w:val="clear" w:color="auto" w:fill="auto"/>
            <w:vAlign w:val="center"/>
          </w:tcPr>
          <w:p w14:paraId="17883703">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建设内容</w:t>
            </w:r>
          </w:p>
        </w:tc>
        <w:tc>
          <w:tcPr>
            <w:tcW w:w="2278" w:type="pct"/>
            <w:shd w:val="clear" w:color="auto" w:fill="auto"/>
            <w:vAlign w:val="center"/>
          </w:tcPr>
          <w:p w14:paraId="582CAFD7">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主要功能</w:t>
            </w:r>
          </w:p>
        </w:tc>
        <w:tc>
          <w:tcPr>
            <w:tcW w:w="435" w:type="pct"/>
            <w:shd w:val="clear" w:color="auto" w:fill="auto"/>
            <w:vAlign w:val="center"/>
          </w:tcPr>
          <w:p w14:paraId="6A76E79D">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r>
      <w:tr w14:paraId="6999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082292F0">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restart"/>
            <w:vAlign w:val="center"/>
          </w:tcPr>
          <w:p w14:paraId="5E5AB08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医技检查智慧预约平台</w:t>
            </w:r>
          </w:p>
        </w:tc>
        <w:tc>
          <w:tcPr>
            <w:tcW w:w="984" w:type="pct"/>
            <w:shd w:val="clear" w:color="auto" w:fill="auto"/>
            <w:vAlign w:val="center"/>
          </w:tcPr>
          <w:p w14:paraId="0C52A539">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平台服务器软件</w:t>
            </w:r>
          </w:p>
        </w:tc>
        <w:tc>
          <w:tcPr>
            <w:tcW w:w="2278" w:type="pct"/>
            <w:shd w:val="clear" w:color="auto" w:fill="auto"/>
            <w:vAlign w:val="center"/>
          </w:tcPr>
          <w:p w14:paraId="7EBE6D7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医技检查智慧预约平台服务配置管理，包括基础、终端、队列、号源、时段、检查配置</w:t>
            </w:r>
          </w:p>
        </w:tc>
        <w:tc>
          <w:tcPr>
            <w:tcW w:w="435" w:type="pct"/>
            <w:shd w:val="clear" w:color="auto" w:fill="auto"/>
            <w:vAlign w:val="center"/>
          </w:tcPr>
          <w:p w14:paraId="7733EBDD">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2AAC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43210DD8">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4290D75B">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5ADDAFB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集中预约系统</w:t>
            </w:r>
          </w:p>
        </w:tc>
        <w:tc>
          <w:tcPr>
            <w:tcW w:w="2278" w:type="pct"/>
            <w:shd w:val="clear" w:color="auto" w:fill="auto"/>
            <w:vAlign w:val="center"/>
          </w:tcPr>
          <w:p w14:paraId="7237E2C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利用全院统一的检查安排表，提供一站式预约、改约、取消预约等功能，自动合并待预约申请单，并进行配伍禁忌提醒等。针对患者性别、诊断、以往检查等对申请合理性进行自动检查并提示</w:t>
            </w:r>
          </w:p>
        </w:tc>
        <w:tc>
          <w:tcPr>
            <w:tcW w:w="435" w:type="pct"/>
            <w:shd w:val="clear" w:color="auto" w:fill="auto"/>
            <w:vAlign w:val="center"/>
          </w:tcPr>
          <w:p w14:paraId="1C20410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7942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62E81869">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76AB44B9">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56CAFBE5">
            <w:pPr>
              <w:spacing w:line="460" w:lineRule="exact"/>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特检预约系统</w:t>
            </w:r>
          </w:p>
        </w:tc>
        <w:tc>
          <w:tcPr>
            <w:tcW w:w="2278" w:type="pct"/>
            <w:shd w:val="clear" w:color="auto" w:fill="auto"/>
            <w:vAlign w:val="center"/>
          </w:tcPr>
          <w:p w14:paraId="32617511">
            <w:pPr>
              <w:spacing w:line="460" w:lineRule="exact"/>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可实现院内多模态特殊检查项目的登记预约。</w:t>
            </w:r>
          </w:p>
        </w:tc>
        <w:tc>
          <w:tcPr>
            <w:tcW w:w="435" w:type="pct"/>
            <w:shd w:val="clear" w:color="auto" w:fill="auto"/>
            <w:vAlign w:val="center"/>
          </w:tcPr>
          <w:p w14:paraId="2C604553">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5AE9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284017E9">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1AC28F5B">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45AD5939">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诊间预约系统</w:t>
            </w:r>
          </w:p>
        </w:tc>
        <w:tc>
          <w:tcPr>
            <w:tcW w:w="2278" w:type="pct"/>
            <w:shd w:val="clear" w:color="auto" w:fill="auto"/>
            <w:vAlign w:val="center"/>
          </w:tcPr>
          <w:p w14:paraId="615AB68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支持嵌入医生工作站，医生完成开单，调用诊间预约界面，并进行检查预约</w:t>
            </w:r>
          </w:p>
        </w:tc>
        <w:tc>
          <w:tcPr>
            <w:tcW w:w="435" w:type="pct"/>
            <w:shd w:val="clear" w:color="auto" w:fill="auto"/>
            <w:vAlign w:val="center"/>
          </w:tcPr>
          <w:p w14:paraId="1AC04AD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62B8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3F9656A5">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069D1F3A">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08D2F01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自助预约系统</w:t>
            </w:r>
          </w:p>
        </w:tc>
        <w:tc>
          <w:tcPr>
            <w:tcW w:w="2278" w:type="pct"/>
            <w:shd w:val="clear" w:color="auto" w:fill="auto"/>
            <w:vAlign w:val="center"/>
          </w:tcPr>
          <w:p w14:paraId="51AFF720">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基于自助设备展示待预约、已预约项目信息，支持患者在就诊后进行检查预约、改约、取消、打印小票</w:t>
            </w:r>
          </w:p>
        </w:tc>
        <w:tc>
          <w:tcPr>
            <w:tcW w:w="435" w:type="pct"/>
            <w:shd w:val="clear" w:color="auto" w:fill="auto"/>
            <w:vAlign w:val="center"/>
          </w:tcPr>
          <w:p w14:paraId="1ECD83C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7CF9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242A6DD5">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5B317087">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36CDA9D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移动预约系统</w:t>
            </w:r>
          </w:p>
        </w:tc>
        <w:tc>
          <w:tcPr>
            <w:tcW w:w="2278" w:type="pct"/>
            <w:shd w:val="clear" w:color="auto" w:fill="auto"/>
            <w:vAlign w:val="center"/>
          </w:tcPr>
          <w:p w14:paraId="281DEBD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患者在移动端可进行分时段检查预约，且实时查询号源情况及预约结果</w:t>
            </w:r>
          </w:p>
        </w:tc>
        <w:tc>
          <w:tcPr>
            <w:tcW w:w="435" w:type="pct"/>
            <w:shd w:val="clear" w:color="auto" w:fill="auto"/>
            <w:vAlign w:val="center"/>
          </w:tcPr>
          <w:p w14:paraId="3B692FE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26A6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5C7F740A">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06893C42">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3D6E9F85">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自助签到系统</w:t>
            </w:r>
          </w:p>
        </w:tc>
        <w:tc>
          <w:tcPr>
            <w:tcW w:w="2278" w:type="pct"/>
            <w:shd w:val="clear" w:color="auto" w:fill="auto"/>
            <w:vAlign w:val="center"/>
          </w:tcPr>
          <w:p w14:paraId="4F91C1D9">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基于自助机设备患者自助签到完成预约转登记操作。</w:t>
            </w:r>
          </w:p>
        </w:tc>
        <w:tc>
          <w:tcPr>
            <w:tcW w:w="435" w:type="pct"/>
            <w:shd w:val="clear" w:color="auto" w:fill="auto"/>
            <w:vAlign w:val="center"/>
          </w:tcPr>
          <w:p w14:paraId="6235285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70A8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6A1084DE">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689AF2CB">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48B046BE">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自动预约登记系统</w:t>
            </w:r>
          </w:p>
        </w:tc>
        <w:tc>
          <w:tcPr>
            <w:tcW w:w="2278" w:type="pct"/>
            <w:shd w:val="clear" w:color="auto" w:fill="auto"/>
            <w:vAlign w:val="center"/>
          </w:tcPr>
          <w:p w14:paraId="3DDED95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无需预约检查</w:t>
            </w:r>
            <w:r>
              <w:rPr>
                <w:rFonts w:hint="eastAsia" w:ascii="新宋体" w:hAnsi="新宋体" w:eastAsia="新宋体" w:cs="新宋体"/>
                <w:color w:val="auto"/>
                <w:sz w:val="22"/>
                <w:szCs w:val="22"/>
                <w:highlight w:val="none"/>
              </w:rPr>
              <w:t>科室</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患者在开单缴费后，预约后台直接自动完成预约，到科室签到后自动登记，进入排队叫号系统等待呼叫检查</w:t>
            </w:r>
          </w:p>
        </w:tc>
        <w:tc>
          <w:tcPr>
            <w:tcW w:w="435" w:type="pct"/>
            <w:shd w:val="clear" w:color="auto" w:fill="auto"/>
            <w:vAlign w:val="center"/>
          </w:tcPr>
          <w:p w14:paraId="7751A0B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2164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459F203E">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21A260D9">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7EC723A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排队叫号管理软件</w:t>
            </w:r>
          </w:p>
        </w:tc>
        <w:tc>
          <w:tcPr>
            <w:tcW w:w="2278" w:type="pct"/>
            <w:shd w:val="clear" w:color="auto" w:fill="auto"/>
            <w:vAlign w:val="center"/>
          </w:tcPr>
          <w:p w14:paraId="270E68B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放射、超声、内镜及</w:t>
            </w:r>
            <w:r>
              <w:rPr>
                <w:rFonts w:hint="eastAsia" w:ascii="新宋体" w:hAnsi="新宋体" w:eastAsia="新宋体" w:cs="新宋体"/>
                <w:color w:val="auto"/>
                <w:sz w:val="22"/>
                <w:szCs w:val="22"/>
                <w:highlight w:val="none"/>
                <w:lang w:val="en-US" w:eastAsia="zh-CN"/>
              </w:rPr>
              <w:t>心电图</w:t>
            </w:r>
            <w:r>
              <w:rPr>
                <w:rFonts w:hint="eastAsia" w:ascii="新宋体" w:hAnsi="新宋体" w:eastAsia="新宋体" w:cs="新宋体"/>
                <w:color w:val="auto"/>
                <w:sz w:val="22"/>
                <w:szCs w:val="22"/>
                <w:highlight w:val="none"/>
              </w:rPr>
              <w:t>检查专用的检查排队叫号管理软件</w:t>
            </w:r>
          </w:p>
        </w:tc>
        <w:tc>
          <w:tcPr>
            <w:tcW w:w="435" w:type="pct"/>
            <w:shd w:val="clear" w:color="auto" w:fill="auto"/>
            <w:vAlign w:val="center"/>
          </w:tcPr>
          <w:p w14:paraId="69AC0D1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35AB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1A856521">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6E815943">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1EF5CCA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放射二次分诊叫号</w:t>
            </w:r>
          </w:p>
        </w:tc>
        <w:tc>
          <w:tcPr>
            <w:tcW w:w="2278" w:type="pct"/>
            <w:shd w:val="clear" w:color="auto" w:fill="auto"/>
            <w:vAlign w:val="center"/>
          </w:tcPr>
          <w:p w14:paraId="08208D30">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针对增强CT、核磁共振等需要呼叫患者</w:t>
            </w:r>
            <w:r>
              <w:rPr>
                <w:rFonts w:hint="eastAsia" w:ascii="新宋体" w:hAnsi="新宋体" w:eastAsia="新宋体" w:cs="新宋体"/>
                <w:color w:val="auto"/>
                <w:sz w:val="22"/>
                <w:szCs w:val="22"/>
                <w:highlight w:val="none"/>
                <w:lang w:val="en-US" w:eastAsia="zh-CN"/>
              </w:rPr>
              <w:t>提前</w:t>
            </w:r>
            <w:r>
              <w:rPr>
                <w:rFonts w:hint="eastAsia" w:ascii="新宋体" w:hAnsi="新宋体" w:eastAsia="新宋体" w:cs="新宋体"/>
                <w:color w:val="auto"/>
                <w:sz w:val="22"/>
                <w:szCs w:val="22"/>
                <w:highlight w:val="none"/>
              </w:rPr>
              <w:t>准备的检查，患者签到或登记成功后，护士首次呼叫患者</w:t>
            </w:r>
            <w:r>
              <w:rPr>
                <w:rFonts w:hint="eastAsia" w:ascii="新宋体" w:hAnsi="新宋体" w:eastAsia="新宋体" w:cs="新宋体"/>
                <w:color w:val="auto"/>
                <w:sz w:val="22"/>
                <w:szCs w:val="22"/>
                <w:highlight w:val="none"/>
                <w:lang w:val="en-US" w:eastAsia="zh-CN"/>
              </w:rPr>
              <w:t>准备</w:t>
            </w:r>
            <w:r>
              <w:rPr>
                <w:rFonts w:hint="eastAsia" w:ascii="新宋体" w:hAnsi="新宋体" w:eastAsia="新宋体" w:cs="新宋体"/>
                <w:color w:val="auto"/>
                <w:sz w:val="22"/>
                <w:szCs w:val="22"/>
                <w:highlight w:val="none"/>
              </w:rPr>
              <w:t>；医生再次呼叫患者进入机房做检查。</w:t>
            </w:r>
          </w:p>
        </w:tc>
        <w:tc>
          <w:tcPr>
            <w:tcW w:w="435" w:type="pct"/>
            <w:shd w:val="clear" w:color="auto" w:fill="auto"/>
            <w:vAlign w:val="center"/>
          </w:tcPr>
          <w:p w14:paraId="390640E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16B8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49F5984B">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1D91F2C2">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33BAD88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超声二次分诊叫号</w:t>
            </w:r>
          </w:p>
        </w:tc>
        <w:tc>
          <w:tcPr>
            <w:tcW w:w="2278" w:type="pct"/>
            <w:shd w:val="clear" w:color="auto" w:fill="auto"/>
            <w:vAlign w:val="center"/>
          </w:tcPr>
          <w:p w14:paraId="3DBDE969">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超声影像检查科室专用的检查分屏排队叫号管理软件。基于程序，部署在每个检查诊室门口悬挂的诊间小屏上，在大屏叫号的基础上，可以提前呼叫2-3名患者到诊室口等待。减少等待，提高效率，实现患者分时段就诊管理、优化患者就诊流程。</w:t>
            </w:r>
          </w:p>
        </w:tc>
        <w:tc>
          <w:tcPr>
            <w:tcW w:w="435" w:type="pct"/>
            <w:shd w:val="clear" w:color="auto" w:fill="auto"/>
            <w:vAlign w:val="center"/>
          </w:tcPr>
          <w:p w14:paraId="655287D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r w14:paraId="11F4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shd w:val="clear" w:color="auto" w:fill="auto"/>
            <w:vAlign w:val="center"/>
          </w:tcPr>
          <w:p w14:paraId="7EF97FD9">
            <w:pPr>
              <w:numPr>
                <w:ilvl w:val="0"/>
                <w:numId w:val="4"/>
              </w:numPr>
              <w:spacing w:line="460" w:lineRule="exact"/>
              <w:jc w:val="center"/>
              <w:rPr>
                <w:rFonts w:ascii="新宋体" w:hAnsi="新宋体" w:eastAsia="新宋体" w:cs="新宋体"/>
                <w:color w:val="auto"/>
                <w:sz w:val="22"/>
                <w:szCs w:val="22"/>
                <w:highlight w:val="none"/>
              </w:rPr>
            </w:pPr>
          </w:p>
        </w:tc>
        <w:tc>
          <w:tcPr>
            <w:tcW w:w="878" w:type="pct"/>
            <w:vMerge w:val="continue"/>
            <w:vAlign w:val="center"/>
          </w:tcPr>
          <w:p w14:paraId="47B2920D">
            <w:pPr>
              <w:spacing w:line="460" w:lineRule="exact"/>
              <w:jc w:val="center"/>
              <w:rPr>
                <w:rFonts w:ascii="新宋体" w:hAnsi="新宋体" w:eastAsia="新宋体" w:cs="新宋体"/>
                <w:color w:val="auto"/>
                <w:sz w:val="22"/>
                <w:szCs w:val="22"/>
                <w:highlight w:val="none"/>
              </w:rPr>
            </w:pPr>
          </w:p>
        </w:tc>
        <w:tc>
          <w:tcPr>
            <w:tcW w:w="984" w:type="pct"/>
            <w:shd w:val="clear" w:color="auto" w:fill="auto"/>
            <w:vAlign w:val="center"/>
          </w:tcPr>
          <w:p w14:paraId="0E65E0E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接口改造</w:t>
            </w:r>
          </w:p>
        </w:tc>
        <w:tc>
          <w:tcPr>
            <w:tcW w:w="2278" w:type="pct"/>
            <w:shd w:val="clear" w:color="auto" w:fill="auto"/>
            <w:vAlign w:val="center"/>
          </w:tcPr>
          <w:p w14:paraId="68B0E0B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与医院HIS系统、EMR系统、PACS系统、心电系统、自助机、微信公众号、短信平台</w:t>
            </w:r>
            <w:r>
              <w:rPr>
                <w:rFonts w:hint="eastAsia" w:ascii="新宋体" w:hAnsi="新宋体" w:eastAsia="新宋体" w:cs="新宋体"/>
                <w:color w:val="auto"/>
                <w:sz w:val="22"/>
                <w:szCs w:val="22"/>
                <w:highlight w:val="none"/>
                <w:lang w:val="en-US" w:eastAsia="zh-CN"/>
              </w:rPr>
              <w:t>等系统</w:t>
            </w:r>
            <w:r>
              <w:rPr>
                <w:rFonts w:hint="eastAsia" w:ascii="新宋体" w:hAnsi="新宋体" w:eastAsia="新宋体" w:cs="新宋体"/>
                <w:color w:val="auto"/>
                <w:sz w:val="22"/>
                <w:szCs w:val="22"/>
                <w:highlight w:val="none"/>
              </w:rPr>
              <w:t>对接，实现数据互联互通。</w:t>
            </w:r>
          </w:p>
        </w:tc>
        <w:tc>
          <w:tcPr>
            <w:tcW w:w="435" w:type="pct"/>
            <w:shd w:val="clear" w:color="auto" w:fill="auto"/>
            <w:vAlign w:val="center"/>
          </w:tcPr>
          <w:p w14:paraId="7C30E0B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w:t>
            </w:r>
          </w:p>
        </w:tc>
      </w:tr>
    </w:tbl>
    <w:p w14:paraId="073AF743">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三、项目详细技术要求</w:t>
      </w:r>
    </w:p>
    <w:p w14:paraId="4C183515">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3.1平台服务器软件技术要求</w:t>
      </w:r>
    </w:p>
    <w:tbl>
      <w:tblPr>
        <w:tblStyle w:val="55"/>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647"/>
      </w:tblGrid>
      <w:tr w14:paraId="266025BF">
        <w:trPr>
          <w:trHeight w:val="491" w:hRule="atLeast"/>
          <w:jc w:val="center"/>
        </w:trPr>
        <w:tc>
          <w:tcPr>
            <w:tcW w:w="508" w:type="pct"/>
            <w:vAlign w:val="center"/>
          </w:tcPr>
          <w:p w14:paraId="422AA75D">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4491" w:type="pct"/>
            <w:vAlign w:val="center"/>
          </w:tcPr>
          <w:p w14:paraId="43711B72">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技术要求</w:t>
            </w:r>
          </w:p>
        </w:tc>
      </w:tr>
      <w:tr w14:paraId="7FB0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6DF356E2">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7B5C875F">
            <w:pPr>
              <w:spacing w:line="460" w:lineRule="exact"/>
              <w:rPr>
                <w:rFonts w:hint="eastAsia" w:ascii="新宋体" w:hAnsi="新宋体" w:eastAsia="新宋体" w:cs="新宋体"/>
                <w:color w:val="auto"/>
                <w:kern w:val="0"/>
                <w:sz w:val="22"/>
                <w:szCs w:val="22"/>
                <w:highlight w:val="none"/>
                <w:lang w:val="en-US" w:eastAsia="zh-CN" w:bidi="ar-SA"/>
              </w:rPr>
            </w:pPr>
            <w:r>
              <w:rPr>
                <w:rFonts w:hint="eastAsia" w:ascii="宋体" w:hAnsi="宋体" w:eastAsia="宋体" w:cs="宋体"/>
                <w:color w:val="auto"/>
                <w:sz w:val="21"/>
                <w:szCs w:val="21"/>
                <w:highlight w:val="none"/>
              </w:rPr>
              <w:t>★</w:t>
            </w:r>
            <w:r>
              <w:rPr>
                <w:rFonts w:hint="eastAsia" w:ascii="新宋体" w:hAnsi="新宋体" w:eastAsia="新宋体" w:cs="新宋体"/>
                <w:color w:val="auto"/>
                <w:kern w:val="0"/>
                <w:sz w:val="22"/>
                <w:szCs w:val="22"/>
                <w:highlight w:val="none"/>
                <w:lang w:val="en-US" w:eastAsia="zh-CN"/>
              </w:rPr>
              <w:t>支持K8S容器化部署架构（提供承诺函及实际应用部署的截图证明）。</w:t>
            </w:r>
          </w:p>
        </w:tc>
      </w:tr>
      <w:tr w14:paraId="5379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4414A97">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6663E22E">
            <w:pPr>
              <w:spacing w:line="460" w:lineRule="exact"/>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rPr>
              <w:t>支持纯HTML5浏览器应用（提供截图证明）。</w:t>
            </w:r>
          </w:p>
        </w:tc>
      </w:tr>
      <w:tr w14:paraId="7E14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7A57D009">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63985678">
            <w:pPr>
              <w:spacing w:line="460" w:lineRule="exact"/>
              <w:rPr>
                <w:rFonts w:ascii="新宋体" w:hAnsi="新宋体" w:eastAsia="新宋体" w:cs="新宋体"/>
                <w:color w:val="auto"/>
                <w:sz w:val="22"/>
                <w:szCs w:val="22"/>
                <w:highlight w:val="none"/>
              </w:rPr>
            </w:pPr>
            <w:bookmarkStart w:id="49" w:name="_Hlk76558504"/>
            <w:r>
              <w:rPr>
                <w:rFonts w:hint="eastAsia" w:ascii="新宋体" w:hAnsi="新宋体" w:eastAsia="新宋体" w:cs="新宋体"/>
                <w:color w:val="auto"/>
                <w:kern w:val="0"/>
                <w:sz w:val="22"/>
                <w:szCs w:val="22"/>
                <w:highlight w:val="none"/>
                <w:lang w:val="en-US" w:eastAsia="zh-CN"/>
              </w:rPr>
              <w:t>支持多种终端预约，例如自助预约、移动预约、外院预约、前台预约、术前预约等。</w:t>
            </w:r>
            <w:bookmarkEnd w:id="49"/>
          </w:p>
        </w:tc>
      </w:tr>
      <w:tr w14:paraId="717C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686DC0F2">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0C28B27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号源比例规则：该规则用于限制时段各申请单来源比例，由于来源不确定性，本系统采用的各来源独立计算比例，也就是该比例不可超过总号源数的百分比，符合申请单条件的申请单选择相应条件的时段预约后，会占用锁定相应时段的号源比例。门诊、住院、体检等可配置不同的号源比例。</w:t>
            </w:r>
          </w:p>
        </w:tc>
      </w:tr>
      <w:tr w14:paraId="2116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65AF00D0">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3F181B6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机房号源管理：支持机房号源发布、追加号源、修改等管理</w:t>
            </w:r>
          </w:p>
        </w:tc>
      </w:tr>
      <w:tr w14:paraId="1B0C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31702FE1">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366A40F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队列配置管理，管理员可在预约平台的配置管理模块中设置预约队列模式。预约队列基本信息包含：队列名称、所属院区、所属科室、检查类型、队列地址、队列描述等信息。</w:t>
            </w:r>
          </w:p>
        </w:tc>
      </w:tr>
      <w:tr w14:paraId="3EAC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30298C9B">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1BAED9B">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队列配置管理，支持配置队列的优先开单科室，可多选，优先开单科室和申请单里的开单科室匹配时，该队列作为优先预约队列。</w:t>
            </w:r>
          </w:p>
        </w:tc>
      </w:tr>
      <w:tr w14:paraId="7639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6D002131">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12793A7">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队列配置预约模式管理，支持预约时分配号码或预约时不分配号码签到转登记时重新分配号码。支持取消预约后释放当日号源、自定义号码的前缀及显示规则。</w:t>
            </w:r>
          </w:p>
        </w:tc>
      </w:tr>
      <w:tr w14:paraId="15AF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34CEA3BA">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13A1FD4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队列配置管理，支持事先设定好号码个数，每预约一个病人占用一个号码。号码信息包含：号码设置类型（类型值为：按周自动重复设置号码）</w:t>
            </w:r>
          </w:p>
        </w:tc>
      </w:tr>
      <w:tr w14:paraId="3D00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9D99166">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6609912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号源配置可分时段，分别设置每天上午、下午或晚上（也可根据医院排班情况，分早班、中班、晚班）可预约号源数。</w:t>
            </w:r>
          </w:p>
        </w:tc>
      </w:tr>
      <w:tr w14:paraId="1241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4FC95035">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27E8A9D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号源配置可个性化设定每个号源属性，包括病人类型、终端类型、检查类型、号源类型及号源时长等。支持将号源同一个或多个类型的检查项目相关联，实现定向预约特定类型的检查项目。针对某些特殊或较复杂的检查项目可调大号源时长，占用1到多个号源。</w:t>
            </w:r>
          </w:p>
        </w:tc>
      </w:tr>
      <w:tr w14:paraId="429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08AA8F5">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681836E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特殊检查项目可预约特定时间段的号源</w:t>
            </w:r>
          </w:p>
        </w:tc>
      </w:tr>
      <w:tr w14:paraId="7CC0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0941CA59">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56190AE4">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号源配置支持设置提前释放天数，实现阶梯式自动释放号源。</w:t>
            </w:r>
          </w:p>
        </w:tc>
      </w:tr>
      <w:tr w14:paraId="4445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4B145FC9">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905F4E2">
            <w:pPr>
              <w:spacing w:line="460" w:lineRule="exact"/>
              <w:rPr>
                <w:rFonts w:ascii="新宋体" w:hAnsi="新宋体" w:eastAsia="新宋体" w:cs="新宋体"/>
                <w:color w:val="auto"/>
                <w:sz w:val="22"/>
                <w:szCs w:val="22"/>
                <w:highlight w:val="none"/>
              </w:rPr>
            </w:pPr>
            <w:bookmarkStart w:id="50" w:name="_Hlk76558763"/>
            <w:r>
              <w:rPr>
                <w:rFonts w:hint="eastAsia" w:ascii="新宋体" w:hAnsi="新宋体" w:eastAsia="新宋体" w:cs="新宋体"/>
                <w:color w:val="auto"/>
                <w:kern w:val="0"/>
                <w:sz w:val="22"/>
                <w:szCs w:val="22"/>
                <w:highlight w:val="none"/>
              </w:rPr>
              <w:t>检查项目属性管理，可配置的检查项目属性信息，包含检查类型、检查部位、项目代码、项目名称、检查时间、属性设置（可选值为：是否空腹等）。</w:t>
            </w:r>
            <w:bookmarkEnd w:id="50"/>
          </w:p>
        </w:tc>
      </w:tr>
      <w:tr w14:paraId="28CA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2C4DC0EF">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FC5F9D4">
            <w:pPr>
              <w:spacing w:line="460" w:lineRule="exact"/>
              <w:rPr>
                <w:rFonts w:ascii="新宋体" w:hAnsi="新宋体" w:eastAsia="新宋体" w:cs="新宋体"/>
                <w:color w:val="auto"/>
                <w:sz w:val="22"/>
                <w:szCs w:val="22"/>
                <w:highlight w:val="none"/>
              </w:rPr>
            </w:pPr>
            <w:bookmarkStart w:id="51" w:name="_Hlk76559631"/>
            <w:r>
              <w:rPr>
                <w:rFonts w:hint="eastAsia" w:ascii="新宋体" w:hAnsi="新宋体" w:eastAsia="新宋体" w:cs="新宋体"/>
                <w:color w:val="auto"/>
                <w:kern w:val="0"/>
                <w:sz w:val="22"/>
                <w:szCs w:val="22"/>
                <w:highlight w:val="none"/>
              </w:rPr>
              <w:t>配伍禁忌管理，支持检查A同一天最多只能预约N次、检查A和检查B不能预约在同一天、预约同一天检查A需要在检查B之前、检查A在同一天有多个预约、检查A和检查B间隔不能小于N天、检查B在检查A第M天N点等多类配伍禁忌知识库维护管理。</w:t>
            </w:r>
            <w:bookmarkEnd w:id="51"/>
          </w:p>
        </w:tc>
      </w:tr>
      <w:tr w14:paraId="5F0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F8477A7">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543913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队列检查项目关系管理，针对已经配置完成的检查队列和检查项目设置两者的关系。</w:t>
            </w:r>
          </w:p>
        </w:tc>
      </w:tr>
      <w:tr w14:paraId="16B4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51EA7EBC">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0625129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系统会根据病人的检查项目自动查找对应的队列，若检查项目对应到多个队列，管理员可根据实际需要选择需要使用的预约队列。</w:t>
            </w:r>
          </w:p>
        </w:tc>
      </w:tr>
      <w:tr w14:paraId="37EB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40C4B40">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2B1AEB1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注意事项管理，可根据不同的检查项目配置注意事项。</w:t>
            </w:r>
          </w:p>
        </w:tc>
      </w:tr>
      <w:tr w14:paraId="6842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5F11AB8C">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532F1F0">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打印模板管理，可针对不同的检查类型或者检查项目配置不同的小票打印模板。</w:t>
            </w:r>
          </w:p>
        </w:tc>
      </w:tr>
      <w:tr w14:paraId="31BB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0C302E79">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C22837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在打印预约小票时系统会自动根据病人的检查项目选择对应的注意事项，打印在预约小票中。</w:t>
            </w:r>
          </w:p>
        </w:tc>
      </w:tr>
      <w:tr w14:paraId="71EA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39DCCE95">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0BC0DF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可将打印模板与预约队列关联，从而实现预约成功后系统自动匹配到队列对应的打印模板执行打印操作。若一个队列对应到多个打印模板，则需要管理员手工选择打印模板。</w:t>
            </w:r>
          </w:p>
        </w:tc>
      </w:tr>
      <w:tr w14:paraId="2DD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376E9A38">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1A3E1BE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队列暂停及临时号源配置，支持在节假日或指定的某天个性化调整医技科室号源量，支持队列动态的启用和暂停。</w:t>
            </w:r>
          </w:p>
        </w:tc>
      </w:tr>
      <w:tr w14:paraId="3065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5F0C895D">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08F4A64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服务配置，支持针对每个对列配置多组号源，通过有效期和优先级进行控制，实现号源差异化管理。</w:t>
            </w:r>
          </w:p>
        </w:tc>
      </w:tr>
      <w:tr w14:paraId="27F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42FAEEFB">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7D11C53">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支持查询队列患者检查排队状态，如未签到、等待、已诊、弃号等多种排队状态。</w:t>
            </w:r>
          </w:p>
        </w:tc>
      </w:tr>
      <w:tr w14:paraId="3CBC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5BFF9B22">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vAlign w:val="center"/>
          </w:tcPr>
          <w:p w14:paraId="5C65D3AC">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支持预约操作日志与号源操作日志的记录与查看</w:t>
            </w:r>
            <w:r>
              <w:rPr>
                <w:rFonts w:hint="eastAsia" w:ascii="新宋体" w:hAnsi="新宋体" w:eastAsia="新宋体" w:cs="新宋体"/>
                <w:color w:val="auto"/>
                <w:sz w:val="22"/>
                <w:szCs w:val="22"/>
                <w:highlight w:val="none"/>
                <w:lang w:eastAsia="zh-CN"/>
              </w:rPr>
              <w:t>。</w:t>
            </w:r>
          </w:p>
        </w:tc>
      </w:tr>
      <w:tr w14:paraId="5CB8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2BB50E69">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29EBD3F9">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支持一体化展示预约排班表情况，直观的日历选择预约日期、时段功能，相应时间段内应体现出该时间段还剩余多少号源。</w:t>
            </w:r>
          </w:p>
        </w:tc>
      </w:tr>
      <w:tr w14:paraId="0438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2C181F5">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28B11F38">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支持内置时限规则、时段规则、前置规则、排斥规则、顺序规则、优先规则、合并规则、拆分规则、孕周规则、时段条件规则、号源比例规则、申请单约束规则、改约规则、取消预约规则等多种规则形式（提供截图证明</w:t>
            </w:r>
            <w:r>
              <w:rPr>
                <w:rFonts w:hint="eastAsia" w:ascii="宋体" w:hAnsi="宋体" w:cs="宋体"/>
                <w:i w:val="0"/>
                <w:iCs w:val="0"/>
                <w:color w:val="auto"/>
                <w:kern w:val="0"/>
                <w:sz w:val="21"/>
                <w:szCs w:val="21"/>
                <w:highlight w:val="none"/>
                <w:u w:val="none"/>
                <w:lang w:val="en-US" w:eastAsia="zh-CN" w:bidi="ar"/>
              </w:rPr>
              <w:t>及</w:t>
            </w:r>
            <w:r>
              <w:rPr>
                <w:rFonts w:hint="default" w:ascii="新宋体" w:hAnsi="新宋体" w:eastAsia="新宋体" w:cs="新宋体"/>
                <w:color w:val="auto"/>
                <w:kern w:val="0"/>
                <w:sz w:val="22"/>
                <w:szCs w:val="22"/>
                <w:highlight w:val="none"/>
                <w:lang w:val="en-US" w:eastAsia="zh-CN"/>
              </w:rPr>
              <w:t>提供经国家认可的检测机构出具的测试报告佐证</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w:t>
            </w:r>
          </w:p>
        </w:tc>
      </w:tr>
      <w:tr w14:paraId="698D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44AC13B7">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0E7F86BC">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当同一患者同时需要完成多个科室、不同类型、不同检查方式的项目时，系统将对应的多个规则同时进行计算，并推荐出所有项目最合理的检查次序、检查时间的功能。（提供截图证明</w:t>
            </w:r>
            <w:r>
              <w:rPr>
                <w:rFonts w:hint="eastAsia" w:ascii="宋体" w:hAnsi="宋体" w:cs="宋体"/>
                <w:i w:val="0"/>
                <w:iCs w:val="0"/>
                <w:color w:val="auto"/>
                <w:kern w:val="0"/>
                <w:sz w:val="21"/>
                <w:szCs w:val="21"/>
                <w:highlight w:val="none"/>
                <w:u w:val="none"/>
                <w:lang w:val="en-US" w:eastAsia="zh-CN" w:bidi="ar"/>
              </w:rPr>
              <w:t>及</w:t>
            </w:r>
            <w:r>
              <w:rPr>
                <w:rFonts w:hint="default" w:ascii="新宋体" w:hAnsi="新宋体" w:eastAsia="新宋体" w:cs="新宋体"/>
                <w:color w:val="auto"/>
                <w:kern w:val="0"/>
                <w:sz w:val="22"/>
                <w:szCs w:val="22"/>
                <w:highlight w:val="none"/>
                <w:lang w:val="en-US" w:eastAsia="zh-CN"/>
              </w:rPr>
              <w:t>提供经国家认可的检测机构出具的测试报告佐证</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w:t>
            </w:r>
          </w:p>
        </w:tc>
      </w:tr>
      <w:tr w14:paraId="2FDC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2FA06108">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5ECE9CB6">
            <w:pPr>
              <w:keepNext w:val="0"/>
              <w:keepLines w:val="0"/>
              <w:widowControl/>
              <w:suppressLineNumbers w:val="0"/>
              <w:spacing w:before="0" w:beforeAutospacing="0" w:after="0" w:afterAutospacing="0" w:line="360" w:lineRule="auto"/>
              <w:ind w:left="0" w:leftChars="0" w:right="0" w:rightChars="0"/>
              <w:jc w:val="both"/>
              <w:textAlignment w:val="center"/>
              <w:rPr>
                <w:rFonts w:hint="default" w:ascii="新宋体" w:hAnsi="新宋体" w:eastAsia="新宋体" w:cs="新宋体"/>
                <w:color w:val="auto"/>
                <w:kern w:val="0"/>
                <w:sz w:val="22"/>
                <w:szCs w:val="22"/>
                <w:highlight w:val="none"/>
                <w:lang w:val="en-US" w:eastAsia="zh-CN"/>
              </w:rPr>
            </w:pPr>
            <w:r>
              <w:rPr>
                <w:rFonts w:hint="eastAsia" w:ascii="宋体" w:hAnsi="宋体" w:eastAsia="宋体" w:cs="宋体"/>
                <w:color w:val="auto"/>
                <w:sz w:val="21"/>
                <w:szCs w:val="21"/>
                <w:highlight w:val="none"/>
              </w:rPr>
              <w:t>★</w:t>
            </w:r>
            <w:r>
              <w:rPr>
                <w:rFonts w:hint="eastAsia" w:ascii="新宋体" w:hAnsi="新宋体" w:eastAsia="新宋体" w:cs="新宋体"/>
                <w:color w:val="auto"/>
                <w:kern w:val="0"/>
                <w:sz w:val="22"/>
                <w:szCs w:val="22"/>
                <w:highlight w:val="none"/>
                <w:lang w:val="en-US" w:eastAsia="zh-CN"/>
              </w:rPr>
              <w:t>医技预约或检查预约相关类软件支持适配信创国产化数据库，需适配含2个及以上信创国产数据库，提供兼容适配证明文件。</w:t>
            </w:r>
          </w:p>
        </w:tc>
      </w:tr>
      <w:tr w14:paraId="5600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0E28B9E5">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2CE9A21E">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新宋体" w:hAnsi="新宋体" w:eastAsia="新宋体" w:cs="新宋体"/>
                <w:color w:val="auto"/>
                <w:kern w:val="0"/>
                <w:sz w:val="22"/>
                <w:szCs w:val="22"/>
                <w:highlight w:val="none"/>
                <w:lang w:val="en-US" w:eastAsia="zh-CN"/>
              </w:rPr>
            </w:pPr>
            <w:r>
              <w:rPr>
                <w:rFonts w:hint="eastAsia" w:ascii="宋体" w:hAnsi="宋体" w:eastAsia="宋体" w:cs="宋体"/>
                <w:color w:val="auto"/>
                <w:sz w:val="21"/>
                <w:szCs w:val="21"/>
                <w:highlight w:val="none"/>
              </w:rPr>
              <w:t>★</w:t>
            </w:r>
            <w:r>
              <w:rPr>
                <w:rFonts w:hint="eastAsia" w:ascii="新宋体" w:hAnsi="新宋体" w:eastAsia="新宋体" w:cs="新宋体"/>
                <w:color w:val="auto"/>
                <w:kern w:val="0"/>
                <w:sz w:val="22"/>
                <w:szCs w:val="22"/>
                <w:highlight w:val="none"/>
                <w:lang w:val="en-US" w:eastAsia="zh-CN"/>
              </w:rPr>
              <w:t>医技预约或检查预约相关类软件支持适配国产芯片服务器，需适配含2个及以上信创国产芯片服务器，提供兼容适配证明文件。</w:t>
            </w:r>
          </w:p>
        </w:tc>
      </w:tr>
      <w:tr w14:paraId="2D8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100EABDD">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75F42800">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新宋体" w:hAnsi="新宋体" w:eastAsia="新宋体" w:cs="新宋体"/>
                <w:color w:val="auto"/>
                <w:kern w:val="0"/>
                <w:sz w:val="22"/>
                <w:szCs w:val="22"/>
                <w:highlight w:val="none"/>
                <w:lang w:val="en-US" w:eastAsia="zh-CN"/>
              </w:rPr>
            </w:pPr>
            <w:r>
              <w:rPr>
                <w:rFonts w:hint="eastAsia" w:ascii="宋体" w:hAnsi="宋体" w:eastAsia="宋体" w:cs="宋体"/>
                <w:color w:val="auto"/>
                <w:sz w:val="21"/>
                <w:szCs w:val="21"/>
                <w:highlight w:val="none"/>
              </w:rPr>
              <w:t>★</w:t>
            </w:r>
            <w:r>
              <w:rPr>
                <w:rFonts w:hint="eastAsia" w:ascii="新宋体" w:hAnsi="新宋体" w:eastAsia="新宋体" w:cs="新宋体"/>
                <w:color w:val="auto"/>
                <w:kern w:val="0"/>
                <w:sz w:val="22"/>
                <w:szCs w:val="22"/>
                <w:highlight w:val="none"/>
                <w:lang w:val="en-US" w:eastAsia="zh-CN"/>
              </w:rPr>
              <w:t>医技预约或检查预约相关类软件支持适配信创国产操作系统，需适配含2个及以上信创国产操作系统，提供兼容适配证明文件。</w:t>
            </w:r>
          </w:p>
        </w:tc>
      </w:tr>
      <w:tr w14:paraId="38F8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3204C7BA">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3989BBFE">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新宋体" w:hAnsi="新宋体" w:eastAsia="新宋体" w:cs="新宋体"/>
                <w:color w:val="auto"/>
                <w:kern w:val="0"/>
                <w:sz w:val="22"/>
                <w:szCs w:val="22"/>
                <w:highlight w:val="none"/>
                <w:lang w:val="en-US" w:eastAsia="zh-CN"/>
              </w:rPr>
            </w:pPr>
            <w:r>
              <w:rPr>
                <w:rFonts w:hint="eastAsia" w:ascii="宋体" w:hAnsi="宋体" w:eastAsia="宋体" w:cs="宋体"/>
                <w:color w:val="auto"/>
                <w:sz w:val="21"/>
                <w:szCs w:val="21"/>
                <w:highlight w:val="none"/>
              </w:rPr>
              <w:t>★</w:t>
            </w:r>
            <w:r>
              <w:rPr>
                <w:rFonts w:hint="eastAsia" w:ascii="新宋体" w:hAnsi="新宋体" w:eastAsia="新宋体" w:cs="新宋体"/>
                <w:color w:val="auto"/>
                <w:kern w:val="0"/>
                <w:sz w:val="22"/>
                <w:szCs w:val="22"/>
                <w:highlight w:val="none"/>
                <w:lang w:val="en-US" w:eastAsia="zh-CN"/>
              </w:rPr>
              <w:t>医技预约或检查预约相关类软件持适配信创国产中间件，需适配含2个及以上信创国产中间件，提供兼容适配证明文件。</w:t>
            </w:r>
          </w:p>
        </w:tc>
      </w:tr>
      <w:tr w14:paraId="6FA2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center"/>
          </w:tcPr>
          <w:p w14:paraId="2B8BE8CD">
            <w:pPr>
              <w:pStyle w:val="331"/>
              <w:numPr>
                <w:ilvl w:val="0"/>
                <w:numId w:val="5"/>
              </w:numPr>
              <w:spacing w:line="460" w:lineRule="exact"/>
              <w:ind w:firstLineChars="0"/>
              <w:jc w:val="center"/>
              <w:rPr>
                <w:rFonts w:ascii="新宋体" w:hAnsi="新宋体" w:eastAsia="新宋体" w:cs="新宋体"/>
                <w:color w:val="auto"/>
                <w:sz w:val="22"/>
                <w:szCs w:val="22"/>
                <w:highlight w:val="none"/>
              </w:rPr>
            </w:pPr>
          </w:p>
        </w:tc>
        <w:tc>
          <w:tcPr>
            <w:tcW w:w="4491" w:type="pct"/>
            <w:shd w:val="clear" w:color="auto" w:fill="auto"/>
            <w:vAlign w:val="center"/>
          </w:tcPr>
          <w:p w14:paraId="5B4DC7EC">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新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新宋体" w:hAnsi="新宋体" w:eastAsia="新宋体" w:cs="新宋体"/>
                <w:color w:val="auto"/>
                <w:sz w:val="22"/>
                <w:szCs w:val="22"/>
                <w:highlight w:val="none"/>
              </w:rPr>
              <w:t>满足电子病历5级、智慧管理3级、智慧服务3级、互联互通五乙要求</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提供承诺函，格式自拟</w:t>
            </w:r>
            <w:r>
              <w:rPr>
                <w:rFonts w:hint="eastAsia" w:ascii="新宋体" w:hAnsi="新宋体" w:eastAsia="新宋体" w:cs="新宋体"/>
                <w:color w:val="auto"/>
                <w:sz w:val="22"/>
                <w:szCs w:val="22"/>
                <w:highlight w:val="none"/>
                <w:lang w:eastAsia="zh-CN"/>
              </w:rPr>
              <w:t>）。</w:t>
            </w:r>
          </w:p>
        </w:tc>
      </w:tr>
    </w:tbl>
    <w:p w14:paraId="6A9B9C65">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3.2集中预约系统技术要求</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8926"/>
      </w:tblGrid>
      <w:tr w14:paraId="324D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14:paraId="4739363F">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4528" w:type="pct"/>
          </w:tcPr>
          <w:p w14:paraId="4B49E17D">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技术要求</w:t>
            </w:r>
          </w:p>
        </w:tc>
      </w:tr>
      <w:tr w14:paraId="3856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3ED2FF35">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3649D86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支持手工录入或通过扫描枪或刷卡机读入就诊卡号并获取申请单信息。</w:t>
            </w:r>
          </w:p>
        </w:tc>
      </w:tr>
      <w:tr w14:paraId="471D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5A56B47">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649F992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支持对待预约申请单智能合并进行预约。</w:t>
            </w:r>
          </w:p>
        </w:tc>
      </w:tr>
      <w:tr w14:paraId="0A9D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6BB464C">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63AD0A7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支持根据检查申请单自动推荐最优检查时间。</w:t>
            </w:r>
          </w:p>
        </w:tc>
      </w:tr>
      <w:tr w14:paraId="4B2B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9678539">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51FB241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具有占号功能，针对特殊病人支持优先占用指定号源。</w:t>
            </w:r>
          </w:p>
        </w:tc>
      </w:tr>
      <w:tr w14:paraId="39B5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21B8915C">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4BEB456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系统根据检查类型（即CT、</w:t>
            </w:r>
            <w:r>
              <w:rPr>
                <w:rFonts w:hint="eastAsia" w:ascii="新宋体" w:hAnsi="新宋体" w:eastAsia="新宋体" w:cs="新宋体"/>
                <w:color w:val="auto"/>
                <w:kern w:val="0"/>
                <w:sz w:val="22"/>
                <w:szCs w:val="22"/>
                <w:highlight w:val="none"/>
                <w:lang w:val="en-US" w:eastAsia="zh-CN"/>
              </w:rPr>
              <w:t>DR</w:t>
            </w:r>
            <w:r>
              <w:rPr>
                <w:rFonts w:hint="eastAsia" w:ascii="新宋体" w:hAnsi="新宋体" w:eastAsia="新宋体" w:cs="新宋体"/>
                <w:color w:val="auto"/>
                <w:kern w:val="0"/>
                <w:sz w:val="22"/>
                <w:szCs w:val="22"/>
                <w:highlight w:val="none"/>
              </w:rPr>
              <w:t>等）和检查项目信息展示病人检查信息。系统支持单个检查项目预约，也可选择一个检查类型下多个检查项目合并预约。</w:t>
            </w:r>
          </w:p>
        </w:tc>
      </w:tr>
      <w:tr w14:paraId="0560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5CD37E8">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7DDB82C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支持将所有待预约项目一键批量自动预约到各队列最近一天号源。</w:t>
            </w:r>
          </w:p>
        </w:tc>
      </w:tr>
      <w:tr w14:paraId="36DF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49D62D2">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01F27E4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支持将所有待预约项目一键批量自动预约到同一天。</w:t>
            </w:r>
          </w:p>
        </w:tc>
      </w:tr>
      <w:tr w14:paraId="56B2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D77B2ED">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41A17B3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支持将同一类型多个未预约的项目和已预约项目合并预约到同一时间。</w:t>
            </w:r>
          </w:p>
        </w:tc>
      </w:tr>
      <w:tr w14:paraId="3508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75C26C8">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26A5E0ED">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可根据病人的检查项目自动匹配到对应的队列。若有特殊需要支持手动调整选择队列，若未匹配到队列，系统会弹出错误提示框。</w:t>
            </w:r>
          </w:p>
        </w:tc>
      </w:tr>
      <w:tr w14:paraId="1CF5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811B55C">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355EB65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确定预约队列后，系统可显示出此队列对应的所有号码和预约时间信息。特殊情况需要灵活调剂不同病人类型的号码可使用人工勾选方式，并执行选号操作。</w:t>
            </w:r>
          </w:p>
        </w:tc>
      </w:tr>
      <w:tr w14:paraId="3B49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FF60E0D">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3F72258A">
            <w:pPr>
              <w:spacing w:line="460" w:lineRule="exact"/>
              <w:rPr>
                <w:rFonts w:ascii="新宋体" w:hAnsi="新宋体" w:eastAsia="新宋体" w:cs="新宋体"/>
                <w:color w:val="auto"/>
                <w:sz w:val="22"/>
                <w:szCs w:val="22"/>
                <w:highlight w:val="none"/>
              </w:rPr>
            </w:pPr>
            <w:r>
              <w:rPr>
                <w:rFonts w:hint="eastAsia" w:ascii="宋体" w:hAnsi="宋体" w:eastAsia="宋体" w:cs="宋体"/>
                <w:color w:val="auto"/>
                <w:sz w:val="21"/>
                <w:szCs w:val="21"/>
                <w:highlight w:val="none"/>
              </w:rPr>
              <w:t>★</w:t>
            </w:r>
            <w:r>
              <w:rPr>
                <w:rFonts w:hint="eastAsia" w:ascii="新宋体" w:hAnsi="新宋体" w:eastAsia="新宋体" w:cs="新宋体"/>
                <w:color w:val="auto"/>
                <w:kern w:val="0"/>
                <w:sz w:val="22"/>
                <w:szCs w:val="22"/>
                <w:highlight w:val="none"/>
              </w:rPr>
              <w:t>禁忌配伍提醒，同一时间段预约同一项目检查、同一天有互相冲突的预约项目检查时弹框提醒。</w:t>
            </w:r>
          </w:p>
        </w:tc>
      </w:tr>
      <w:tr w14:paraId="45FB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AC6CCE2">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41A101E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号源使用情况，采用不同颜色区分。</w:t>
            </w:r>
          </w:p>
        </w:tc>
      </w:tr>
      <w:tr w14:paraId="4BFA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71FC8EC8">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3534684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支持通过不同颜色标识号源可供哪类病人使用。</w:t>
            </w:r>
          </w:p>
        </w:tc>
      </w:tr>
      <w:tr w14:paraId="5C41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22D61D31">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20707FE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具有取消预约和改约功能，取消的预约号码资源可释放供重新选择使用，号码资源是否释放可通过</w:t>
            </w:r>
            <w:r>
              <w:rPr>
                <w:rFonts w:hint="eastAsia" w:ascii="新宋体" w:hAnsi="新宋体" w:eastAsia="新宋体" w:cs="新宋体"/>
                <w:color w:val="auto"/>
                <w:sz w:val="22"/>
                <w:szCs w:val="22"/>
                <w:highlight w:val="none"/>
              </w:rPr>
              <w:t>预约平台服务端配置调整</w:t>
            </w:r>
            <w:r>
              <w:rPr>
                <w:rFonts w:hint="eastAsia" w:ascii="新宋体" w:hAnsi="新宋体" w:eastAsia="新宋体" w:cs="新宋体"/>
                <w:color w:val="auto"/>
                <w:kern w:val="0"/>
                <w:sz w:val="22"/>
                <w:szCs w:val="22"/>
                <w:highlight w:val="none"/>
              </w:rPr>
              <w:t>。</w:t>
            </w:r>
          </w:p>
        </w:tc>
      </w:tr>
      <w:tr w14:paraId="236A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CCC0CF2">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5F7FB23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具有打印预约小票功能。小票内容包括：病人信息、检查信息、预约时间、号码以及检查地点以及检查注意事项等。</w:t>
            </w:r>
          </w:p>
        </w:tc>
      </w:tr>
      <w:tr w14:paraId="4CF4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F7B75C7">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0E9735B2">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支持根据病人类型配置是否允许打印预约小票。</w:t>
            </w:r>
          </w:p>
        </w:tc>
      </w:tr>
      <w:tr w14:paraId="2FA7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1F5E40B">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793700B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可查询登记单状态为已预约和已登记的数据。</w:t>
            </w:r>
          </w:p>
        </w:tc>
      </w:tr>
      <w:tr w14:paraId="669C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7B47E2CC">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17818E2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支持查看操作详情，查询操作记录，获取预约操作人、操作时间、操作类型等。</w:t>
            </w:r>
          </w:p>
        </w:tc>
      </w:tr>
      <w:tr w14:paraId="5B11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5350EA31">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7FD47A8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可根据实际使用情况，勾选全部检查复选框，查看符合查询条件的所有状态的申请单信息。</w:t>
            </w:r>
          </w:p>
        </w:tc>
      </w:tr>
      <w:tr w14:paraId="490B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53FC0EEE">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081C1A5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支持按预约终端统计预约信息，统计结果支持导出。</w:t>
            </w:r>
          </w:p>
        </w:tc>
      </w:tr>
      <w:tr w14:paraId="446D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6077C93E">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2CB4C9BC">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提供预约工作量统计功能，通过统计工作量的开始时间和结束时间，执行统计操作，统计结果支持导出。</w:t>
            </w:r>
          </w:p>
        </w:tc>
      </w:tr>
      <w:tr w14:paraId="5F6B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3C2C17AD">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tcPr>
          <w:p w14:paraId="21FF9AB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可按照预约人员的姓名、检查的模态、病人类型分别统计指定时间段的预约量，自动计算不同预约人员的工作总量、不同模态的总工作量值和全部的工作量数据。</w:t>
            </w:r>
          </w:p>
        </w:tc>
      </w:tr>
      <w:tr w14:paraId="49A2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555F8445">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tcPr>
          <w:p w14:paraId="19F7FE78">
            <w:pPr>
              <w:spacing w:line="460" w:lineRule="exact"/>
              <w:rPr>
                <w:rFonts w:hint="eastAsia" w:ascii="新宋体" w:hAnsi="新宋体" w:eastAsia="新宋体" w:cs="新宋体"/>
                <w:color w:val="auto"/>
                <w:kern w:val="0"/>
                <w:sz w:val="22"/>
                <w:szCs w:val="22"/>
                <w:highlight w:val="none"/>
              </w:rPr>
            </w:pPr>
            <w:r>
              <w:rPr>
                <w:rFonts w:hint="eastAsia" w:ascii="宋体" w:hAnsi="宋体" w:eastAsia="宋体" w:cs="宋体"/>
                <w:color w:val="auto"/>
                <w:sz w:val="21"/>
                <w:szCs w:val="21"/>
                <w:highlight w:val="none"/>
              </w:rPr>
              <w:t>★</w:t>
            </w:r>
            <w:r>
              <w:rPr>
                <w:rFonts w:hint="eastAsia" w:ascii="新宋体" w:hAnsi="新宋体" w:eastAsia="新宋体" w:cs="新宋体"/>
                <w:color w:val="auto"/>
                <w:kern w:val="0"/>
                <w:sz w:val="22"/>
                <w:szCs w:val="22"/>
                <w:highlight w:val="none"/>
              </w:rPr>
              <w:t>预约分析BI</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驾驶舱</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影像检查预约分析平台针对每个机房预约的BI分析，支持对机房当日设定号源、当日剩余号源、当日已预约号源(含VIP)、当日已检查、第二天预约检查类型、第二天预约患者类型、24-48小时预约、&gt;48小时预约号源的显示</w:t>
            </w:r>
            <w:r>
              <w:rPr>
                <w:rFonts w:hint="eastAsia" w:ascii="宋体" w:hAnsi="宋体" w:eastAsia="宋体" w:cs="宋体"/>
                <w:i w:val="0"/>
                <w:iCs w:val="0"/>
                <w:color w:val="auto"/>
                <w:kern w:val="0"/>
                <w:sz w:val="21"/>
                <w:szCs w:val="21"/>
                <w:highlight w:val="none"/>
                <w:u w:val="none"/>
                <w:lang w:val="en-US" w:eastAsia="zh-CN" w:bidi="ar"/>
              </w:rPr>
              <w:t>（提供截图证明</w:t>
            </w:r>
            <w:r>
              <w:rPr>
                <w:rFonts w:hint="eastAsia" w:ascii="宋体" w:hAnsi="宋体" w:cs="宋体"/>
                <w:i w:val="0"/>
                <w:iCs w:val="0"/>
                <w:color w:val="auto"/>
                <w:kern w:val="0"/>
                <w:sz w:val="21"/>
                <w:szCs w:val="21"/>
                <w:highlight w:val="none"/>
                <w:u w:val="none"/>
                <w:lang w:val="en-US" w:eastAsia="zh-CN" w:bidi="ar"/>
              </w:rPr>
              <w:t>及</w:t>
            </w:r>
            <w:r>
              <w:rPr>
                <w:rFonts w:hint="default" w:ascii="新宋体" w:hAnsi="新宋体" w:eastAsia="新宋体" w:cs="新宋体"/>
                <w:color w:val="auto"/>
                <w:kern w:val="0"/>
                <w:sz w:val="22"/>
                <w:szCs w:val="22"/>
                <w:highlight w:val="none"/>
                <w:lang w:val="en-US" w:eastAsia="zh-CN"/>
              </w:rPr>
              <w:t>提供经国家认可的检测机构出具的测试报告佐证</w:t>
            </w:r>
            <w:r>
              <w:rPr>
                <w:rFonts w:hint="eastAsia" w:ascii="宋体" w:hAnsi="宋体" w:eastAsia="宋体" w:cs="宋体"/>
                <w:i w:val="0"/>
                <w:iCs w:val="0"/>
                <w:color w:val="auto"/>
                <w:kern w:val="0"/>
                <w:sz w:val="21"/>
                <w:szCs w:val="21"/>
                <w:highlight w:val="none"/>
                <w:u w:val="none"/>
                <w:lang w:val="en-US" w:eastAsia="zh-CN" w:bidi="ar"/>
              </w:rPr>
              <w:t>）</w:t>
            </w:r>
            <w:r>
              <w:rPr>
                <w:rFonts w:hint="eastAsia" w:ascii="新宋体" w:hAnsi="新宋体" w:eastAsia="新宋体" w:cs="新宋体"/>
                <w:color w:val="auto"/>
                <w:kern w:val="0"/>
                <w:sz w:val="22"/>
                <w:szCs w:val="22"/>
                <w:highlight w:val="none"/>
              </w:rPr>
              <w:t>。</w:t>
            </w:r>
          </w:p>
        </w:tc>
      </w:tr>
      <w:tr w14:paraId="148F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6D4AC26F">
            <w:pPr>
              <w:pStyle w:val="331"/>
              <w:numPr>
                <w:ilvl w:val="0"/>
                <w:numId w:val="6"/>
              </w:numPr>
              <w:spacing w:line="460" w:lineRule="exact"/>
              <w:ind w:firstLineChars="0"/>
              <w:jc w:val="center"/>
              <w:rPr>
                <w:rFonts w:ascii="新宋体" w:hAnsi="新宋体" w:eastAsia="新宋体" w:cs="新宋体"/>
                <w:color w:val="auto"/>
                <w:sz w:val="22"/>
                <w:szCs w:val="22"/>
                <w:highlight w:val="none"/>
              </w:rPr>
            </w:pPr>
          </w:p>
        </w:tc>
        <w:tc>
          <w:tcPr>
            <w:tcW w:w="4528" w:type="pct"/>
          </w:tcPr>
          <w:p w14:paraId="4D621F3B">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对病人预约来源统计、患者类型预约统计、申请科室预约量统计、预约中心工作量统计、各检查设备预约量统计、各申请医生预约工作量统计、各检查项目预约量统计。并且能够通过预约BI实时展示全院预约信息</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提供截图证明</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bl>
    <w:p w14:paraId="4A86735C">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3.3特检预约系统</w:t>
      </w:r>
      <w:r>
        <w:rPr>
          <w:rFonts w:hint="eastAsia" w:ascii="新宋体" w:hAnsi="新宋体" w:eastAsia="新宋体" w:cs="新宋体"/>
          <w:b/>
          <w:bCs/>
          <w:color w:val="auto"/>
          <w:sz w:val="22"/>
          <w:szCs w:val="22"/>
          <w:highlight w:val="none"/>
        </w:rPr>
        <w:t>技术要求</w:t>
      </w:r>
    </w:p>
    <w:tbl>
      <w:tblPr>
        <w:tblStyle w:val="54"/>
        <w:tblW w:w="5001"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5"/>
        <w:gridCol w:w="8921"/>
      </w:tblGrid>
      <w:tr w14:paraId="11C2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474" w:type="pct"/>
            <w:shd w:val="clear" w:color="auto" w:fill="auto"/>
            <w:vAlign w:val="center"/>
          </w:tcPr>
          <w:p w14:paraId="57CFD57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525" w:type="pct"/>
            <w:shd w:val="clear" w:color="auto" w:fill="auto"/>
            <w:vAlign w:val="center"/>
          </w:tcPr>
          <w:p w14:paraId="7286551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详细技术参数</w:t>
            </w:r>
          </w:p>
        </w:tc>
      </w:tr>
      <w:tr w14:paraId="1735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558C17E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5" w:type="pct"/>
            <w:shd w:val="clear" w:color="auto" w:fill="auto"/>
            <w:vAlign w:val="center"/>
          </w:tcPr>
          <w:p w14:paraId="5A6FAFCA">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支持通过与医院HIS系统、电子病历系统对接，自动获取电子检查申请单。</w:t>
            </w:r>
          </w:p>
        </w:tc>
      </w:tr>
      <w:tr w14:paraId="690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4" w:type="pct"/>
            <w:shd w:val="clear" w:color="auto" w:fill="auto"/>
            <w:vAlign w:val="center"/>
          </w:tcPr>
          <w:p w14:paraId="438F3C6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5" w:type="pct"/>
            <w:shd w:val="clear" w:color="auto" w:fill="auto"/>
            <w:vAlign w:val="center"/>
          </w:tcPr>
          <w:p w14:paraId="24F0AE30">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支持通过病人号、住院号、身份证号、医保卡号、自费卡号、体检号、影像号等方式获取检查申请单。</w:t>
            </w:r>
          </w:p>
        </w:tc>
      </w:tr>
      <w:tr w14:paraId="2BEE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504D83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25" w:type="pct"/>
            <w:shd w:val="clear" w:color="auto" w:fill="auto"/>
            <w:vAlign w:val="center"/>
          </w:tcPr>
          <w:p w14:paraId="2B9201F7">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支持特殊情况下的手动登记患者检查申请单信息。</w:t>
            </w:r>
          </w:p>
        </w:tc>
      </w:tr>
      <w:tr w14:paraId="032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2E06444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5" w:type="pct"/>
            <w:shd w:val="clear" w:color="auto" w:fill="auto"/>
            <w:vAlign w:val="center"/>
          </w:tcPr>
          <w:p w14:paraId="56126F52">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支持门诊、住院、体检、绿检、急诊等多种患者类型预约登记，并支持优先级设置。</w:t>
            </w:r>
          </w:p>
        </w:tc>
      </w:tr>
      <w:tr w14:paraId="5A82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4" w:type="pct"/>
            <w:shd w:val="clear" w:color="auto" w:fill="auto"/>
            <w:vAlign w:val="center"/>
          </w:tcPr>
          <w:p w14:paraId="572AA31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5" w:type="pct"/>
            <w:shd w:val="clear" w:color="auto" w:fill="auto"/>
            <w:vAlign w:val="center"/>
          </w:tcPr>
          <w:p w14:paraId="706F7DDF">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已预约的登记支持按预约时间、患者姓名等条件查询，列表的显示字段、字段顺序、状态颜色等支持个性化设置</w:t>
            </w:r>
          </w:p>
        </w:tc>
      </w:tr>
      <w:tr w14:paraId="4CEC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4" w:type="pct"/>
            <w:shd w:val="clear" w:color="auto" w:fill="auto"/>
            <w:vAlign w:val="center"/>
          </w:tcPr>
          <w:p w14:paraId="530627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525" w:type="pct"/>
            <w:shd w:val="clear" w:color="auto" w:fill="auto"/>
            <w:vAlign w:val="center"/>
          </w:tcPr>
          <w:p w14:paraId="09546AF8">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已预约的登记支持预约单打印，并根据检查项目提供不同的注意事项提醒。注意事项、预约通知单格式可预先设置，具备相应的维护界面。</w:t>
            </w:r>
          </w:p>
        </w:tc>
      </w:tr>
      <w:tr w14:paraId="1E6F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241E0F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525" w:type="pct"/>
            <w:shd w:val="clear" w:color="auto" w:fill="auto"/>
            <w:vAlign w:val="center"/>
          </w:tcPr>
          <w:p w14:paraId="264821EE">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支持多模态特殊检查项目的登记，如C13、肺功能、视频脑电图、动态血压监测等。（提供截图证明）</w:t>
            </w:r>
          </w:p>
        </w:tc>
      </w:tr>
      <w:tr w14:paraId="2D5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474" w:type="pct"/>
            <w:shd w:val="clear" w:color="auto" w:fill="auto"/>
            <w:vAlign w:val="center"/>
          </w:tcPr>
          <w:p w14:paraId="37BEEC2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25" w:type="pct"/>
            <w:shd w:val="clear" w:color="auto" w:fill="auto"/>
            <w:vAlign w:val="center"/>
          </w:tcPr>
          <w:p w14:paraId="7E2DB112">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支持按指定检查设备与检查室预约；支持指定日期时间预约。</w:t>
            </w:r>
          </w:p>
        </w:tc>
      </w:tr>
      <w:tr w14:paraId="0F57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4BB1D0B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525" w:type="pct"/>
            <w:shd w:val="clear" w:color="auto" w:fill="auto"/>
            <w:vAlign w:val="center"/>
          </w:tcPr>
          <w:p w14:paraId="2D09329F">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支持查看申请单信息、收费明细、患者病史等信息</w:t>
            </w:r>
          </w:p>
        </w:tc>
      </w:tr>
      <w:tr w14:paraId="278B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474" w:type="pct"/>
            <w:shd w:val="clear" w:color="auto" w:fill="auto"/>
            <w:vAlign w:val="center"/>
          </w:tcPr>
          <w:p w14:paraId="186ECAA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25" w:type="pct"/>
            <w:shd w:val="clear" w:color="auto" w:fill="auto"/>
            <w:vAlign w:val="center"/>
          </w:tcPr>
          <w:p w14:paraId="6204AD61">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支持对出生日期、年龄、身份证号、手机号码格式进行格式校验。</w:t>
            </w:r>
          </w:p>
        </w:tc>
      </w:tr>
      <w:tr w14:paraId="415E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4" w:type="pct"/>
            <w:shd w:val="clear" w:color="auto" w:fill="auto"/>
            <w:vAlign w:val="center"/>
          </w:tcPr>
          <w:p w14:paraId="512312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525" w:type="pct"/>
            <w:shd w:val="clear" w:color="auto" w:fill="auto"/>
            <w:vAlign w:val="center"/>
          </w:tcPr>
          <w:p w14:paraId="2CD7964C">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支持患者复诊快速登记，通过身份证号等信息从系统中自动带出该患者以往就诊时预留的患者信息。</w:t>
            </w:r>
          </w:p>
        </w:tc>
      </w:tr>
      <w:tr w14:paraId="0F24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4" w:type="pct"/>
            <w:shd w:val="clear" w:color="auto" w:fill="auto"/>
            <w:vAlign w:val="center"/>
          </w:tcPr>
          <w:p w14:paraId="48BA611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25" w:type="pct"/>
            <w:shd w:val="clear" w:color="auto" w:fill="auto"/>
            <w:vAlign w:val="center"/>
          </w:tcPr>
          <w:p w14:paraId="36FE81B9">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支持检查部位（检查项目）的筛选与勾选录入；支持单次检查登记多个检查部位（检查项目）。</w:t>
            </w:r>
          </w:p>
        </w:tc>
      </w:tr>
      <w:tr w14:paraId="3347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474" w:type="pct"/>
            <w:shd w:val="clear" w:color="auto" w:fill="auto"/>
            <w:vAlign w:val="center"/>
          </w:tcPr>
          <w:p w14:paraId="20143C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525" w:type="pct"/>
            <w:shd w:val="clear" w:color="auto" w:fill="auto"/>
            <w:vAlign w:val="center"/>
          </w:tcPr>
          <w:p w14:paraId="7933177C">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支持根据设置的预约规则自动推荐最佳号源，支持同一患者相同检查类型多次检查合并登记，</w:t>
            </w:r>
          </w:p>
        </w:tc>
      </w:tr>
      <w:tr w14:paraId="0F81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4514546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525" w:type="pct"/>
            <w:shd w:val="clear" w:color="auto" w:fill="auto"/>
            <w:vAlign w:val="center"/>
          </w:tcPr>
          <w:p w14:paraId="7C9A154D">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支持录入出生日期后自动计算出年龄、录入年龄后自动转换成出生年月。</w:t>
            </w:r>
          </w:p>
        </w:tc>
      </w:tr>
      <w:tr w14:paraId="2FC6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423363A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525" w:type="pct"/>
            <w:shd w:val="clear" w:color="auto" w:fill="auto"/>
            <w:vAlign w:val="center"/>
          </w:tcPr>
          <w:p w14:paraId="22048D05">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支持录入患者姓名、性别、出生日期、年龄、身份证号、手机号码等信息。</w:t>
            </w:r>
          </w:p>
        </w:tc>
      </w:tr>
      <w:tr w14:paraId="4A16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59128B4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525" w:type="pct"/>
            <w:shd w:val="clear" w:color="auto" w:fill="auto"/>
            <w:vAlign w:val="center"/>
          </w:tcPr>
          <w:p w14:paraId="41496900">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支持录入患者姓名后自动解析出姓名拼音。</w:t>
            </w:r>
          </w:p>
        </w:tc>
      </w:tr>
      <w:tr w14:paraId="00EA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38C861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525" w:type="pct"/>
            <w:shd w:val="clear" w:color="auto" w:fill="auto"/>
            <w:vAlign w:val="center"/>
          </w:tcPr>
          <w:p w14:paraId="23314C10">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支持录入身份证后自动解析出患者性别、出生日期与年龄。</w:t>
            </w:r>
          </w:p>
        </w:tc>
      </w:tr>
      <w:tr w14:paraId="7DD1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4" w:type="pct"/>
            <w:shd w:val="clear" w:color="auto" w:fill="auto"/>
            <w:vAlign w:val="center"/>
          </w:tcPr>
          <w:p w14:paraId="75DDD01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525" w:type="pct"/>
            <w:shd w:val="clear" w:color="auto" w:fill="auto"/>
            <w:vAlign w:val="center"/>
          </w:tcPr>
          <w:p w14:paraId="1A383E8A">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支持申请单号、申请科室、申请医生、临床病史、临床诊断、检查内容等申请单信息的录入。</w:t>
            </w:r>
          </w:p>
        </w:tc>
      </w:tr>
      <w:tr w14:paraId="4194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4B61F32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525" w:type="pct"/>
            <w:shd w:val="clear" w:color="auto" w:fill="auto"/>
            <w:vAlign w:val="center"/>
          </w:tcPr>
          <w:p w14:paraId="0A34616A">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支持使用高拍仪拍摄及文件上传方式保存图片申请单。</w:t>
            </w:r>
          </w:p>
        </w:tc>
      </w:tr>
      <w:tr w14:paraId="5E40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313FCD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525" w:type="pct"/>
            <w:shd w:val="clear" w:color="auto" w:fill="auto"/>
            <w:vAlign w:val="center"/>
          </w:tcPr>
          <w:p w14:paraId="77844F04">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支持已登记检查的修改与作废。</w:t>
            </w:r>
          </w:p>
        </w:tc>
      </w:tr>
      <w:tr w14:paraId="0EA7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1312435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525" w:type="pct"/>
            <w:shd w:val="clear" w:color="auto" w:fill="auto"/>
            <w:vAlign w:val="center"/>
          </w:tcPr>
          <w:p w14:paraId="08993733">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支持预约登记时自动生成排队号。</w:t>
            </w:r>
          </w:p>
        </w:tc>
      </w:tr>
      <w:tr w14:paraId="4FFC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4" w:type="pct"/>
            <w:shd w:val="clear" w:color="auto" w:fill="auto"/>
            <w:vAlign w:val="center"/>
          </w:tcPr>
          <w:p w14:paraId="5C4C936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525" w:type="pct"/>
            <w:shd w:val="clear" w:color="auto" w:fill="auto"/>
            <w:vAlign w:val="center"/>
          </w:tcPr>
          <w:p w14:paraId="63F19209">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支持住院患者病区、床位号录入。</w:t>
            </w:r>
          </w:p>
        </w:tc>
      </w:tr>
    </w:tbl>
    <w:p w14:paraId="29133D43">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3.4诊间预约系统技术要求</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924"/>
      </w:tblGrid>
      <w:tr w14:paraId="652B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Pr>
          <w:p w14:paraId="4ACD1771">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4527" w:type="pct"/>
          </w:tcPr>
          <w:p w14:paraId="1AD226C5">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技术要求</w:t>
            </w:r>
          </w:p>
        </w:tc>
      </w:tr>
      <w:tr w14:paraId="5809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67C1C1A4">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82AF6C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支持门诊诊间为病人开具检查申请单后，HIS系统预约时调用诊间预约系统提供的web界面。</w:t>
            </w:r>
          </w:p>
        </w:tc>
      </w:tr>
      <w:tr w14:paraId="39D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1B19275">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3E21E8C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支持住院医生为病人下达医嘱后，诊间EMR系统预约时调用诊间预约系统提供的web界面。</w:t>
            </w:r>
          </w:p>
        </w:tc>
      </w:tr>
      <w:tr w14:paraId="0CE6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F82D2C3">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198F442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支持医生在选择申请单/预约时间后获取预约信息，支持显示预约某天的剩余号。</w:t>
            </w:r>
          </w:p>
        </w:tc>
      </w:tr>
      <w:tr w14:paraId="2F2C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4E7FC87">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041A84B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诊间预约系统可根据预约日期、检查项目等参数自动匹配预约队列，再根据队列属性、检查参数等自动返回预约结果。</w:t>
            </w:r>
          </w:p>
        </w:tc>
      </w:tr>
      <w:tr w14:paraId="5850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2BC99FD">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D31A21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预约成功后，医生可通过诊间预约系统直接打印检查预约小票。</w:t>
            </w:r>
          </w:p>
        </w:tc>
      </w:tr>
      <w:tr w14:paraId="5D8F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30CD35A7">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27C929D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支持自动合并待预约项目至同一检查类别队列。</w:t>
            </w:r>
          </w:p>
        </w:tc>
      </w:tr>
      <w:tr w14:paraId="5C24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6FAA397">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4AE8054E">
            <w:pPr>
              <w:spacing w:line="460" w:lineRule="exact"/>
              <w:rPr>
                <w:rFonts w:ascii="新宋体" w:hAnsi="新宋体" w:eastAsia="新宋体" w:cs="新宋体"/>
                <w:color w:val="auto"/>
                <w:sz w:val="22"/>
                <w:szCs w:val="22"/>
                <w:highlight w:val="none"/>
              </w:rPr>
            </w:pPr>
            <w:bookmarkStart w:id="52" w:name="_Hlk153888430"/>
            <w:r>
              <w:rPr>
                <w:rFonts w:hint="eastAsia" w:ascii="新宋体" w:hAnsi="新宋体" w:eastAsia="新宋体" w:cs="新宋体"/>
                <w:color w:val="auto"/>
                <w:kern w:val="0"/>
                <w:sz w:val="22"/>
                <w:szCs w:val="22"/>
                <w:highlight w:val="none"/>
              </w:rPr>
              <w:t>支持将所有待预约项目一键批量自动预约到各队列最近一天号源</w:t>
            </w:r>
            <w:bookmarkEnd w:id="52"/>
            <w:r>
              <w:rPr>
                <w:rFonts w:hint="eastAsia" w:ascii="新宋体" w:hAnsi="新宋体" w:eastAsia="新宋体" w:cs="新宋体"/>
                <w:color w:val="auto"/>
                <w:kern w:val="0"/>
                <w:sz w:val="22"/>
                <w:szCs w:val="22"/>
                <w:highlight w:val="none"/>
              </w:rPr>
              <w:t>。</w:t>
            </w:r>
          </w:p>
        </w:tc>
      </w:tr>
      <w:tr w14:paraId="1061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38B92230">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5F5986A1">
            <w:pPr>
              <w:spacing w:line="460" w:lineRule="exact"/>
              <w:rPr>
                <w:rFonts w:ascii="新宋体" w:hAnsi="新宋体" w:eastAsia="新宋体" w:cs="新宋体"/>
                <w:color w:val="auto"/>
                <w:sz w:val="22"/>
                <w:szCs w:val="22"/>
                <w:highlight w:val="none"/>
              </w:rPr>
            </w:pPr>
            <w:bookmarkStart w:id="53" w:name="_Hlk153888445"/>
            <w:r>
              <w:rPr>
                <w:rFonts w:hint="eastAsia" w:ascii="新宋体" w:hAnsi="新宋体" w:eastAsia="新宋体" w:cs="新宋体"/>
                <w:color w:val="auto"/>
                <w:kern w:val="0"/>
                <w:sz w:val="22"/>
                <w:szCs w:val="22"/>
                <w:highlight w:val="none"/>
              </w:rPr>
              <w:t>支持查询平台号源，智能匹配实现将所有待预约项目一键批量自动预约到最近的同一天号源</w:t>
            </w:r>
            <w:bookmarkEnd w:id="53"/>
            <w:r>
              <w:rPr>
                <w:rFonts w:hint="eastAsia" w:ascii="新宋体" w:hAnsi="新宋体" w:eastAsia="新宋体" w:cs="新宋体"/>
                <w:color w:val="auto"/>
                <w:kern w:val="0"/>
                <w:sz w:val="22"/>
                <w:szCs w:val="22"/>
                <w:highlight w:val="none"/>
              </w:rPr>
              <w:t>。</w:t>
            </w:r>
          </w:p>
        </w:tc>
      </w:tr>
      <w:tr w14:paraId="218D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37888752">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0EA89F37">
            <w:pPr>
              <w:spacing w:line="460" w:lineRule="exact"/>
              <w:rPr>
                <w:rFonts w:ascii="新宋体" w:hAnsi="新宋体" w:eastAsia="新宋体" w:cs="新宋体"/>
                <w:color w:val="auto"/>
                <w:sz w:val="22"/>
                <w:szCs w:val="22"/>
                <w:highlight w:val="none"/>
              </w:rPr>
            </w:pPr>
            <w:bookmarkStart w:id="54" w:name="_Hlk153888470"/>
            <w:r>
              <w:rPr>
                <w:rFonts w:hint="eastAsia" w:ascii="新宋体" w:hAnsi="新宋体" w:eastAsia="新宋体" w:cs="新宋体"/>
                <w:color w:val="auto"/>
                <w:kern w:val="0"/>
                <w:sz w:val="22"/>
                <w:szCs w:val="22"/>
                <w:highlight w:val="none"/>
              </w:rPr>
              <w:t>支持医生根据患者要求将所有待预约项目人工选约到同一天或分别进行人工选约。</w:t>
            </w:r>
            <w:bookmarkEnd w:id="54"/>
          </w:p>
        </w:tc>
      </w:tr>
      <w:tr w14:paraId="7E69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2B0A260">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03CD0D35">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支持指定检查可预约多个队列，自动预约时轮摆预约多个队列，实现队列检查数量均衡。</w:t>
            </w:r>
          </w:p>
        </w:tc>
      </w:tr>
      <w:tr w14:paraId="463F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4FC6E1B5">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1878B9D3">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支持检查项目可预约队列显示最早号源查询结果。</w:t>
            </w:r>
          </w:p>
        </w:tc>
      </w:tr>
      <w:tr w14:paraId="7A2D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4A9E8306">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14630E5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预约排号支持查看每个号源预约使用、剩余情况，且展示每个号源的具体时段性。</w:t>
            </w:r>
          </w:p>
        </w:tc>
      </w:tr>
      <w:tr w14:paraId="7741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641074B">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5B04054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当患者对当次预约结果不满意，诊间医生可进行改约或取消预约。</w:t>
            </w:r>
          </w:p>
        </w:tc>
      </w:tr>
      <w:tr w14:paraId="6C84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37F15B13">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0E7F8E4F">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检查预约时可配置日历控件号源位置显示医生姓名，便于操作人员及时清楚队列号源的医生排班。支持后台配置号源排班医生姓名。</w:t>
            </w:r>
          </w:p>
        </w:tc>
      </w:tr>
      <w:tr w14:paraId="518D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4D52BAE">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233B7F6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支持医生查看当前处理病人的历史已预约结果。</w:t>
            </w:r>
          </w:p>
        </w:tc>
      </w:tr>
      <w:tr w14:paraId="4B33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014937EE">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903286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支持打印预约小票及注意事项。</w:t>
            </w:r>
          </w:p>
        </w:tc>
      </w:tr>
      <w:tr w14:paraId="0E9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5C019BBB">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tcPr>
          <w:p w14:paraId="3183613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支持同时打印所有已预约小票或单独打印某个预约小票。</w:t>
            </w:r>
          </w:p>
        </w:tc>
      </w:tr>
      <w:tr w14:paraId="1AB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D76CEC6">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tcPr>
          <w:p w14:paraId="4ACB92F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支持预约成功后自动打印预约小票。</w:t>
            </w:r>
          </w:p>
        </w:tc>
      </w:tr>
      <w:tr w14:paraId="6BFC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25ACF386">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tcPr>
          <w:p w14:paraId="13451CA1">
            <w:pPr>
              <w:spacing w:line="460" w:lineRule="exact"/>
              <w:rPr>
                <w:rFonts w:ascii="新宋体" w:hAnsi="新宋体" w:eastAsia="新宋体" w:cs="新宋体"/>
                <w:color w:val="auto"/>
                <w:sz w:val="22"/>
                <w:szCs w:val="22"/>
                <w:highlight w:val="none"/>
              </w:rPr>
            </w:pPr>
            <w:bookmarkStart w:id="55" w:name="_Hlk153888495"/>
            <w:r>
              <w:rPr>
                <w:rFonts w:hint="eastAsia" w:ascii="新宋体" w:hAnsi="新宋体" w:eastAsia="新宋体" w:cs="新宋体"/>
                <w:color w:val="auto"/>
                <w:sz w:val="22"/>
                <w:szCs w:val="22"/>
                <w:highlight w:val="none"/>
              </w:rPr>
              <w:t>诊间预约界面可配置当前终端使用的打印机。</w:t>
            </w:r>
            <w:bookmarkEnd w:id="55"/>
          </w:p>
        </w:tc>
      </w:tr>
      <w:tr w14:paraId="07D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8285F1D">
            <w:pPr>
              <w:pStyle w:val="331"/>
              <w:numPr>
                <w:ilvl w:val="0"/>
                <w:numId w:val="7"/>
              </w:numPr>
              <w:spacing w:line="460" w:lineRule="exact"/>
              <w:ind w:firstLineChars="0"/>
              <w:jc w:val="center"/>
              <w:rPr>
                <w:rFonts w:ascii="新宋体" w:hAnsi="新宋体" w:eastAsia="新宋体" w:cs="新宋体"/>
                <w:color w:val="auto"/>
                <w:sz w:val="22"/>
                <w:szCs w:val="22"/>
                <w:highlight w:val="none"/>
              </w:rPr>
            </w:pPr>
          </w:p>
        </w:tc>
        <w:tc>
          <w:tcPr>
            <w:tcW w:w="4527" w:type="pct"/>
          </w:tcPr>
          <w:p w14:paraId="044EA606">
            <w:pPr>
              <w:spacing w:line="460" w:lineRule="exact"/>
              <w:rPr>
                <w:rFonts w:hint="eastAsia" w:ascii="新宋体" w:hAnsi="新宋体" w:eastAsia="新宋体" w:cs="新宋体"/>
                <w:color w:val="auto"/>
                <w:sz w:val="22"/>
                <w:szCs w:val="22"/>
                <w:highlight w:val="none"/>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支持根据不同CT扫描类型（如增强、平扫）自动预约到不同时段的智能化预约功能（提供截图证明）</w:t>
            </w:r>
          </w:p>
        </w:tc>
      </w:tr>
    </w:tbl>
    <w:p w14:paraId="4E7F95FF">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3.5自助预约系统技术要求</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924"/>
      </w:tblGrid>
      <w:tr w14:paraId="32B4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Pr>
          <w:p w14:paraId="6AE71C33">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4527" w:type="pct"/>
          </w:tcPr>
          <w:p w14:paraId="67DEFC72">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技术要求</w:t>
            </w:r>
          </w:p>
        </w:tc>
      </w:tr>
      <w:tr w14:paraId="7D0E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4487EEF2">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47F2AB9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可根据医院要求个性化配置自助预约检查项目、号源及可预约周期。</w:t>
            </w:r>
          </w:p>
        </w:tc>
      </w:tr>
      <w:tr w14:paraId="1332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9463F1B">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A1D8669">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支持条码读取、二维码扫描、输入病案号/就诊卡号，获取已缴费待预约申请单信息。</w:t>
            </w:r>
          </w:p>
        </w:tc>
      </w:tr>
      <w:tr w14:paraId="5E71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5BF21AC0">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1A209F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支持对待预约申请单智能合并进行预约。</w:t>
            </w:r>
          </w:p>
        </w:tc>
      </w:tr>
      <w:tr w14:paraId="23CB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2" w:type="pct"/>
            <w:vAlign w:val="center"/>
          </w:tcPr>
          <w:p w14:paraId="0D38A4B9">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3998E1C9">
            <w:pPr>
              <w:spacing w:line="460" w:lineRule="exact"/>
              <w:rPr>
                <w:rFonts w:ascii="新宋体" w:hAnsi="新宋体" w:eastAsia="新宋体" w:cs="新宋体"/>
                <w:color w:val="auto"/>
                <w:kern w:val="0"/>
                <w:sz w:val="22"/>
                <w:szCs w:val="22"/>
                <w:highlight w:val="none"/>
              </w:rPr>
            </w:pPr>
            <w:bookmarkStart w:id="56" w:name="_Hlk153888508"/>
            <w:r>
              <w:rPr>
                <w:rFonts w:hint="eastAsia" w:ascii="新宋体" w:hAnsi="新宋体" w:eastAsia="新宋体" w:cs="新宋体"/>
                <w:color w:val="auto"/>
                <w:kern w:val="0"/>
                <w:sz w:val="22"/>
                <w:szCs w:val="22"/>
                <w:highlight w:val="none"/>
              </w:rPr>
              <w:t>支持预约检查时弹出预约须知提示功能。</w:t>
            </w:r>
            <w:bookmarkEnd w:id="56"/>
          </w:p>
        </w:tc>
      </w:tr>
      <w:tr w14:paraId="2E8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725417C">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4D06CD6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支持根据检查申请单自动推荐最优检查时间。</w:t>
            </w:r>
          </w:p>
        </w:tc>
      </w:tr>
      <w:tr w14:paraId="7F0E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728E184">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7CF4F63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支持根据检查申请单自动分配最适合的检查队列。</w:t>
            </w:r>
          </w:p>
        </w:tc>
      </w:tr>
      <w:tr w14:paraId="4039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10743CC8">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47A8A353">
            <w:pPr>
              <w:spacing w:line="460" w:lineRule="exact"/>
              <w:rPr>
                <w:rFonts w:ascii="新宋体" w:hAnsi="新宋体" w:eastAsia="新宋体" w:cs="新宋体"/>
                <w:color w:val="auto"/>
                <w:kern w:val="0"/>
                <w:sz w:val="22"/>
                <w:szCs w:val="22"/>
                <w:highlight w:val="none"/>
              </w:rPr>
            </w:pPr>
            <w:bookmarkStart w:id="57" w:name="_Hlk153888517"/>
            <w:r>
              <w:rPr>
                <w:rFonts w:hint="eastAsia" w:ascii="新宋体" w:hAnsi="新宋体" w:eastAsia="新宋体" w:cs="新宋体"/>
                <w:color w:val="auto"/>
                <w:kern w:val="0"/>
                <w:sz w:val="22"/>
                <w:szCs w:val="22"/>
                <w:highlight w:val="none"/>
              </w:rPr>
              <w:t>支持验证患者空腹状态，预约空腹检查时,弹出是否空腹确认提示窗，患者非空腹的场景下不允许预约当天号源。</w:t>
            </w:r>
            <w:bookmarkEnd w:id="57"/>
          </w:p>
        </w:tc>
      </w:tr>
      <w:tr w14:paraId="4479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5E21B5A3">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550E212">
            <w:pPr>
              <w:spacing w:line="460" w:lineRule="exact"/>
              <w:rPr>
                <w:rFonts w:ascii="新宋体" w:hAnsi="新宋体" w:eastAsia="新宋体" w:cs="新宋体"/>
                <w:color w:val="auto"/>
                <w:sz w:val="22"/>
                <w:szCs w:val="22"/>
                <w:highlight w:val="none"/>
              </w:rPr>
            </w:pPr>
            <w:bookmarkStart w:id="58" w:name="_Hlk153888528"/>
            <w:r>
              <w:rPr>
                <w:rFonts w:hint="eastAsia" w:ascii="新宋体" w:hAnsi="新宋体" w:eastAsia="新宋体" w:cs="新宋体"/>
                <w:color w:val="auto"/>
                <w:kern w:val="0"/>
                <w:sz w:val="22"/>
                <w:szCs w:val="22"/>
                <w:highlight w:val="none"/>
              </w:rPr>
              <w:t>通过自助机终端患者可查询待预约项目，并进行选约操作，灵活挑选检查时间及时段并提交预约。</w:t>
            </w:r>
            <w:bookmarkEnd w:id="58"/>
          </w:p>
        </w:tc>
      </w:tr>
      <w:tr w14:paraId="27A6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6DC9A22F">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0042182C">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支持自助预约终端配置只预约当前楼层队列，若识别当前检查不能在此楼层自助机预约，自动提示用户去对应楼层预约。</w:t>
            </w:r>
          </w:p>
        </w:tc>
      </w:tr>
      <w:tr w14:paraId="0760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0D48BC6A">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19AA2BB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针对预约结果不满意，患者可进行改约或取消预约。</w:t>
            </w:r>
          </w:p>
        </w:tc>
      </w:tr>
      <w:tr w14:paraId="1E5B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474C7914">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3350F3D">
            <w:pPr>
              <w:spacing w:line="460" w:lineRule="exact"/>
              <w:rPr>
                <w:rFonts w:ascii="新宋体" w:hAnsi="新宋体" w:eastAsia="新宋体" w:cs="新宋体"/>
                <w:color w:val="auto"/>
                <w:sz w:val="22"/>
                <w:szCs w:val="22"/>
                <w:highlight w:val="none"/>
              </w:rPr>
            </w:pPr>
            <w:bookmarkStart w:id="59" w:name="_Hlk153977781"/>
            <w:r>
              <w:rPr>
                <w:rFonts w:hint="eastAsia" w:ascii="新宋体" w:hAnsi="新宋体" w:eastAsia="新宋体" w:cs="新宋体"/>
                <w:color w:val="auto"/>
                <w:kern w:val="0"/>
                <w:sz w:val="22"/>
                <w:szCs w:val="22"/>
                <w:highlight w:val="none"/>
              </w:rPr>
              <w:t>通过自助机终端患者可查询已预约项目，并进行改约、补打小票、取消等操作。</w:t>
            </w:r>
            <w:bookmarkEnd w:id="59"/>
          </w:p>
        </w:tc>
      </w:tr>
      <w:tr w14:paraId="0653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9179E5D">
            <w:pPr>
              <w:pStyle w:val="331"/>
              <w:numPr>
                <w:ilvl w:val="0"/>
                <w:numId w:val="8"/>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6101718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支持打印预约单、注意事项等。</w:t>
            </w:r>
          </w:p>
        </w:tc>
      </w:tr>
    </w:tbl>
    <w:p w14:paraId="1520CCE4">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3.6移动预约系统技术要求</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8926"/>
      </w:tblGrid>
      <w:tr w14:paraId="0716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14:paraId="0B89BABC">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4528" w:type="pct"/>
          </w:tcPr>
          <w:p w14:paraId="77000654">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技术要求</w:t>
            </w:r>
          </w:p>
        </w:tc>
      </w:tr>
      <w:tr w14:paraId="259F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811C1F6">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0D72CD2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共享院内统一检查号源池，可根据医院要求个性化配置移动预约检查项目、队列、号源及可预约周期。</w:t>
            </w:r>
          </w:p>
        </w:tc>
      </w:tr>
      <w:tr w14:paraId="5A15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3772AE4E">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1BC7BD8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支持集成整合在医院微信公众号中。</w:t>
            </w:r>
          </w:p>
        </w:tc>
      </w:tr>
      <w:tr w14:paraId="2570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5EC4C4B">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0FCBCDD1">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支持查看待预约和已预约的检查。</w:t>
            </w:r>
          </w:p>
        </w:tc>
      </w:tr>
      <w:tr w14:paraId="7DAD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5208106F">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06C0B409">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支持已预约检查详细信息显示，包括病人基本信息、预约信息和注意事项等。</w:t>
            </w:r>
          </w:p>
        </w:tc>
      </w:tr>
      <w:tr w14:paraId="10B6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209BC78">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0EFDD7BC">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支持进行惩罚机制管理，例如限定当天最大取消次数。</w:t>
            </w:r>
          </w:p>
        </w:tc>
      </w:tr>
      <w:tr w14:paraId="33D7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63B7632D">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319BB2D9">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支持黑名单机制管理，例如爽约次数超限后，自动进入黑名单，不允许继续使用移动预约。</w:t>
            </w:r>
          </w:p>
        </w:tc>
      </w:tr>
      <w:tr w14:paraId="4616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265E9A8B">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5E5A211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黑名单解除管理，支持N天后自动取消黑名单，也支持院内手工移除黑名单。</w:t>
            </w:r>
          </w:p>
        </w:tc>
      </w:tr>
      <w:tr w14:paraId="6A0F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75C91F6">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7B96ACB0">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自动区分可预约、不可预约项目，并提示不可预约的原因。</w:t>
            </w:r>
          </w:p>
        </w:tc>
      </w:tr>
      <w:tr w14:paraId="6C28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BA64DF3">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2BE50B4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支持对待预约申请单智能合并，自动合并分组。</w:t>
            </w:r>
          </w:p>
        </w:tc>
      </w:tr>
      <w:tr w14:paraId="328E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755C10B2">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54867C7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支持分时段预约，提供汇总后的整点时段，可精确到30分钟或1小时。</w:t>
            </w:r>
          </w:p>
        </w:tc>
      </w:tr>
      <w:tr w14:paraId="5039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1692EF2">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3328605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根据所选日期和时段，自动按优先级分配合适的队列和号源。</w:t>
            </w:r>
          </w:p>
        </w:tc>
      </w:tr>
      <w:tr w14:paraId="6804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0A14059D">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26F3A7A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每个项目可定制不同的预约提醒信息，在预约前要求用户阅读。</w:t>
            </w:r>
          </w:p>
        </w:tc>
      </w:tr>
      <w:tr w14:paraId="30F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2C0C429">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276E577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自动提醒最早可预约日期。</w:t>
            </w:r>
          </w:p>
        </w:tc>
      </w:tr>
      <w:tr w14:paraId="5B53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04419C6">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56B4B71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支持配伍禁忌校验提醒，提醒患者选择符合条件的日期。</w:t>
            </w:r>
          </w:p>
        </w:tc>
      </w:tr>
      <w:tr w14:paraId="58CE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689F5BF5">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72C4EE6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每个项目可定制不同的检查提醒信息，预约成功后及时反馈。</w:t>
            </w:r>
          </w:p>
        </w:tc>
      </w:tr>
      <w:tr w14:paraId="5F68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3237E6C">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136DD7F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支持与医院短信平台对接，提醒预约结果，也可移动端线上实时查询。</w:t>
            </w:r>
          </w:p>
        </w:tc>
      </w:tr>
      <w:tr w14:paraId="5AD2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17CB687B">
            <w:pPr>
              <w:pStyle w:val="331"/>
              <w:numPr>
                <w:ilvl w:val="0"/>
                <w:numId w:val="9"/>
              </w:numPr>
              <w:spacing w:line="460" w:lineRule="exact"/>
              <w:ind w:firstLineChars="0"/>
              <w:jc w:val="center"/>
              <w:rPr>
                <w:rFonts w:ascii="新宋体" w:hAnsi="新宋体" w:eastAsia="新宋体" w:cs="新宋体"/>
                <w:color w:val="auto"/>
                <w:sz w:val="22"/>
                <w:szCs w:val="22"/>
                <w:highlight w:val="none"/>
              </w:rPr>
            </w:pPr>
          </w:p>
        </w:tc>
        <w:tc>
          <w:tcPr>
            <w:tcW w:w="4528" w:type="pct"/>
            <w:vAlign w:val="center"/>
          </w:tcPr>
          <w:p w14:paraId="5DDDC16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针对预约结果不满意，患者可进行改约或取消预约。</w:t>
            </w:r>
          </w:p>
        </w:tc>
      </w:tr>
    </w:tbl>
    <w:p w14:paraId="2B8B7EDE">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3.7自助签到系统技术要求</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924"/>
      </w:tblGrid>
      <w:tr w14:paraId="6B3E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Pr>
          <w:p w14:paraId="4CA92112">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4527" w:type="pct"/>
          </w:tcPr>
          <w:p w14:paraId="432B2572">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技术要求</w:t>
            </w:r>
          </w:p>
        </w:tc>
      </w:tr>
      <w:tr w14:paraId="76D9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1058F32">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7A50BE5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匹配自助机终端，实现医技科室自助到检签到功能。</w:t>
            </w:r>
          </w:p>
        </w:tc>
      </w:tr>
      <w:tr w14:paraId="6FAE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6E9EF8CA">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322A3EC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针对通过不同预约终端（集中预约、诊间预约、自助预约、移动预约）发放的预约号源，自助签到系统均可完成自助到检签到操作。</w:t>
            </w:r>
          </w:p>
        </w:tc>
      </w:tr>
      <w:tr w14:paraId="2BBF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008E13E2">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34EF4F8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针对预约模式为按时段模式的项目，支持签到时重新分配号码。</w:t>
            </w:r>
          </w:p>
        </w:tc>
      </w:tr>
      <w:tr w14:paraId="19B5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0659B49A">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1FB8815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支持条码读取、输入病案号/就诊卡号，自动将检查由预约状态转为登记状态。</w:t>
            </w:r>
          </w:p>
        </w:tc>
      </w:tr>
      <w:tr w14:paraId="3BCB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D9E6561">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330195E8">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支持三种签到方式，支持扫描条形码签到、医保电子凭证签到、输入病案号签到。</w:t>
            </w:r>
          </w:p>
        </w:tc>
      </w:tr>
      <w:tr w14:paraId="5738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3CAB5CB7">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3AAA4300">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可根据医院要求启用签到迟到惩罚逻辑，根据系统规则重新调整签到顺序。</w:t>
            </w:r>
          </w:p>
        </w:tc>
      </w:tr>
      <w:tr w14:paraId="3B06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48D5D3B2">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3C78368A">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支持签到无纸时程序提醒。</w:t>
            </w:r>
          </w:p>
        </w:tc>
      </w:tr>
      <w:tr w14:paraId="35DB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3D1F6917">
            <w:pPr>
              <w:pStyle w:val="331"/>
              <w:numPr>
                <w:ilvl w:val="0"/>
                <w:numId w:val="10"/>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75842CD5">
            <w:pPr>
              <w:spacing w:line="460" w:lineRule="exact"/>
              <w:rPr>
                <w:rFonts w:ascii="新宋体" w:hAnsi="新宋体" w:eastAsia="新宋体" w:cs="新宋体"/>
                <w:color w:val="auto"/>
                <w:kern w:val="0"/>
                <w:sz w:val="22"/>
                <w:szCs w:val="22"/>
                <w:highlight w:val="none"/>
              </w:rPr>
            </w:pPr>
            <w:bookmarkStart w:id="60" w:name="_Hlk153888548"/>
            <w:r>
              <w:rPr>
                <w:rFonts w:hint="eastAsia" w:ascii="新宋体" w:hAnsi="新宋体" w:eastAsia="新宋体" w:cs="新宋体"/>
                <w:color w:val="auto"/>
                <w:kern w:val="0"/>
                <w:sz w:val="22"/>
                <w:szCs w:val="22"/>
                <w:highlight w:val="none"/>
              </w:rPr>
              <w:t>签到的检查在该签到机允许签到的队列之外，支持智能提醒患者该检查正确签到地点。</w:t>
            </w:r>
            <w:bookmarkEnd w:id="60"/>
          </w:p>
        </w:tc>
      </w:tr>
    </w:tbl>
    <w:p w14:paraId="20D403B0">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3.8自动预约登记系统技术要求</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924"/>
      </w:tblGrid>
      <w:tr w14:paraId="1EF2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Pr>
          <w:p w14:paraId="0FF59A20">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4527" w:type="pct"/>
          </w:tcPr>
          <w:p w14:paraId="4829009D">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技术要求</w:t>
            </w:r>
          </w:p>
        </w:tc>
      </w:tr>
      <w:tr w14:paraId="4979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7FC78390">
            <w:pPr>
              <w:pStyle w:val="331"/>
              <w:numPr>
                <w:ilvl w:val="0"/>
                <w:numId w:val="11"/>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5337F51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医技检查小科室，如肺功能检查，患者在开单缴费后，预约后台直接自动完成预约。</w:t>
            </w:r>
          </w:p>
        </w:tc>
      </w:tr>
      <w:tr w14:paraId="00FC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3D1501E8">
            <w:pPr>
              <w:pStyle w:val="331"/>
              <w:numPr>
                <w:ilvl w:val="0"/>
                <w:numId w:val="11"/>
              </w:numPr>
              <w:spacing w:line="460" w:lineRule="exact"/>
              <w:ind w:firstLineChars="0"/>
              <w:jc w:val="center"/>
              <w:rPr>
                <w:rFonts w:ascii="新宋体" w:hAnsi="新宋体" w:eastAsia="新宋体" w:cs="新宋体"/>
                <w:color w:val="auto"/>
                <w:sz w:val="22"/>
                <w:szCs w:val="22"/>
                <w:highlight w:val="none"/>
              </w:rPr>
            </w:pPr>
          </w:p>
        </w:tc>
        <w:tc>
          <w:tcPr>
            <w:tcW w:w="4527" w:type="pct"/>
            <w:vAlign w:val="center"/>
          </w:tcPr>
          <w:p w14:paraId="433D58E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医技检查小科室，如肺功能检查，患者签到后自动登记，进入排队叫号系统等待呼叫检查。</w:t>
            </w:r>
          </w:p>
        </w:tc>
      </w:tr>
    </w:tbl>
    <w:p w14:paraId="522DBFD7">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3.9排队叫号管理软件技术要求</w:t>
      </w:r>
    </w:p>
    <w:tbl>
      <w:tblPr>
        <w:tblStyle w:val="54"/>
        <w:tblW w:w="5000" w:type="pct"/>
        <w:tblInd w:w="0" w:type="dxa"/>
        <w:tblLayout w:type="autofit"/>
        <w:tblCellMar>
          <w:top w:w="0" w:type="dxa"/>
          <w:left w:w="108" w:type="dxa"/>
          <w:bottom w:w="0" w:type="dxa"/>
          <w:right w:w="108" w:type="dxa"/>
        </w:tblCellMar>
      </w:tblPr>
      <w:tblGrid>
        <w:gridCol w:w="1060"/>
        <w:gridCol w:w="1516"/>
        <w:gridCol w:w="7278"/>
      </w:tblGrid>
      <w:tr w14:paraId="488B4D88">
        <w:tblPrEx>
          <w:tblCellMar>
            <w:top w:w="0" w:type="dxa"/>
            <w:left w:w="108" w:type="dxa"/>
            <w:bottom w:w="0" w:type="dxa"/>
            <w:right w:w="108" w:type="dxa"/>
          </w:tblCellMar>
        </w:tblPrEx>
        <w:trPr>
          <w:trHeight w:val="270"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21728C9B">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69" w:type="pct"/>
            <w:tcBorders>
              <w:top w:val="single" w:color="auto" w:sz="4" w:space="0"/>
              <w:left w:val="nil"/>
              <w:bottom w:val="single" w:color="auto" w:sz="4" w:space="0"/>
              <w:right w:val="single" w:color="auto" w:sz="4" w:space="0"/>
            </w:tcBorders>
            <w:shd w:val="clear" w:color="auto" w:fill="auto"/>
            <w:vAlign w:val="center"/>
          </w:tcPr>
          <w:p w14:paraId="774FEDFF">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模块</w:t>
            </w:r>
          </w:p>
        </w:tc>
        <w:tc>
          <w:tcPr>
            <w:tcW w:w="3692" w:type="pct"/>
            <w:tcBorders>
              <w:top w:val="single" w:color="auto" w:sz="4" w:space="0"/>
              <w:left w:val="nil"/>
              <w:bottom w:val="single" w:color="auto" w:sz="4" w:space="0"/>
              <w:right w:val="single" w:color="auto" w:sz="4" w:space="0"/>
            </w:tcBorders>
            <w:shd w:val="clear" w:color="auto" w:fill="auto"/>
            <w:vAlign w:val="center"/>
          </w:tcPr>
          <w:p w14:paraId="2E4A0626">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技术要求</w:t>
            </w:r>
          </w:p>
        </w:tc>
      </w:tr>
      <w:tr w14:paraId="3F156849">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482B1CBA">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69" w:type="pct"/>
            <w:vMerge w:val="restart"/>
            <w:tcBorders>
              <w:top w:val="nil"/>
              <w:left w:val="single" w:color="auto" w:sz="4" w:space="0"/>
              <w:bottom w:val="single" w:color="auto" w:sz="4" w:space="0"/>
              <w:right w:val="single" w:color="auto" w:sz="4" w:space="0"/>
            </w:tcBorders>
            <w:shd w:val="clear" w:color="auto" w:fill="auto"/>
            <w:vAlign w:val="center"/>
          </w:tcPr>
          <w:p w14:paraId="26D15FD4">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取号管理</w:t>
            </w:r>
          </w:p>
        </w:tc>
        <w:tc>
          <w:tcPr>
            <w:tcW w:w="3692" w:type="pct"/>
            <w:tcBorders>
              <w:top w:val="nil"/>
              <w:left w:val="nil"/>
              <w:bottom w:val="single" w:color="auto" w:sz="4" w:space="0"/>
              <w:right w:val="single" w:color="auto" w:sz="4" w:space="0"/>
            </w:tcBorders>
            <w:shd w:val="clear" w:color="auto" w:fill="auto"/>
          </w:tcPr>
          <w:p w14:paraId="7059CE8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排队叫号软件</w:t>
            </w:r>
            <w:r>
              <w:rPr>
                <w:rFonts w:hint="eastAsia" w:ascii="新宋体" w:hAnsi="新宋体" w:eastAsia="新宋体" w:cs="新宋体"/>
                <w:color w:val="auto"/>
                <w:sz w:val="22"/>
                <w:szCs w:val="22"/>
                <w:highlight w:val="none"/>
                <w:lang w:val="en-US" w:eastAsia="zh-CN"/>
              </w:rPr>
              <w:t>支持纯WEBHTLML5浏览器调阅</w:t>
            </w:r>
            <w:r>
              <w:rPr>
                <w:rFonts w:hint="eastAsia" w:ascii="新宋体" w:hAnsi="新宋体" w:eastAsia="新宋体" w:cs="新宋体"/>
                <w:color w:val="auto"/>
                <w:sz w:val="22"/>
                <w:szCs w:val="22"/>
                <w:highlight w:val="none"/>
              </w:rPr>
              <w:t>，在病人登记完成后即自动分配排队号码，并打印排队号票。</w:t>
            </w:r>
          </w:p>
        </w:tc>
      </w:tr>
      <w:tr w14:paraId="2F1D21D1">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3F210E8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769" w:type="pct"/>
            <w:vMerge w:val="continue"/>
            <w:tcBorders>
              <w:top w:val="nil"/>
              <w:left w:val="single" w:color="auto" w:sz="4" w:space="0"/>
              <w:bottom w:val="single" w:color="auto" w:sz="4" w:space="0"/>
              <w:right w:val="single" w:color="auto" w:sz="4" w:space="0"/>
            </w:tcBorders>
            <w:vAlign w:val="center"/>
          </w:tcPr>
          <w:p w14:paraId="3F5547E7">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76F8184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支持自定义排队队列，用户可根据需要设置各种不同类型的排队队列，便于分流控制。</w:t>
            </w:r>
          </w:p>
        </w:tc>
      </w:tr>
      <w:tr w14:paraId="7A1EF96D">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78642FD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769" w:type="pct"/>
            <w:vMerge w:val="continue"/>
            <w:tcBorders>
              <w:top w:val="nil"/>
              <w:left w:val="single" w:color="auto" w:sz="4" w:space="0"/>
              <w:bottom w:val="single" w:color="auto" w:sz="4" w:space="0"/>
              <w:right w:val="single" w:color="auto" w:sz="4" w:space="0"/>
            </w:tcBorders>
            <w:vAlign w:val="center"/>
          </w:tcPr>
          <w:p w14:paraId="1CCF45E4">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6D50451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可建立排队队列与检查类型、检查机房的对应关系，根据登记时确定的检查类型和检查机房自动进入相应的队列。</w:t>
            </w:r>
          </w:p>
        </w:tc>
      </w:tr>
      <w:tr w14:paraId="70E3F593">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3C88AA8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769" w:type="pct"/>
            <w:vMerge w:val="continue"/>
            <w:tcBorders>
              <w:top w:val="nil"/>
              <w:left w:val="single" w:color="auto" w:sz="4" w:space="0"/>
              <w:bottom w:val="single" w:color="auto" w:sz="4" w:space="0"/>
              <w:right w:val="single" w:color="auto" w:sz="4" w:space="0"/>
            </w:tcBorders>
            <w:vAlign w:val="center"/>
          </w:tcPr>
          <w:p w14:paraId="024C16DC">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48CBE3A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每个队列可独立编号，互不干扰。</w:t>
            </w:r>
          </w:p>
        </w:tc>
      </w:tr>
      <w:tr w14:paraId="480B9758">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36A50CF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769" w:type="pct"/>
            <w:vMerge w:val="continue"/>
            <w:tcBorders>
              <w:top w:val="nil"/>
              <w:left w:val="single" w:color="auto" w:sz="4" w:space="0"/>
              <w:bottom w:val="single" w:color="auto" w:sz="4" w:space="0"/>
              <w:right w:val="single" w:color="auto" w:sz="4" w:space="0"/>
            </w:tcBorders>
            <w:vAlign w:val="center"/>
          </w:tcPr>
          <w:p w14:paraId="58F8F26C">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787C098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支持队列优先级设置，可为急诊病人设置快速通道队列。</w:t>
            </w:r>
          </w:p>
        </w:tc>
      </w:tr>
      <w:tr w14:paraId="0061B77D">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032258B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769" w:type="pct"/>
            <w:vMerge w:val="restart"/>
            <w:tcBorders>
              <w:top w:val="nil"/>
              <w:left w:val="single" w:color="auto" w:sz="4" w:space="0"/>
              <w:right w:val="single" w:color="auto" w:sz="4" w:space="0"/>
            </w:tcBorders>
            <w:shd w:val="clear" w:color="auto" w:fill="auto"/>
            <w:vAlign w:val="center"/>
          </w:tcPr>
          <w:p w14:paraId="0236384F">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叫号管理</w:t>
            </w:r>
          </w:p>
        </w:tc>
        <w:tc>
          <w:tcPr>
            <w:tcW w:w="3692" w:type="pct"/>
            <w:tcBorders>
              <w:top w:val="nil"/>
              <w:left w:val="nil"/>
              <w:bottom w:val="single" w:color="auto" w:sz="4" w:space="0"/>
              <w:right w:val="single" w:color="auto" w:sz="4" w:space="0"/>
            </w:tcBorders>
            <w:shd w:val="clear" w:color="auto" w:fill="auto"/>
          </w:tcPr>
          <w:p w14:paraId="4403053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支持语音呼叫，可自定义每次呼叫的语音播放次数、播放语速、背景音乐等。</w:t>
            </w:r>
          </w:p>
        </w:tc>
      </w:tr>
      <w:tr w14:paraId="5C6847D8">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71DFEE7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p>
        </w:tc>
        <w:tc>
          <w:tcPr>
            <w:tcW w:w="769" w:type="pct"/>
            <w:vMerge w:val="continue"/>
            <w:tcBorders>
              <w:left w:val="single" w:color="auto" w:sz="4" w:space="0"/>
              <w:right w:val="single" w:color="auto" w:sz="4" w:space="0"/>
            </w:tcBorders>
            <w:shd w:val="clear" w:color="auto" w:fill="auto"/>
            <w:vAlign w:val="center"/>
          </w:tcPr>
          <w:p w14:paraId="6B345238">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64BA800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支持大屏队列显示内容、字体、颜色由用户自定义</w:t>
            </w:r>
          </w:p>
        </w:tc>
      </w:tr>
      <w:tr w14:paraId="2ED4D386">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1A1266F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p>
        </w:tc>
        <w:tc>
          <w:tcPr>
            <w:tcW w:w="769" w:type="pct"/>
            <w:vMerge w:val="continue"/>
            <w:tcBorders>
              <w:left w:val="single" w:color="auto" w:sz="4" w:space="0"/>
              <w:right w:val="single" w:color="auto" w:sz="4" w:space="0"/>
            </w:tcBorders>
            <w:vAlign w:val="center"/>
          </w:tcPr>
          <w:p w14:paraId="392E208A">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00D2D7B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支持语音呼叫内容可由用户自定义，如只呼叫号码不呼叫姓名。</w:t>
            </w:r>
          </w:p>
        </w:tc>
      </w:tr>
      <w:tr w14:paraId="56916447">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4555588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w:t>
            </w:r>
          </w:p>
        </w:tc>
        <w:tc>
          <w:tcPr>
            <w:tcW w:w="769" w:type="pct"/>
            <w:vMerge w:val="continue"/>
            <w:tcBorders>
              <w:left w:val="single" w:color="auto" w:sz="4" w:space="0"/>
              <w:right w:val="single" w:color="auto" w:sz="4" w:space="0"/>
            </w:tcBorders>
            <w:vAlign w:val="center"/>
          </w:tcPr>
          <w:p w14:paraId="2C704504">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0E689E3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具有“顺呼、复呼、选呼”等多种呼叫方式。</w:t>
            </w:r>
          </w:p>
        </w:tc>
      </w:tr>
      <w:tr w14:paraId="484E263E">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162B651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w:t>
            </w:r>
          </w:p>
        </w:tc>
        <w:tc>
          <w:tcPr>
            <w:tcW w:w="769" w:type="pct"/>
            <w:vMerge w:val="continue"/>
            <w:tcBorders>
              <w:left w:val="single" w:color="auto" w:sz="4" w:space="0"/>
              <w:bottom w:val="single" w:color="auto" w:sz="4" w:space="0"/>
              <w:right w:val="single" w:color="auto" w:sz="4" w:space="0"/>
            </w:tcBorders>
            <w:vAlign w:val="center"/>
          </w:tcPr>
          <w:p w14:paraId="169BDE13">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69D9E52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支持纯HTLML5浏览器调阅</w:t>
            </w:r>
          </w:p>
        </w:tc>
      </w:tr>
      <w:tr w14:paraId="7EC526BC">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52381C2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w:t>
            </w:r>
          </w:p>
        </w:tc>
        <w:tc>
          <w:tcPr>
            <w:tcW w:w="769" w:type="pct"/>
            <w:vMerge w:val="restart"/>
            <w:tcBorders>
              <w:top w:val="nil"/>
              <w:left w:val="single" w:color="auto" w:sz="4" w:space="0"/>
              <w:bottom w:val="single" w:color="auto" w:sz="4" w:space="0"/>
              <w:right w:val="single" w:color="auto" w:sz="4" w:space="0"/>
            </w:tcBorders>
            <w:shd w:val="clear" w:color="auto" w:fill="auto"/>
            <w:vAlign w:val="center"/>
          </w:tcPr>
          <w:p w14:paraId="00B95FD0">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队列管理</w:t>
            </w:r>
          </w:p>
        </w:tc>
        <w:tc>
          <w:tcPr>
            <w:tcW w:w="3692" w:type="pct"/>
            <w:tcBorders>
              <w:top w:val="nil"/>
              <w:left w:val="nil"/>
              <w:bottom w:val="single" w:color="auto" w:sz="4" w:space="0"/>
              <w:right w:val="single" w:color="auto" w:sz="4" w:space="0"/>
            </w:tcBorders>
            <w:shd w:val="clear" w:color="auto" w:fill="auto"/>
          </w:tcPr>
          <w:p w14:paraId="32DF5CF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队列显示内容可由用户自定义。</w:t>
            </w:r>
          </w:p>
        </w:tc>
      </w:tr>
      <w:tr w14:paraId="12F52390">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4DECEF1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w:t>
            </w:r>
          </w:p>
        </w:tc>
        <w:tc>
          <w:tcPr>
            <w:tcW w:w="769" w:type="pct"/>
            <w:vMerge w:val="continue"/>
            <w:tcBorders>
              <w:top w:val="nil"/>
              <w:left w:val="single" w:color="auto" w:sz="4" w:space="0"/>
              <w:bottom w:val="single" w:color="auto" w:sz="4" w:space="0"/>
              <w:right w:val="single" w:color="auto" w:sz="4" w:space="0"/>
            </w:tcBorders>
            <w:vAlign w:val="center"/>
          </w:tcPr>
          <w:p w14:paraId="7CAEEF0C">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7755BE0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可将屏幕分割成多个区域，分别显示不同队列的信息，区域数量不限。</w:t>
            </w:r>
          </w:p>
        </w:tc>
      </w:tr>
      <w:tr w14:paraId="25FA6D38">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2F9442C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w:t>
            </w:r>
          </w:p>
        </w:tc>
        <w:tc>
          <w:tcPr>
            <w:tcW w:w="769" w:type="pct"/>
            <w:vMerge w:val="continue"/>
            <w:tcBorders>
              <w:top w:val="nil"/>
              <w:left w:val="single" w:color="auto" w:sz="4" w:space="0"/>
              <w:bottom w:val="single" w:color="auto" w:sz="4" w:space="0"/>
              <w:right w:val="single" w:color="auto" w:sz="4" w:space="0"/>
            </w:tcBorders>
            <w:vAlign w:val="center"/>
          </w:tcPr>
          <w:p w14:paraId="0DD9C82D">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0B4F178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可在屏幕上设置滚动文字显示区域，显示提醒信息和公告信息。</w:t>
            </w:r>
          </w:p>
        </w:tc>
      </w:tr>
      <w:tr w14:paraId="291D7EFE">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1E83F99E">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w:t>
            </w:r>
          </w:p>
        </w:tc>
        <w:tc>
          <w:tcPr>
            <w:tcW w:w="769" w:type="pct"/>
            <w:vMerge w:val="continue"/>
            <w:tcBorders>
              <w:top w:val="nil"/>
              <w:left w:val="single" w:color="auto" w:sz="4" w:space="0"/>
              <w:bottom w:val="single" w:color="auto" w:sz="4" w:space="0"/>
              <w:right w:val="single" w:color="auto" w:sz="4" w:space="0"/>
            </w:tcBorders>
            <w:vAlign w:val="center"/>
          </w:tcPr>
          <w:p w14:paraId="5B38245B">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3D88059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可显示当前正在呼叫的病人以及需要准备检查的病人信息。</w:t>
            </w:r>
          </w:p>
        </w:tc>
      </w:tr>
      <w:tr w14:paraId="2A4FBF9B">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57F21AA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p>
        </w:tc>
        <w:tc>
          <w:tcPr>
            <w:tcW w:w="769" w:type="pct"/>
            <w:vMerge w:val="continue"/>
            <w:tcBorders>
              <w:top w:val="nil"/>
              <w:left w:val="single" w:color="auto" w:sz="4" w:space="0"/>
              <w:bottom w:val="single" w:color="auto" w:sz="4" w:space="0"/>
              <w:right w:val="single" w:color="auto" w:sz="4" w:space="0"/>
            </w:tcBorders>
            <w:vAlign w:val="center"/>
          </w:tcPr>
          <w:p w14:paraId="664916D3">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56AEA9C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支持显示过号患者列表</w:t>
            </w:r>
          </w:p>
        </w:tc>
      </w:tr>
      <w:tr w14:paraId="5CCE888F">
        <w:tblPrEx>
          <w:tblCellMar>
            <w:top w:w="0" w:type="dxa"/>
            <w:left w:w="108" w:type="dxa"/>
            <w:bottom w:w="0" w:type="dxa"/>
            <w:right w:w="108" w:type="dxa"/>
          </w:tblCellMar>
        </w:tblPrEx>
        <w:tc>
          <w:tcPr>
            <w:tcW w:w="538" w:type="pct"/>
            <w:tcBorders>
              <w:top w:val="nil"/>
              <w:left w:val="single" w:color="auto" w:sz="4" w:space="0"/>
              <w:bottom w:val="single" w:color="auto" w:sz="4" w:space="0"/>
              <w:right w:val="single" w:color="auto" w:sz="4" w:space="0"/>
            </w:tcBorders>
            <w:shd w:val="clear" w:color="auto" w:fill="auto"/>
            <w:vAlign w:val="center"/>
          </w:tcPr>
          <w:p w14:paraId="2267371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w:t>
            </w:r>
          </w:p>
        </w:tc>
        <w:tc>
          <w:tcPr>
            <w:tcW w:w="769" w:type="pct"/>
            <w:vMerge w:val="continue"/>
            <w:tcBorders>
              <w:top w:val="nil"/>
              <w:left w:val="single" w:color="auto" w:sz="4" w:space="0"/>
              <w:bottom w:val="single" w:color="auto" w:sz="4" w:space="0"/>
              <w:right w:val="single" w:color="auto" w:sz="4" w:space="0"/>
            </w:tcBorders>
            <w:vAlign w:val="center"/>
          </w:tcPr>
          <w:p w14:paraId="384E7989">
            <w:pPr>
              <w:spacing w:line="460" w:lineRule="exact"/>
              <w:jc w:val="center"/>
              <w:rPr>
                <w:rFonts w:ascii="新宋体" w:hAnsi="新宋体" w:eastAsia="新宋体" w:cs="新宋体"/>
                <w:b/>
                <w:color w:val="auto"/>
                <w:sz w:val="22"/>
                <w:szCs w:val="22"/>
                <w:highlight w:val="none"/>
              </w:rPr>
            </w:pPr>
          </w:p>
        </w:tc>
        <w:tc>
          <w:tcPr>
            <w:tcW w:w="3692" w:type="pct"/>
            <w:tcBorders>
              <w:top w:val="nil"/>
              <w:left w:val="nil"/>
              <w:bottom w:val="single" w:color="auto" w:sz="4" w:space="0"/>
              <w:right w:val="single" w:color="auto" w:sz="4" w:space="0"/>
            </w:tcBorders>
            <w:shd w:val="clear" w:color="auto" w:fill="auto"/>
          </w:tcPr>
          <w:p w14:paraId="488E62D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等待的病人较多时，可设置为滚动显示，滚动速度可调节。</w:t>
            </w:r>
          </w:p>
        </w:tc>
      </w:tr>
    </w:tbl>
    <w:p w14:paraId="46459925">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3.10放射二次分诊叫号技术要求</w:t>
      </w:r>
    </w:p>
    <w:tbl>
      <w:tblPr>
        <w:tblStyle w:val="54"/>
        <w:tblW w:w="4998" w:type="pct"/>
        <w:jc w:val="center"/>
        <w:tblLayout w:type="autofit"/>
        <w:tblCellMar>
          <w:top w:w="0" w:type="dxa"/>
          <w:left w:w="108" w:type="dxa"/>
          <w:bottom w:w="0" w:type="dxa"/>
          <w:right w:w="108" w:type="dxa"/>
        </w:tblCellMar>
      </w:tblPr>
      <w:tblGrid>
        <w:gridCol w:w="1162"/>
        <w:gridCol w:w="1671"/>
        <w:gridCol w:w="7017"/>
      </w:tblGrid>
      <w:tr w14:paraId="6015D4AB">
        <w:tblPrEx>
          <w:tblCellMar>
            <w:top w:w="0" w:type="dxa"/>
            <w:left w:w="108" w:type="dxa"/>
            <w:bottom w:w="0" w:type="dxa"/>
            <w:right w:w="108" w:type="dxa"/>
          </w:tblCellMar>
        </w:tblPrEx>
        <w:trPr>
          <w:trHeight w:val="699" w:hRule="atLeast"/>
          <w:jc w:val="center"/>
        </w:trPr>
        <w:tc>
          <w:tcPr>
            <w:tcW w:w="590" w:type="pct"/>
            <w:tcBorders>
              <w:top w:val="single" w:color="auto" w:sz="4" w:space="0"/>
              <w:left w:val="single" w:color="auto" w:sz="4" w:space="0"/>
              <w:bottom w:val="single" w:color="auto" w:sz="4" w:space="0"/>
              <w:right w:val="single" w:color="auto" w:sz="4" w:space="0"/>
            </w:tcBorders>
            <w:vAlign w:val="center"/>
          </w:tcPr>
          <w:p w14:paraId="5F0C29B5">
            <w:pPr>
              <w:widowControl/>
              <w:spacing w:line="460" w:lineRule="exact"/>
              <w:jc w:val="center"/>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序号</w:t>
            </w:r>
          </w:p>
        </w:tc>
        <w:tc>
          <w:tcPr>
            <w:tcW w:w="848" w:type="pct"/>
            <w:tcBorders>
              <w:top w:val="single" w:color="auto" w:sz="4" w:space="0"/>
              <w:left w:val="single" w:color="auto" w:sz="4" w:space="0"/>
              <w:bottom w:val="single" w:color="auto" w:sz="4" w:space="0"/>
              <w:right w:val="single" w:color="auto" w:sz="4" w:space="0"/>
            </w:tcBorders>
            <w:vAlign w:val="center"/>
          </w:tcPr>
          <w:p w14:paraId="19818371">
            <w:pPr>
              <w:widowControl/>
              <w:spacing w:line="460" w:lineRule="exact"/>
              <w:jc w:val="center"/>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模块</w:t>
            </w:r>
          </w:p>
        </w:tc>
        <w:tc>
          <w:tcPr>
            <w:tcW w:w="3561" w:type="pct"/>
            <w:tcBorders>
              <w:top w:val="single" w:color="auto" w:sz="4" w:space="0"/>
              <w:left w:val="single" w:color="auto" w:sz="4" w:space="0"/>
              <w:bottom w:val="single" w:color="auto" w:sz="4" w:space="0"/>
              <w:right w:val="single" w:color="auto" w:sz="4" w:space="0"/>
            </w:tcBorders>
            <w:shd w:val="clear" w:color="auto" w:fill="auto"/>
            <w:vAlign w:val="center"/>
          </w:tcPr>
          <w:p w14:paraId="22C86F5F">
            <w:pPr>
              <w:widowControl/>
              <w:spacing w:line="460" w:lineRule="exact"/>
              <w:jc w:val="center"/>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技术要求</w:t>
            </w:r>
          </w:p>
        </w:tc>
      </w:tr>
      <w:tr w14:paraId="7289206F">
        <w:tblPrEx>
          <w:tblCellMar>
            <w:top w:w="0" w:type="dxa"/>
            <w:left w:w="108" w:type="dxa"/>
            <w:bottom w:w="0" w:type="dxa"/>
            <w:right w:w="108" w:type="dxa"/>
          </w:tblCellMar>
        </w:tblPrEx>
        <w:trPr>
          <w:trHeight w:val="320" w:hRule="atLeast"/>
          <w:jc w:val="center"/>
        </w:trPr>
        <w:tc>
          <w:tcPr>
            <w:tcW w:w="590" w:type="pct"/>
            <w:tcBorders>
              <w:top w:val="single" w:color="auto" w:sz="4" w:space="0"/>
              <w:left w:val="single" w:color="auto" w:sz="4" w:space="0"/>
              <w:bottom w:val="single" w:color="auto" w:sz="4" w:space="0"/>
              <w:right w:val="single" w:color="auto" w:sz="4" w:space="0"/>
            </w:tcBorders>
            <w:vAlign w:val="center"/>
          </w:tcPr>
          <w:p w14:paraId="520684FA">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restart"/>
            <w:tcBorders>
              <w:top w:val="single" w:color="auto" w:sz="4" w:space="0"/>
              <w:left w:val="single" w:color="auto" w:sz="4" w:space="0"/>
              <w:right w:val="single" w:color="auto" w:sz="4" w:space="0"/>
            </w:tcBorders>
            <w:vAlign w:val="center"/>
          </w:tcPr>
          <w:p w14:paraId="763288D0">
            <w:pPr>
              <w:widowControl/>
              <w:spacing w:line="460" w:lineRule="exact"/>
              <w:jc w:val="center"/>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准备队列</w:t>
            </w:r>
          </w:p>
        </w:tc>
        <w:tc>
          <w:tcPr>
            <w:tcW w:w="3561" w:type="pct"/>
            <w:tcBorders>
              <w:top w:val="single" w:color="auto" w:sz="4" w:space="0"/>
              <w:left w:val="single" w:color="auto" w:sz="4" w:space="0"/>
              <w:bottom w:val="single" w:color="auto" w:sz="4" w:space="0"/>
              <w:right w:val="single" w:color="auto" w:sz="4" w:space="0"/>
            </w:tcBorders>
            <w:shd w:val="clear" w:color="auto" w:fill="auto"/>
            <w:vAlign w:val="center"/>
          </w:tcPr>
          <w:p w14:paraId="22F3E2CC">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支持按照队列顺序呼叫准备的病人</w:t>
            </w:r>
          </w:p>
        </w:tc>
      </w:tr>
      <w:tr w14:paraId="59A1F2A5">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7A922892">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6E2BDB05">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33B74B37">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支持用户选择病人进行呼叫准备</w:t>
            </w:r>
          </w:p>
        </w:tc>
      </w:tr>
      <w:tr w14:paraId="25DA3E28">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5D031C05">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73A88AAB">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1DF95817">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支持待呼叫和已呼叫队列记录分开展示</w:t>
            </w:r>
          </w:p>
        </w:tc>
      </w:tr>
      <w:tr w14:paraId="7A05AD3C">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4516FD75">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5D75385D">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04C2BFC6">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支持通过扫描方式自动呼叫准备</w:t>
            </w:r>
          </w:p>
        </w:tc>
      </w:tr>
      <w:tr w14:paraId="69F58BE3">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6E62B0CB">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3F98F780">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5CC9EA94">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支持提示框显示准备完成自动倒计时</w:t>
            </w:r>
          </w:p>
        </w:tc>
      </w:tr>
      <w:tr w14:paraId="0207D281">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27D97153">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5EBE2D56">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7CDCED22">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支持呼叫准备的病人进行取消准备操作</w:t>
            </w:r>
          </w:p>
        </w:tc>
      </w:tr>
      <w:tr w14:paraId="3A4AE23D">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6242019C">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7B81A52E">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0CCEEABF">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支持召回被呼叫的病人</w:t>
            </w:r>
          </w:p>
        </w:tc>
      </w:tr>
      <w:tr w14:paraId="63C1422E">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50FD7FA9">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13BA0478">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1BB47C26">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支持召回准备中或准备完成的病人</w:t>
            </w:r>
          </w:p>
        </w:tc>
      </w:tr>
      <w:tr w14:paraId="024874DE">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5FC2A2FE">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3F9E78DE">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61ED1178">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支持被召回的病人重新呼叫</w:t>
            </w:r>
          </w:p>
        </w:tc>
      </w:tr>
      <w:tr w14:paraId="2695C5FB">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shd w:val="clear" w:color="auto" w:fill="auto"/>
            <w:vAlign w:val="center"/>
          </w:tcPr>
          <w:p w14:paraId="4FEF415F">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1A5D5A00">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7D3E4AC5">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通过刷新获取最新的待准备病人列表信息</w:t>
            </w:r>
          </w:p>
        </w:tc>
      </w:tr>
      <w:tr w14:paraId="744CAFB1">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shd w:val="clear" w:color="auto" w:fill="auto"/>
            <w:vAlign w:val="center"/>
          </w:tcPr>
          <w:p w14:paraId="10634199">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645B6008">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2CB9EB81">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支持显示当前队列名称</w:t>
            </w:r>
          </w:p>
        </w:tc>
      </w:tr>
      <w:tr w14:paraId="1A0B8248">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shd w:val="clear" w:color="auto" w:fill="auto"/>
            <w:vAlign w:val="center"/>
          </w:tcPr>
          <w:p w14:paraId="65B8503A">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bottom w:val="single" w:color="auto" w:sz="4" w:space="0"/>
              <w:right w:val="single" w:color="auto" w:sz="4" w:space="0"/>
            </w:tcBorders>
          </w:tcPr>
          <w:p w14:paraId="5EF59F03">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37E2A80B">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支持显示当前呼叫的患者名字</w:t>
            </w:r>
          </w:p>
        </w:tc>
      </w:tr>
      <w:tr w14:paraId="5099E47D">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21D13A35">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restart"/>
            <w:tcBorders>
              <w:top w:val="nil"/>
              <w:left w:val="single" w:color="auto" w:sz="4" w:space="0"/>
              <w:right w:val="single" w:color="auto" w:sz="4" w:space="0"/>
            </w:tcBorders>
            <w:vAlign w:val="center"/>
          </w:tcPr>
          <w:p w14:paraId="6F7FF3EB">
            <w:pPr>
              <w:widowControl/>
              <w:spacing w:line="460" w:lineRule="exact"/>
              <w:jc w:val="center"/>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呼叫队列</w:t>
            </w:r>
          </w:p>
        </w:tc>
        <w:tc>
          <w:tcPr>
            <w:tcW w:w="3561" w:type="pct"/>
            <w:tcBorders>
              <w:top w:val="nil"/>
              <w:left w:val="single" w:color="auto" w:sz="4" w:space="0"/>
              <w:bottom w:val="single" w:color="auto" w:sz="4" w:space="0"/>
              <w:right w:val="single" w:color="auto" w:sz="4" w:space="0"/>
            </w:tcBorders>
            <w:shd w:val="clear" w:color="auto" w:fill="auto"/>
            <w:vAlign w:val="center"/>
          </w:tcPr>
          <w:p w14:paraId="514AE015">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支持显示当前队列名称</w:t>
            </w:r>
          </w:p>
        </w:tc>
      </w:tr>
      <w:tr w14:paraId="217B40B7">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391BE6DA">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422F28D8">
            <w:pPr>
              <w:widowControl/>
              <w:spacing w:line="460" w:lineRule="exact"/>
              <w:jc w:val="center"/>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5CE63FF1">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通过刷新获取最新的待呼叫病人列表信息</w:t>
            </w:r>
          </w:p>
        </w:tc>
      </w:tr>
      <w:tr w14:paraId="0EEED261">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20BEB10B">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2D8AAAFE">
            <w:pPr>
              <w:widowControl/>
              <w:spacing w:line="460" w:lineRule="exact"/>
              <w:jc w:val="center"/>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75FF431B">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支持查询预约未签到的病人</w:t>
            </w:r>
          </w:p>
        </w:tc>
      </w:tr>
      <w:tr w14:paraId="55C6B593">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1B84979A">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115E7864">
            <w:pPr>
              <w:widowControl/>
              <w:spacing w:line="460" w:lineRule="exact"/>
              <w:jc w:val="center"/>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4334F2BB">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支持根据日历控件选择日期查询对应日期已预约未签到的病人</w:t>
            </w:r>
          </w:p>
        </w:tc>
      </w:tr>
      <w:tr w14:paraId="6400497C">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1A6118AE">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2F48E97D">
            <w:pPr>
              <w:widowControl/>
              <w:spacing w:line="460" w:lineRule="exact"/>
              <w:jc w:val="center"/>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3F6AEB73">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支持查询增加类型的检查</w:t>
            </w:r>
          </w:p>
        </w:tc>
      </w:tr>
      <w:tr w14:paraId="65BA4C3B">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1172C82A">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2D0F5718">
            <w:pPr>
              <w:widowControl/>
              <w:spacing w:line="460" w:lineRule="exact"/>
              <w:jc w:val="center"/>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755EE4CE">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支持呼叫需要检查前打针的病人</w:t>
            </w:r>
          </w:p>
        </w:tc>
      </w:tr>
      <w:tr w14:paraId="57821700">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47B0C6E0">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4FFFF042">
            <w:pPr>
              <w:widowControl/>
              <w:spacing w:line="460" w:lineRule="exact"/>
              <w:jc w:val="center"/>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07F34301">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支持呼叫需要检查前喝水的病人</w:t>
            </w:r>
          </w:p>
        </w:tc>
      </w:tr>
      <w:tr w14:paraId="333EDDE5">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2F95B6F1">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6A9D676F">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2306C06F">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支持对病人进行弃号操作，弃号病人在弃号列表显示</w:t>
            </w:r>
          </w:p>
        </w:tc>
      </w:tr>
      <w:tr w14:paraId="1CB83C9F">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23AA0142">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17CF1AEE">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18DC8941">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支持查询检查挂起的病人</w:t>
            </w:r>
          </w:p>
        </w:tc>
      </w:tr>
      <w:tr w14:paraId="6EB8A6AC">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6CED37E6">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bottom w:val="single" w:color="auto" w:sz="4" w:space="0"/>
              <w:right w:val="single" w:color="auto" w:sz="4" w:space="0"/>
            </w:tcBorders>
          </w:tcPr>
          <w:p w14:paraId="670AA539">
            <w:pPr>
              <w:widowControl/>
              <w:spacing w:line="460" w:lineRule="exact"/>
              <w:jc w:val="left"/>
              <w:rPr>
                <w:rFonts w:ascii="新宋体" w:hAnsi="新宋体" w:eastAsia="新宋体" w:cs="新宋体"/>
                <w:b/>
                <w:bCs/>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56D9E45C">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支持查询已诊的病人</w:t>
            </w:r>
          </w:p>
        </w:tc>
      </w:tr>
      <w:tr w14:paraId="7AEBC8CC">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57DC73A7">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restart"/>
            <w:tcBorders>
              <w:top w:val="nil"/>
              <w:left w:val="single" w:color="auto" w:sz="4" w:space="0"/>
              <w:right w:val="single" w:color="auto" w:sz="4" w:space="0"/>
            </w:tcBorders>
            <w:vAlign w:val="center"/>
          </w:tcPr>
          <w:p w14:paraId="014B6350">
            <w:pPr>
              <w:widowControl/>
              <w:spacing w:line="460" w:lineRule="exact"/>
              <w:jc w:val="center"/>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系统设置</w:t>
            </w:r>
          </w:p>
        </w:tc>
        <w:tc>
          <w:tcPr>
            <w:tcW w:w="3561" w:type="pct"/>
            <w:tcBorders>
              <w:top w:val="nil"/>
              <w:left w:val="single" w:color="auto" w:sz="4" w:space="0"/>
              <w:bottom w:val="single" w:color="auto" w:sz="4" w:space="0"/>
              <w:right w:val="single" w:color="auto" w:sz="4" w:space="0"/>
            </w:tcBorders>
            <w:shd w:val="clear" w:color="auto" w:fill="auto"/>
            <w:vAlign w:val="center"/>
          </w:tcPr>
          <w:p w14:paraId="07FEC324">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支持用户修改密码</w:t>
            </w:r>
          </w:p>
        </w:tc>
      </w:tr>
      <w:tr w14:paraId="08EADD65">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3E02176E">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1C207A36">
            <w:pPr>
              <w:widowControl/>
              <w:spacing w:line="460" w:lineRule="exact"/>
              <w:jc w:val="left"/>
              <w:rPr>
                <w:rFonts w:ascii="新宋体" w:hAnsi="新宋体" w:eastAsia="新宋体" w:cs="新宋体"/>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4CB2A1CF">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支持设置呼叫站信息，包括呼叫站基本信息、队列关系、呼叫中心设置、准备状态设置四个部分。</w:t>
            </w:r>
          </w:p>
        </w:tc>
      </w:tr>
      <w:tr w14:paraId="7DBE6087">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7D2A5368">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731D08A0">
            <w:pPr>
              <w:widowControl/>
              <w:spacing w:line="460" w:lineRule="exact"/>
              <w:jc w:val="left"/>
              <w:rPr>
                <w:rFonts w:ascii="新宋体" w:hAnsi="新宋体" w:eastAsia="新宋体" w:cs="新宋体"/>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441EB4B4">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呼叫站基本信息支持设置设备名称、本呼叫站的名称、房间号、门牌号和单击呼叫时呼叫的次数。</w:t>
            </w:r>
          </w:p>
        </w:tc>
      </w:tr>
      <w:tr w14:paraId="3DE29A0D">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44D13A78">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1D7EB931">
            <w:pPr>
              <w:widowControl/>
              <w:spacing w:line="460" w:lineRule="exact"/>
              <w:jc w:val="left"/>
              <w:rPr>
                <w:rFonts w:ascii="新宋体" w:hAnsi="新宋体" w:eastAsia="新宋体" w:cs="新宋体"/>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51E53D53">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队列关系支持设置队列名称、优先级、是否开启、是否默认和是否显示。</w:t>
            </w:r>
          </w:p>
        </w:tc>
      </w:tr>
      <w:tr w14:paraId="38DAE1E0">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312F4999">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right w:val="single" w:color="auto" w:sz="4" w:space="0"/>
            </w:tcBorders>
          </w:tcPr>
          <w:p w14:paraId="526F1806">
            <w:pPr>
              <w:widowControl/>
              <w:spacing w:line="460" w:lineRule="exact"/>
              <w:jc w:val="left"/>
              <w:rPr>
                <w:rFonts w:ascii="新宋体" w:hAnsi="新宋体" w:eastAsia="新宋体" w:cs="新宋体"/>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57216A5C">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呼叫中心支持设置选择连接的语音服务。</w:t>
            </w:r>
          </w:p>
        </w:tc>
      </w:tr>
      <w:tr w14:paraId="4AD3611E">
        <w:tblPrEx>
          <w:tblCellMar>
            <w:top w:w="0" w:type="dxa"/>
            <w:left w:w="108" w:type="dxa"/>
            <w:bottom w:w="0" w:type="dxa"/>
            <w:right w:w="108" w:type="dxa"/>
          </w:tblCellMar>
        </w:tblPrEx>
        <w:trPr>
          <w:trHeight w:val="320" w:hRule="atLeast"/>
          <w:jc w:val="center"/>
        </w:trPr>
        <w:tc>
          <w:tcPr>
            <w:tcW w:w="590" w:type="pct"/>
            <w:tcBorders>
              <w:top w:val="nil"/>
              <w:left w:val="single" w:color="auto" w:sz="4" w:space="0"/>
              <w:bottom w:val="single" w:color="auto" w:sz="4" w:space="0"/>
              <w:right w:val="single" w:color="auto" w:sz="4" w:space="0"/>
            </w:tcBorders>
            <w:vAlign w:val="center"/>
          </w:tcPr>
          <w:p w14:paraId="51028A9B">
            <w:pPr>
              <w:pStyle w:val="331"/>
              <w:widowControl/>
              <w:numPr>
                <w:ilvl w:val="0"/>
                <w:numId w:val="12"/>
              </w:numPr>
              <w:spacing w:line="460" w:lineRule="exact"/>
              <w:ind w:firstLineChars="0"/>
              <w:jc w:val="center"/>
              <w:rPr>
                <w:rFonts w:ascii="新宋体" w:hAnsi="新宋体" w:eastAsia="新宋体" w:cs="新宋体"/>
                <w:color w:val="auto"/>
                <w:kern w:val="0"/>
                <w:sz w:val="22"/>
                <w:szCs w:val="22"/>
                <w:highlight w:val="none"/>
              </w:rPr>
            </w:pPr>
          </w:p>
        </w:tc>
        <w:tc>
          <w:tcPr>
            <w:tcW w:w="848" w:type="pct"/>
            <w:vMerge w:val="continue"/>
            <w:tcBorders>
              <w:left w:val="single" w:color="auto" w:sz="4" w:space="0"/>
              <w:bottom w:val="single" w:color="auto" w:sz="4" w:space="0"/>
              <w:right w:val="single" w:color="auto" w:sz="4" w:space="0"/>
            </w:tcBorders>
          </w:tcPr>
          <w:p w14:paraId="21C7101F">
            <w:pPr>
              <w:widowControl/>
              <w:spacing w:line="460" w:lineRule="exact"/>
              <w:jc w:val="left"/>
              <w:rPr>
                <w:rFonts w:ascii="新宋体" w:hAnsi="新宋体" w:eastAsia="新宋体" w:cs="新宋体"/>
                <w:color w:val="auto"/>
                <w:kern w:val="0"/>
                <w:sz w:val="22"/>
                <w:szCs w:val="22"/>
                <w:highlight w:val="none"/>
              </w:rPr>
            </w:pPr>
          </w:p>
        </w:tc>
        <w:tc>
          <w:tcPr>
            <w:tcW w:w="3561" w:type="pct"/>
            <w:tcBorders>
              <w:top w:val="nil"/>
              <w:left w:val="single" w:color="auto" w:sz="4" w:space="0"/>
              <w:bottom w:val="single" w:color="auto" w:sz="4" w:space="0"/>
              <w:right w:val="single" w:color="auto" w:sz="4" w:space="0"/>
            </w:tcBorders>
            <w:shd w:val="clear" w:color="auto" w:fill="auto"/>
            <w:vAlign w:val="center"/>
          </w:tcPr>
          <w:p w14:paraId="00181483">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准备状态支持设置待处理列表，已处理列表、允许呼叫准备，允许准备完成，允许召回的号码状态。</w:t>
            </w:r>
          </w:p>
        </w:tc>
      </w:tr>
    </w:tbl>
    <w:p w14:paraId="6952C6B5">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3.11超声二次分诊叫号技术要求</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8600"/>
      </w:tblGrid>
      <w:tr w14:paraId="26BC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4D6A12E7">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4363" w:type="pct"/>
            <w:shd w:val="clear" w:color="auto" w:fill="auto"/>
            <w:vAlign w:val="center"/>
          </w:tcPr>
          <w:p w14:paraId="036F8DD0">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技术要求</w:t>
            </w:r>
          </w:p>
        </w:tc>
      </w:tr>
      <w:tr w14:paraId="0284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0E84C53E">
            <w:pPr>
              <w:numPr>
                <w:ilvl w:val="0"/>
                <w:numId w:val="13"/>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1F7780A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检查科室专用的检查分屏排队叫号管理软件。基于</w:t>
            </w:r>
            <w:r>
              <w:rPr>
                <w:rFonts w:hint="eastAsia" w:ascii="新宋体" w:hAnsi="新宋体" w:eastAsia="新宋体" w:cs="新宋体"/>
                <w:color w:val="auto"/>
                <w:sz w:val="22"/>
                <w:szCs w:val="22"/>
                <w:highlight w:val="none"/>
                <w:lang w:val="en-US" w:eastAsia="zh-CN"/>
              </w:rPr>
              <w:t>纯</w:t>
            </w:r>
            <w:r>
              <w:rPr>
                <w:rFonts w:hint="eastAsia" w:ascii="新宋体" w:hAnsi="新宋体" w:eastAsia="新宋体" w:cs="新宋体"/>
                <w:color w:val="auto"/>
                <w:sz w:val="22"/>
                <w:szCs w:val="22"/>
                <w:highlight w:val="none"/>
              </w:rPr>
              <w:t>Web程序</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提供截图证明</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，部署在每个检查诊室门口悬挂的诊间小屏上，在大屏叫号的基础上，可以提前呼叫2-3名患者到诊室口等待。</w:t>
            </w:r>
          </w:p>
        </w:tc>
      </w:tr>
      <w:tr w14:paraId="75B7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129AA7F2">
            <w:pPr>
              <w:numPr>
                <w:ilvl w:val="0"/>
                <w:numId w:val="13"/>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4CFBC9B7">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支持根据科室具体需求配置显示当前房间的基本信息和当前房间的呼叫情况。</w:t>
            </w:r>
          </w:p>
        </w:tc>
      </w:tr>
      <w:tr w14:paraId="3A33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283156FC">
            <w:pPr>
              <w:numPr>
                <w:ilvl w:val="0"/>
                <w:numId w:val="13"/>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3124AA5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支持显示等待的病人列表、正在检查患者、已呼患者的信息。</w:t>
            </w:r>
          </w:p>
        </w:tc>
      </w:tr>
      <w:tr w14:paraId="1942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7FFA3820">
            <w:pPr>
              <w:numPr>
                <w:ilvl w:val="0"/>
                <w:numId w:val="13"/>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02322E4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支持展示检查医生的基本信息。</w:t>
            </w:r>
          </w:p>
        </w:tc>
      </w:tr>
      <w:tr w14:paraId="055C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1AC3D850">
            <w:pPr>
              <w:numPr>
                <w:ilvl w:val="0"/>
                <w:numId w:val="13"/>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0E16EF2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支持配置显示检查室名称</w:t>
            </w:r>
          </w:p>
        </w:tc>
      </w:tr>
      <w:tr w14:paraId="6C98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00670016">
            <w:pPr>
              <w:numPr>
                <w:ilvl w:val="0"/>
                <w:numId w:val="13"/>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14C2A65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诊间医生可通过整合在报告系统里的呼叫软件选择顺呼、选呼、再呼按钮呼叫门口等待的病人进入诊间进行检查，同时会将大厅候诊的病人呼叫到诊间门口等待检查，门口小屏会显示等待的患者的信息。</w:t>
            </w:r>
          </w:p>
        </w:tc>
      </w:tr>
      <w:tr w14:paraId="5EDA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5DD6EF1A">
            <w:pPr>
              <w:numPr>
                <w:ilvl w:val="0"/>
                <w:numId w:val="13"/>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573BDC27">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支持显示检查所需注意事项等以供患者查看。</w:t>
            </w:r>
          </w:p>
        </w:tc>
      </w:tr>
    </w:tbl>
    <w:p w14:paraId="31768716">
      <w:pPr>
        <w:keepNext w:val="0"/>
        <w:keepLines w:val="0"/>
        <w:pageBreakBefore w:val="0"/>
        <w:widowControl w:val="0"/>
        <w:kinsoku/>
        <w:wordWrap/>
        <w:overflowPunct/>
        <w:topLinePunct w:val="0"/>
        <w:autoSpaceDE/>
        <w:autoSpaceDN/>
        <w:bidi w:val="0"/>
        <w:adjustRightInd/>
        <w:snapToGrid/>
        <w:spacing w:line="460" w:lineRule="exact"/>
        <w:textAlignment w:val="auto"/>
        <w:outlineLvl w:val="2"/>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3.12接口改造技术要求及费用</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8600"/>
      </w:tblGrid>
      <w:tr w14:paraId="0E76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1057A7B0">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4363" w:type="pct"/>
            <w:shd w:val="clear" w:color="auto" w:fill="auto"/>
            <w:vAlign w:val="center"/>
          </w:tcPr>
          <w:p w14:paraId="694D711D">
            <w:pPr>
              <w:spacing w:line="4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技术要求</w:t>
            </w:r>
          </w:p>
        </w:tc>
      </w:tr>
      <w:tr w14:paraId="25EC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shd w:val="clear" w:color="auto" w:fill="auto"/>
            <w:vAlign w:val="center"/>
          </w:tcPr>
          <w:p w14:paraId="73FCB9B0">
            <w:pPr>
              <w:numPr>
                <w:ilvl w:val="0"/>
                <w:numId w:val="14"/>
              </w:numPr>
              <w:spacing w:line="460" w:lineRule="exact"/>
              <w:jc w:val="center"/>
              <w:rPr>
                <w:rFonts w:ascii="新宋体" w:hAnsi="新宋体" w:eastAsia="新宋体" w:cs="新宋体"/>
                <w:color w:val="auto"/>
                <w:sz w:val="22"/>
                <w:szCs w:val="22"/>
                <w:highlight w:val="none"/>
              </w:rPr>
            </w:pPr>
          </w:p>
        </w:tc>
        <w:tc>
          <w:tcPr>
            <w:tcW w:w="4363" w:type="pct"/>
            <w:shd w:val="clear" w:color="auto" w:fill="auto"/>
          </w:tcPr>
          <w:p w14:paraId="2B613F1B">
            <w:pPr>
              <w:spacing w:line="460" w:lineRule="exact"/>
              <w:rPr>
                <w:rFonts w:ascii="新宋体" w:hAnsi="新宋体" w:eastAsia="新宋体" w:cs="新宋体"/>
                <w:color w:val="auto"/>
                <w:sz w:val="22"/>
                <w:szCs w:val="22"/>
                <w:highlight w:val="none"/>
              </w:rPr>
            </w:pPr>
            <w:r>
              <w:rPr>
                <w:rFonts w:hint="eastAsia" w:ascii="宋体" w:hAnsi="宋体" w:eastAsia="宋体" w:cs="宋体"/>
                <w:color w:val="auto"/>
                <w:sz w:val="21"/>
                <w:szCs w:val="21"/>
                <w:highlight w:val="none"/>
              </w:rPr>
              <w:t>★</w:t>
            </w:r>
            <w:r>
              <w:rPr>
                <w:rFonts w:hint="eastAsia" w:ascii="新宋体" w:hAnsi="新宋体" w:eastAsia="新宋体" w:cs="新宋体"/>
                <w:color w:val="auto"/>
                <w:sz w:val="22"/>
                <w:szCs w:val="22"/>
                <w:highlight w:val="none"/>
              </w:rPr>
              <w:t>支持与医院现有HIS系统、EMR系统、PACS系统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含放射信息系统、超声信息系统、内镜信息系统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心电系统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病理系统、非标检查设备系统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体检系统</w:t>
            </w:r>
            <w:r>
              <w:rPr>
                <w:rFonts w:hint="eastAsia" w:ascii="新宋体" w:hAnsi="新宋体" w:eastAsia="新宋体" w:cs="新宋体"/>
                <w:color w:val="auto"/>
                <w:sz w:val="22"/>
                <w:szCs w:val="22"/>
                <w:highlight w:val="none"/>
              </w:rPr>
              <w:t>、自助机、微信公众号、短信平台</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呼叫系统等系统</w:t>
            </w:r>
            <w:r>
              <w:rPr>
                <w:rFonts w:hint="eastAsia" w:ascii="新宋体" w:hAnsi="新宋体" w:eastAsia="新宋体" w:cs="新宋体"/>
                <w:color w:val="auto"/>
                <w:sz w:val="22"/>
                <w:szCs w:val="22"/>
                <w:highlight w:val="none"/>
              </w:rPr>
              <w:t>对接，实现数据互联互通。以上系统对接的接口费包含在本项目内，投标单位需要充分考虑。</w:t>
            </w:r>
            <w:r>
              <w:rPr>
                <w:rFonts w:hint="eastAsia" w:ascii="新宋体" w:hAnsi="新宋体" w:eastAsia="新宋体" w:cs="新宋体"/>
                <w:b/>
                <w:bCs/>
                <w:color w:val="auto"/>
                <w:sz w:val="22"/>
                <w:szCs w:val="22"/>
                <w:highlight w:val="none"/>
              </w:rPr>
              <w:t>（须提供相关承诺函）</w:t>
            </w:r>
          </w:p>
        </w:tc>
      </w:tr>
    </w:tbl>
    <w:p w14:paraId="6758DEF4">
      <w:pPr>
        <w:keepNext w:val="0"/>
        <w:keepLines w:val="0"/>
        <w:pageBreakBefore w:val="0"/>
        <w:kinsoku/>
        <w:wordWrap/>
        <w:topLinePunct w:val="0"/>
        <w:bidi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4F2C25">
      <w:pPr>
        <w:pStyle w:val="5"/>
        <w:rPr>
          <w:rFonts w:ascii="宋体" w:hAnsi="宋体" w:eastAsia="宋体" w:cs="宋体"/>
          <w:color w:val="auto"/>
          <w:highlight w:val="none"/>
        </w:rPr>
      </w:pPr>
      <w:r>
        <w:rPr>
          <w:rFonts w:hint="eastAsia" w:ascii="宋体" w:hAnsi="宋体" w:eastAsia="宋体" w:cs="宋体"/>
          <w:color w:val="auto"/>
          <w:highlight w:val="none"/>
        </w:rPr>
        <w:t>第五部分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评标原则及方法</w:t>
      </w:r>
      <w:bookmarkEnd w:id="47"/>
      <w:bookmarkEnd w:id="48"/>
    </w:p>
    <w:p w14:paraId="102087C9">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根据《中华人民共和国政府采购法》、《政府采购货物和服务招标投标管理办法》、《中华人民共和国政府采购法实施条例》和《关于进一步规范政府采购活动的若干意见》等相关法规特制定以下评标办法。</w:t>
      </w:r>
    </w:p>
    <w:p w14:paraId="5BC217DD">
      <w:pPr>
        <w:spacing w:line="460" w:lineRule="exact"/>
        <w:ind w:firstLine="541" w:firstLineChars="245"/>
        <w:outlineLvl w:val="1"/>
        <w:rPr>
          <w:rFonts w:ascii="宋体" w:hAnsi="宋体" w:cs="宋体"/>
          <w:b/>
          <w:color w:val="auto"/>
          <w:sz w:val="22"/>
          <w:szCs w:val="22"/>
          <w:highlight w:val="none"/>
        </w:rPr>
      </w:pPr>
      <w:bookmarkStart w:id="61" w:name="_Toc15713"/>
      <w:bookmarkStart w:id="62" w:name="_Toc4407"/>
      <w:r>
        <w:rPr>
          <w:rFonts w:hint="eastAsia" w:ascii="宋体" w:hAnsi="宋体" w:cs="宋体"/>
          <w:b/>
          <w:color w:val="auto"/>
          <w:sz w:val="22"/>
          <w:szCs w:val="22"/>
          <w:highlight w:val="none"/>
        </w:rPr>
        <w:t>一、总则</w:t>
      </w:r>
      <w:bookmarkEnd w:id="61"/>
      <w:bookmarkEnd w:id="62"/>
    </w:p>
    <w:p w14:paraId="3CEDD0A6">
      <w:pPr>
        <w:spacing w:line="460" w:lineRule="exact"/>
        <w:ind w:firstLine="539" w:firstLineChars="245"/>
        <w:rPr>
          <w:rFonts w:ascii="宋体" w:hAnsi="宋体" w:cs="宋体"/>
          <w:b/>
          <w:color w:val="auto"/>
          <w:sz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0E3E38B1">
      <w:pPr>
        <w:spacing w:line="460" w:lineRule="exact"/>
        <w:ind w:firstLine="541" w:firstLineChars="245"/>
        <w:outlineLvl w:val="1"/>
        <w:rPr>
          <w:rFonts w:ascii="宋体" w:hAnsi="宋体" w:cs="宋体"/>
          <w:b/>
          <w:color w:val="auto"/>
          <w:sz w:val="22"/>
          <w:szCs w:val="22"/>
          <w:highlight w:val="none"/>
        </w:rPr>
      </w:pPr>
      <w:bookmarkStart w:id="63" w:name="_Toc23152"/>
      <w:bookmarkStart w:id="64" w:name="_Toc24468"/>
      <w:r>
        <w:rPr>
          <w:rFonts w:hint="eastAsia" w:ascii="宋体" w:hAnsi="宋体" w:cs="宋体"/>
          <w:b/>
          <w:color w:val="auto"/>
          <w:sz w:val="22"/>
          <w:szCs w:val="22"/>
          <w:highlight w:val="none"/>
        </w:rPr>
        <w:t>二、评标组织</w:t>
      </w:r>
      <w:bookmarkEnd w:id="63"/>
      <w:bookmarkEnd w:id="64"/>
    </w:p>
    <w:p w14:paraId="42B73F2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评标工作由招标人组建的评标委员会负责，评标全过程由有关部门指导监督。</w:t>
      </w:r>
    </w:p>
    <w:p w14:paraId="72A34B45">
      <w:pPr>
        <w:spacing w:line="460" w:lineRule="exact"/>
        <w:ind w:firstLine="541" w:firstLineChars="245"/>
        <w:outlineLvl w:val="1"/>
        <w:rPr>
          <w:rFonts w:ascii="宋体" w:hAnsi="宋体" w:cs="宋体"/>
          <w:b/>
          <w:color w:val="auto"/>
          <w:sz w:val="22"/>
          <w:szCs w:val="22"/>
          <w:highlight w:val="none"/>
        </w:rPr>
      </w:pPr>
      <w:bookmarkStart w:id="65" w:name="_Toc67"/>
      <w:bookmarkStart w:id="66" w:name="_Toc15153"/>
      <w:r>
        <w:rPr>
          <w:rFonts w:hint="eastAsia" w:ascii="宋体" w:hAnsi="宋体" w:cs="宋体"/>
          <w:b/>
          <w:color w:val="auto"/>
          <w:sz w:val="22"/>
          <w:szCs w:val="22"/>
          <w:highlight w:val="none"/>
        </w:rPr>
        <w:t>三、评标程序</w:t>
      </w:r>
      <w:bookmarkEnd w:id="65"/>
      <w:bookmarkEnd w:id="66"/>
    </w:p>
    <w:p w14:paraId="5680BB49">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评标委员按照招标文件中规定的评标方法和标准，对投标文件进行商务和技术评估，综合比较与评价，根据综合评审结果，提交评审报告。</w:t>
      </w:r>
    </w:p>
    <w:p w14:paraId="55B429C5">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相同品牌产品且通过资格审查、符合性审查的不同投标人参加同一合同项下投标的,按一家投标人计算,评审后综合得分最高的同品牌投标人获得中标人推荐资格；综合得分相同的,报价最低一家供应商获得中标人推荐资格；均相同时采取随机抽取方式确认一个投标人获得中标人推荐资格,其他同品牌投标人不作为中标候选人。</w:t>
      </w:r>
    </w:p>
    <w:p w14:paraId="14F1AB6D">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非单一产品采购项目，应当根据采购项目技术构成、产品价格比重等合理确定核心产品。多家投标人提供的核心产品品牌相同的，按前款规定处理。</w:t>
      </w:r>
    </w:p>
    <w:p w14:paraId="7E33E98F">
      <w:pPr>
        <w:spacing w:line="460" w:lineRule="exact"/>
        <w:ind w:firstLine="541" w:firstLineChars="245"/>
        <w:outlineLvl w:val="1"/>
        <w:rPr>
          <w:rFonts w:ascii="宋体" w:hAnsi="宋体" w:cs="宋体"/>
          <w:b/>
          <w:color w:val="auto"/>
          <w:sz w:val="22"/>
          <w:szCs w:val="22"/>
          <w:highlight w:val="none"/>
        </w:rPr>
      </w:pPr>
      <w:bookmarkStart w:id="67" w:name="_Toc11306"/>
      <w:bookmarkStart w:id="68" w:name="_Toc24825"/>
      <w:r>
        <w:rPr>
          <w:rFonts w:hint="eastAsia" w:ascii="宋体" w:hAnsi="宋体" w:cs="宋体"/>
          <w:b/>
          <w:color w:val="auto"/>
          <w:sz w:val="22"/>
          <w:szCs w:val="22"/>
          <w:highlight w:val="none"/>
        </w:rPr>
        <w:t>四、评标办法</w:t>
      </w:r>
      <w:bookmarkEnd w:id="67"/>
      <w:bookmarkEnd w:id="68"/>
    </w:p>
    <w:p w14:paraId="3C85E26B">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w:t>
      </w:r>
    </w:p>
    <w:p w14:paraId="1528A7AC">
      <w:pPr>
        <w:numPr>
          <w:ilvl w:val="0"/>
          <w:numId w:val="15"/>
        </w:numPr>
        <w:spacing w:line="460" w:lineRule="exact"/>
        <w:ind w:firstLine="541" w:firstLineChars="245"/>
        <w:outlineLvl w:val="1"/>
        <w:rPr>
          <w:rFonts w:ascii="宋体" w:hAnsi="宋体" w:cs="宋体"/>
          <w:b/>
          <w:color w:val="auto"/>
          <w:sz w:val="22"/>
          <w:szCs w:val="22"/>
          <w:highlight w:val="none"/>
        </w:rPr>
      </w:pPr>
      <w:bookmarkStart w:id="69" w:name="_Toc1535"/>
      <w:bookmarkStart w:id="70" w:name="_Toc11450"/>
      <w:r>
        <w:rPr>
          <w:rFonts w:hint="eastAsia" w:ascii="宋体" w:hAnsi="宋体" w:cs="宋体"/>
          <w:b/>
          <w:color w:val="auto"/>
          <w:sz w:val="22"/>
          <w:szCs w:val="22"/>
          <w:highlight w:val="none"/>
        </w:rPr>
        <w:t>评分细则</w:t>
      </w:r>
      <w:bookmarkEnd w:id="69"/>
      <w:bookmarkEnd w:id="70"/>
    </w:p>
    <w:p w14:paraId="072594FC">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1、技术分的评定：技术标</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0分（权值</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0%）</w:t>
      </w:r>
    </w:p>
    <w:p w14:paraId="430C5589">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54"/>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86"/>
        <w:gridCol w:w="6819"/>
        <w:gridCol w:w="786"/>
      </w:tblGrid>
      <w:tr w14:paraId="4F40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2AF9922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47" w:type="pct"/>
            <w:tcBorders>
              <w:top w:val="single" w:color="auto" w:sz="4" w:space="0"/>
              <w:left w:val="single" w:color="auto" w:sz="4" w:space="0"/>
              <w:bottom w:val="single" w:color="auto" w:sz="4" w:space="0"/>
              <w:right w:val="single" w:color="auto" w:sz="4" w:space="0"/>
            </w:tcBorders>
            <w:vAlign w:val="center"/>
          </w:tcPr>
          <w:p w14:paraId="4371DEB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3427" w:type="pct"/>
            <w:tcBorders>
              <w:top w:val="single" w:color="auto" w:sz="4" w:space="0"/>
              <w:left w:val="single" w:color="auto" w:sz="4" w:space="0"/>
              <w:bottom w:val="single" w:color="auto" w:sz="4" w:space="0"/>
              <w:right w:val="single" w:color="auto" w:sz="4" w:space="0"/>
            </w:tcBorders>
            <w:vAlign w:val="center"/>
          </w:tcPr>
          <w:p w14:paraId="5772284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c>
          <w:tcPr>
            <w:tcW w:w="395" w:type="pct"/>
            <w:tcBorders>
              <w:top w:val="single" w:color="auto" w:sz="4" w:space="0"/>
              <w:left w:val="single" w:color="auto" w:sz="4" w:space="0"/>
              <w:bottom w:val="single" w:color="auto" w:sz="4" w:space="0"/>
              <w:right w:val="single" w:color="auto" w:sz="4" w:space="0"/>
            </w:tcBorders>
            <w:vAlign w:val="center"/>
          </w:tcPr>
          <w:p w14:paraId="54AB0EF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1DC2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vMerge w:val="restart"/>
            <w:tcBorders>
              <w:top w:val="single" w:color="auto" w:sz="4" w:space="0"/>
              <w:left w:val="single" w:color="auto" w:sz="4" w:space="0"/>
              <w:right w:val="single" w:color="auto" w:sz="4" w:space="0"/>
            </w:tcBorders>
            <w:vAlign w:val="center"/>
          </w:tcPr>
          <w:p w14:paraId="2122F21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7" w:type="pct"/>
            <w:vMerge w:val="restart"/>
            <w:tcBorders>
              <w:top w:val="single" w:color="auto" w:sz="4" w:space="0"/>
              <w:left w:val="single" w:color="auto" w:sz="4" w:space="0"/>
              <w:right w:val="single" w:color="auto" w:sz="4" w:space="0"/>
            </w:tcBorders>
            <w:vAlign w:val="center"/>
          </w:tcPr>
          <w:p w14:paraId="5F90950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投标人综合情况</w:t>
            </w:r>
          </w:p>
        </w:tc>
        <w:tc>
          <w:tcPr>
            <w:tcW w:w="3427" w:type="pct"/>
            <w:tcBorders>
              <w:top w:val="single" w:color="auto" w:sz="4" w:space="0"/>
              <w:left w:val="single" w:color="auto" w:sz="4" w:space="0"/>
              <w:right w:val="single" w:color="auto" w:sz="4" w:space="0"/>
            </w:tcBorders>
            <w:shd w:val="clear" w:color="auto" w:fill="auto"/>
          </w:tcPr>
          <w:p w14:paraId="482F92CA">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投标人是否获得ISO27001证书（医疗软件信息安全管理体系认证）、ITSS证书（信息技术服务标准）、ISO9001证书（针对医疗器械应用软件研发的质量管理体系标准）、CS证书（信息系统建设和服务能力等级二级或更高认证），每提供一个有效时间内证明的得1分，最高分得4分，需提供证书复印件，未提供不得分。</w:t>
            </w:r>
          </w:p>
        </w:tc>
        <w:tc>
          <w:tcPr>
            <w:tcW w:w="395" w:type="pct"/>
            <w:tcBorders>
              <w:top w:val="single" w:color="auto" w:sz="4" w:space="0"/>
              <w:left w:val="single" w:color="auto" w:sz="4" w:space="0"/>
              <w:right w:val="single" w:color="auto" w:sz="4" w:space="0"/>
            </w:tcBorders>
            <w:vAlign w:val="center"/>
          </w:tcPr>
          <w:p w14:paraId="228F615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r>
      <w:tr w14:paraId="4591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vMerge w:val="continue"/>
            <w:tcBorders>
              <w:left w:val="single" w:color="auto" w:sz="4" w:space="0"/>
              <w:right w:val="single" w:color="auto" w:sz="4" w:space="0"/>
            </w:tcBorders>
            <w:vAlign w:val="center"/>
          </w:tcPr>
          <w:p w14:paraId="5C17C8C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p>
        </w:tc>
        <w:tc>
          <w:tcPr>
            <w:tcW w:w="747" w:type="pct"/>
            <w:vMerge w:val="continue"/>
            <w:tcBorders>
              <w:left w:val="single" w:color="auto" w:sz="4" w:space="0"/>
              <w:right w:val="single" w:color="auto" w:sz="4" w:space="0"/>
            </w:tcBorders>
            <w:vAlign w:val="center"/>
          </w:tcPr>
          <w:p w14:paraId="7EB1033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p>
        </w:tc>
        <w:tc>
          <w:tcPr>
            <w:tcW w:w="3427" w:type="pct"/>
            <w:tcBorders>
              <w:top w:val="single" w:color="auto" w:sz="4" w:space="0"/>
              <w:left w:val="single" w:color="auto" w:sz="4" w:space="0"/>
              <w:right w:val="single" w:color="auto" w:sz="4" w:space="0"/>
            </w:tcBorders>
          </w:tcPr>
          <w:p w14:paraId="64D0609E">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根据投标人是否具备成熟的分布式高并发</w:t>
            </w:r>
            <w:r>
              <w:rPr>
                <w:rFonts w:hint="eastAsia" w:ascii="宋体" w:hAnsi="宋体" w:eastAsia="宋体" w:cs="宋体"/>
                <w:color w:val="auto"/>
                <w:kern w:val="0"/>
                <w:sz w:val="21"/>
                <w:szCs w:val="21"/>
                <w:highlight w:val="none"/>
                <w:lang w:val="en-US" w:eastAsia="zh-CN"/>
              </w:rPr>
              <w:t>医疗</w:t>
            </w:r>
            <w:r>
              <w:rPr>
                <w:rFonts w:hint="eastAsia" w:ascii="宋体" w:hAnsi="宋体" w:eastAsia="宋体" w:cs="宋体"/>
                <w:color w:val="auto"/>
                <w:kern w:val="0"/>
                <w:sz w:val="21"/>
                <w:szCs w:val="21"/>
                <w:highlight w:val="none"/>
              </w:rPr>
              <w:t>信息化类架构技术，每提供一个证明文件的得1分（如分布式软件著作权及软件产品证书证明文件），最高3分。需提供证书复印件，否则不得分。</w:t>
            </w:r>
          </w:p>
        </w:tc>
        <w:tc>
          <w:tcPr>
            <w:tcW w:w="395" w:type="pct"/>
            <w:tcBorders>
              <w:top w:val="single" w:color="auto" w:sz="4" w:space="0"/>
              <w:left w:val="single" w:color="auto" w:sz="4" w:space="0"/>
              <w:right w:val="single" w:color="auto" w:sz="4" w:space="0"/>
            </w:tcBorders>
            <w:vAlign w:val="center"/>
          </w:tcPr>
          <w:p w14:paraId="066AB22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r>
      <w:tr w14:paraId="60AB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0AF7556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auto" w:sz="4" w:space="0"/>
              <w:left w:val="single" w:color="auto" w:sz="4" w:space="0"/>
              <w:bottom w:val="single" w:color="auto" w:sz="4" w:space="0"/>
              <w:right w:val="single" w:color="auto" w:sz="4" w:space="0"/>
            </w:tcBorders>
            <w:vAlign w:val="center"/>
          </w:tcPr>
          <w:p w14:paraId="672FD6C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技术指标响应</w:t>
            </w:r>
          </w:p>
        </w:tc>
        <w:tc>
          <w:tcPr>
            <w:tcW w:w="3427" w:type="pct"/>
            <w:tcBorders>
              <w:top w:val="single" w:color="auto" w:sz="4" w:space="0"/>
              <w:left w:val="single" w:color="auto" w:sz="4" w:space="0"/>
              <w:bottom w:val="single" w:color="auto" w:sz="4" w:space="0"/>
              <w:right w:val="single" w:color="auto" w:sz="4" w:space="0"/>
            </w:tcBorders>
            <w:vAlign w:val="center"/>
          </w:tcPr>
          <w:p w14:paraId="647FBEE7">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针对采购需求所有技术要求参数响应情况进行评分，全部满足招标文件技术要求的得满分</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ins w:id="0" w:author="温" w:date="2026-02-04T16:50:55Z">
              <w:r>
                <w:rPr>
                  <w:rFonts w:hint="eastAsia" w:ascii="宋体" w:hAnsi="宋体" w:cs="宋体"/>
                  <w:color w:val="auto"/>
                  <w:sz w:val="21"/>
                  <w:szCs w:val="21"/>
                  <w:highlight w:val="none"/>
                  <w:lang w:eastAsia="zh-CN"/>
                </w:rPr>
                <w:t>：</w:t>
              </w:r>
            </w:ins>
          </w:p>
          <w:p w14:paraId="044DF596">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标“★”项为重要技术参数要求，需提供对应真实系统界面截图并加盖公章（将作为本项目最终验收依据）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每有一项不满足扣3分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其他项每一项不满足扣1分，扣完为止。</w:t>
            </w:r>
          </w:p>
        </w:tc>
        <w:tc>
          <w:tcPr>
            <w:tcW w:w="395" w:type="pct"/>
            <w:tcBorders>
              <w:top w:val="single" w:color="auto" w:sz="4" w:space="0"/>
              <w:left w:val="single" w:color="auto" w:sz="4" w:space="0"/>
              <w:bottom w:val="single" w:color="auto" w:sz="4" w:space="0"/>
              <w:right w:val="single" w:color="auto" w:sz="4" w:space="0"/>
            </w:tcBorders>
            <w:vAlign w:val="center"/>
          </w:tcPr>
          <w:p w14:paraId="5F4F851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2</w:t>
            </w:r>
          </w:p>
        </w:tc>
      </w:tr>
      <w:tr w14:paraId="1F94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7A73EFD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7" w:type="pct"/>
            <w:tcBorders>
              <w:left w:val="single" w:color="auto" w:sz="4" w:space="0"/>
              <w:bottom w:val="single" w:color="auto" w:sz="4" w:space="0"/>
              <w:right w:val="single" w:color="auto" w:sz="4" w:space="0"/>
            </w:tcBorders>
            <w:vAlign w:val="center"/>
          </w:tcPr>
          <w:p w14:paraId="173CD2E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总体建设方案</w:t>
            </w:r>
          </w:p>
        </w:tc>
        <w:tc>
          <w:tcPr>
            <w:tcW w:w="3427" w:type="pct"/>
            <w:tcBorders>
              <w:top w:val="single" w:color="auto" w:sz="4" w:space="0"/>
              <w:left w:val="single" w:color="auto" w:sz="4" w:space="0"/>
              <w:right w:val="single" w:color="auto" w:sz="4" w:space="0"/>
            </w:tcBorders>
            <w:vAlign w:val="center"/>
          </w:tcPr>
          <w:p w14:paraId="1D35A96B">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根据投标人提供的总体建设方案（包括但不限于技术路线选择、系统框架设计、系统前端设计、安全性能等内容）由专家综合打分。（评分范围：4，3，2，1，0分）</w:t>
            </w:r>
          </w:p>
        </w:tc>
        <w:tc>
          <w:tcPr>
            <w:tcW w:w="395" w:type="pct"/>
            <w:tcBorders>
              <w:top w:val="single" w:color="auto" w:sz="4" w:space="0"/>
              <w:left w:val="single" w:color="auto" w:sz="4" w:space="0"/>
              <w:right w:val="single" w:color="auto" w:sz="4" w:space="0"/>
            </w:tcBorders>
            <w:vAlign w:val="center"/>
          </w:tcPr>
          <w:p w14:paraId="11BB386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p>
        </w:tc>
      </w:tr>
      <w:tr w14:paraId="6295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right w:val="single" w:color="auto" w:sz="4" w:space="0"/>
            </w:tcBorders>
            <w:vAlign w:val="center"/>
          </w:tcPr>
          <w:p w14:paraId="677871F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7" w:type="pct"/>
            <w:tcBorders>
              <w:top w:val="single" w:color="auto" w:sz="4" w:space="0"/>
              <w:left w:val="single" w:color="auto" w:sz="4" w:space="0"/>
              <w:right w:val="single" w:color="auto" w:sz="4" w:space="0"/>
            </w:tcBorders>
            <w:vAlign w:val="center"/>
          </w:tcPr>
          <w:p w14:paraId="0801E5E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w:t>
            </w:r>
            <w:r>
              <w:rPr>
                <w:rFonts w:hint="eastAsia" w:ascii="宋体" w:hAnsi="宋体" w:eastAsia="宋体" w:cs="宋体"/>
                <w:color w:val="auto"/>
                <w:sz w:val="21"/>
                <w:szCs w:val="21"/>
                <w:highlight w:val="none"/>
                <w:lang w:val="en-US" w:eastAsia="zh-CN"/>
              </w:rPr>
              <w:t>部署</w:t>
            </w:r>
            <w:r>
              <w:rPr>
                <w:rFonts w:hint="eastAsia" w:ascii="宋体" w:hAnsi="宋体" w:eastAsia="宋体" w:cs="宋体"/>
                <w:color w:val="auto"/>
                <w:sz w:val="21"/>
                <w:szCs w:val="21"/>
                <w:highlight w:val="none"/>
              </w:rPr>
              <w:t>方案</w:t>
            </w:r>
          </w:p>
        </w:tc>
        <w:tc>
          <w:tcPr>
            <w:tcW w:w="3427" w:type="pct"/>
            <w:tcBorders>
              <w:top w:val="single" w:color="auto" w:sz="4" w:space="0"/>
              <w:left w:val="single" w:color="auto" w:sz="4" w:space="0"/>
              <w:right w:val="single" w:color="auto" w:sz="4" w:space="0"/>
            </w:tcBorders>
            <w:vAlign w:val="center"/>
          </w:tcPr>
          <w:p w14:paraId="0475F02B">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根据投标人提供的实施方案（包括但不限于明确的安装实施计划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实施部署架构，服务器、操作系统、数据库、中间件的国产化选择</w:t>
            </w:r>
            <w:r>
              <w:rPr>
                <w:rFonts w:hint="eastAsia" w:ascii="宋体" w:hAnsi="宋体" w:eastAsia="宋体" w:cs="宋体"/>
                <w:color w:val="auto"/>
                <w:sz w:val="21"/>
                <w:szCs w:val="21"/>
                <w:highlight w:val="none"/>
              </w:rPr>
              <w:t>）由专家综合打分。（评分范围：4，3，2，1，0分）</w:t>
            </w:r>
          </w:p>
        </w:tc>
        <w:tc>
          <w:tcPr>
            <w:tcW w:w="395" w:type="pct"/>
            <w:tcBorders>
              <w:top w:val="single" w:color="auto" w:sz="4" w:space="0"/>
              <w:left w:val="single" w:color="auto" w:sz="4" w:space="0"/>
              <w:right w:val="single" w:color="auto" w:sz="4" w:space="0"/>
            </w:tcBorders>
            <w:vAlign w:val="center"/>
          </w:tcPr>
          <w:p w14:paraId="6AF5DE1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p>
        </w:tc>
      </w:tr>
      <w:tr w14:paraId="557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right w:val="single" w:color="auto" w:sz="4" w:space="0"/>
            </w:tcBorders>
            <w:vAlign w:val="center"/>
          </w:tcPr>
          <w:p w14:paraId="0D8B359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47" w:type="pct"/>
            <w:tcBorders>
              <w:top w:val="single" w:color="auto" w:sz="4" w:space="0"/>
              <w:left w:val="single" w:color="auto" w:sz="4" w:space="0"/>
              <w:right w:val="single" w:color="auto" w:sz="4" w:space="0"/>
            </w:tcBorders>
            <w:vAlign w:val="center"/>
          </w:tcPr>
          <w:p w14:paraId="4DBB612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项目团队</w:t>
            </w:r>
          </w:p>
        </w:tc>
        <w:tc>
          <w:tcPr>
            <w:tcW w:w="3427" w:type="pct"/>
            <w:tcBorders>
              <w:top w:val="single" w:color="auto" w:sz="4" w:space="0"/>
              <w:left w:val="single" w:color="auto" w:sz="4" w:space="0"/>
              <w:right w:val="single" w:color="auto" w:sz="4" w:space="0"/>
            </w:tcBorders>
            <w:vAlign w:val="center"/>
          </w:tcPr>
          <w:p w14:paraId="65B1F90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根据投标人实施团队成员具有高级系统架构设计师（通过软考或正规评审），每提供一个得2分，最高分2分（需与投标人同单位的社保证明，提供相关证书证明文件）</w:t>
            </w:r>
          </w:p>
          <w:p w14:paraId="330BCEB3">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根据投标人实施团队具有CISP(注册信息安全专业人员)证书，每提供一个得1分，最高分</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分。（需与投标人同单位的社保证明，提供相关证书证明文件）</w:t>
            </w:r>
          </w:p>
        </w:tc>
        <w:tc>
          <w:tcPr>
            <w:tcW w:w="395" w:type="pct"/>
            <w:tcBorders>
              <w:top w:val="single" w:color="auto" w:sz="4" w:space="0"/>
              <w:left w:val="single" w:color="auto" w:sz="4" w:space="0"/>
              <w:right w:val="single" w:color="auto" w:sz="4" w:space="0"/>
            </w:tcBorders>
            <w:vAlign w:val="center"/>
          </w:tcPr>
          <w:p w14:paraId="7EC4D4B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7BAD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right w:val="single" w:color="auto" w:sz="4" w:space="0"/>
            </w:tcBorders>
            <w:vAlign w:val="center"/>
          </w:tcPr>
          <w:p w14:paraId="2879943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747" w:type="pct"/>
            <w:tcBorders>
              <w:top w:val="single" w:color="auto" w:sz="4" w:space="0"/>
              <w:left w:val="single" w:color="auto" w:sz="4" w:space="0"/>
              <w:right w:val="single" w:color="auto" w:sz="4" w:space="0"/>
            </w:tcBorders>
            <w:shd w:val="clear" w:color="auto" w:fill="auto"/>
            <w:vAlign w:val="center"/>
          </w:tcPr>
          <w:p w14:paraId="57F95191">
            <w:pPr>
              <w:pStyle w:val="331"/>
              <w:keepNext w:val="0"/>
              <w:keepLines w:val="0"/>
              <w:pageBreakBefore w:val="0"/>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与院内</w:t>
            </w:r>
            <w:r>
              <w:rPr>
                <w:rFonts w:hint="eastAsia" w:ascii="宋体" w:hAnsi="宋体" w:cs="宋体"/>
                <w:color w:val="auto"/>
                <w:sz w:val="22"/>
                <w:highlight w:val="none"/>
                <w:lang w:val="en-US" w:eastAsia="zh-CN"/>
              </w:rPr>
              <w:t>PACS/RIS</w:t>
            </w:r>
            <w:r>
              <w:rPr>
                <w:rFonts w:hint="eastAsia" w:ascii="宋体" w:hAnsi="宋体" w:cs="宋体"/>
                <w:color w:val="auto"/>
                <w:sz w:val="22"/>
                <w:highlight w:val="none"/>
              </w:rPr>
              <w:t>系统对接</w:t>
            </w:r>
          </w:p>
        </w:tc>
        <w:tc>
          <w:tcPr>
            <w:tcW w:w="3427" w:type="pct"/>
            <w:tcBorders>
              <w:top w:val="single" w:color="auto" w:sz="4" w:space="0"/>
              <w:left w:val="single" w:color="auto" w:sz="4" w:space="0"/>
              <w:right w:val="single" w:color="auto" w:sz="4" w:space="0"/>
            </w:tcBorders>
            <w:shd w:val="clear" w:color="auto" w:fill="auto"/>
            <w:vAlign w:val="top"/>
          </w:tcPr>
          <w:p w14:paraId="3730FFB6">
            <w:pPr>
              <w:pStyle w:val="331"/>
              <w:keepNext w:val="0"/>
              <w:keepLines w:val="0"/>
              <w:pageBreakBefore w:val="0"/>
              <w:kinsoku/>
              <w:wordWrap/>
              <w:overflowPunct/>
              <w:topLinePunct w:val="0"/>
              <w:autoSpaceDE/>
              <w:autoSpaceDN/>
              <w:bidi w:val="0"/>
              <w:adjustRightInd/>
              <w:snapToGrid/>
              <w:spacing w:line="460" w:lineRule="exact"/>
              <w:ind w:firstLine="0" w:firstLineChars="0"/>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根据投标</w:t>
            </w:r>
            <w:r>
              <w:rPr>
                <w:rFonts w:hint="eastAsia" w:ascii="宋体" w:hAnsi="宋体" w:cs="宋体"/>
                <w:color w:val="auto"/>
                <w:sz w:val="22"/>
                <w:highlight w:val="none"/>
              </w:rPr>
              <w:t>人提供的系统与院内</w:t>
            </w:r>
            <w:r>
              <w:rPr>
                <w:rFonts w:hint="eastAsia" w:ascii="宋体" w:hAnsi="宋体" w:cs="宋体"/>
                <w:color w:val="auto"/>
                <w:sz w:val="22"/>
                <w:highlight w:val="none"/>
                <w:lang w:val="en-US" w:eastAsia="zh-CN"/>
              </w:rPr>
              <w:t>PACS/RIS</w:t>
            </w:r>
            <w:r>
              <w:rPr>
                <w:rFonts w:hint="eastAsia" w:ascii="宋体" w:hAnsi="宋体" w:cs="宋体"/>
                <w:color w:val="auto"/>
                <w:sz w:val="22"/>
                <w:highlight w:val="none"/>
              </w:rPr>
              <w:t>对接的方案可行性、可靠性、方案</w:t>
            </w:r>
            <w:r>
              <w:rPr>
                <w:rFonts w:hint="eastAsia" w:ascii="宋体" w:hAnsi="宋体" w:cs="宋体"/>
                <w:color w:val="auto"/>
                <w:sz w:val="22"/>
                <w:highlight w:val="none"/>
                <w:lang w:val="en-US" w:eastAsia="zh-CN"/>
              </w:rPr>
              <w:t>是否</w:t>
            </w:r>
            <w:r>
              <w:rPr>
                <w:rFonts w:hint="eastAsia" w:ascii="宋体" w:hAnsi="宋体" w:cs="宋体"/>
                <w:color w:val="auto"/>
                <w:sz w:val="22"/>
                <w:highlight w:val="none"/>
              </w:rPr>
              <w:t>详细、</w:t>
            </w:r>
            <w:r>
              <w:rPr>
                <w:rFonts w:hint="eastAsia" w:ascii="宋体" w:hAnsi="宋体" w:cs="宋体"/>
                <w:color w:val="auto"/>
                <w:sz w:val="22"/>
                <w:highlight w:val="none"/>
                <w:lang w:val="en-US" w:eastAsia="zh-CN"/>
              </w:rPr>
              <w:t>是否</w:t>
            </w:r>
            <w:r>
              <w:rPr>
                <w:rFonts w:hint="eastAsia" w:ascii="宋体" w:hAnsi="宋体" w:cs="宋体"/>
                <w:color w:val="auto"/>
                <w:sz w:val="22"/>
                <w:highlight w:val="none"/>
              </w:rPr>
              <w:t>有明确具体措施的</w:t>
            </w:r>
            <w:r>
              <w:rPr>
                <w:rFonts w:hint="eastAsia" w:ascii="宋体" w:hAnsi="宋体" w:cs="宋体"/>
                <w:color w:val="auto"/>
                <w:sz w:val="22"/>
                <w:highlight w:val="none"/>
                <w:lang w:val="en-US" w:eastAsia="zh-CN"/>
              </w:rPr>
              <w:t>进行综合打分（6，5，4，3，2，1，0分）</w:t>
            </w:r>
            <w:r>
              <w:rPr>
                <w:rFonts w:hint="eastAsia" w:ascii="宋体" w:hAnsi="宋体" w:cs="宋体"/>
                <w:color w:val="auto"/>
                <w:sz w:val="22"/>
                <w:highlight w:val="none"/>
              </w:rPr>
              <w:t>；</w:t>
            </w:r>
          </w:p>
        </w:tc>
        <w:tc>
          <w:tcPr>
            <w:tcW w:w="395" w:type="pct"/>
            <w:tcBorders>
              <w:top w:val="single" w:color="auto" w:sz="4" w:space="0"/>
              <w:left w:val="single" w:color="auto" w:sz="4" w:space="0"/>
              <w:right w:val="single" w:color="auto" w:sz="4" w:space="0"/>
            </w:tcBorders>
            <w:shd w:val="clear" w:color="auto" w:fill="auto"/>
            <w:vAlign w:val="center"/>
          </w:tcPr>
          <w:p w14:paraId="24EF68B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r>
      <w:tr w14:paraId="2CC7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vMerge w:val="restart"/>
            <w:tcBorders>
              <w:top w:val="single" w:color="auto" w:sz="4" w:space="0"/>
              <w:left w:val="single" w:color="auto" w:sz="4" w:space="0"/>
              <w:right w:val="single" w:color="auto" w:sz="4" w:space="0"/>
            </w:tcBorders>
            <w:vAlign w:val="center"/>
          </w:tcPr>
          <w:p w14:paraId="2CF2B99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747" w:type="pct"/>
            <w:vMerge w:val="restart"/>
            <w:tcBorders>
              <w:top w:val="single" w:color="auto" w:sz="4" w:space="0"/>
              <w:left w:val="single" w:color="auto" w:sz="4" w:space="0"/>
              <w:right w:val="single" w:color="auto" w:sz="4" w:space="0"/>
            </w:tcBorders>
            <w:vAlign w:val="center"/>
          </w:tcPr>
          <w:p w14:paraId="4FCF666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培训及售后服务</w:t>
            </w:r>
          </w:p>
        </w:tc>
        <w:tc>
          <w:tcPr>
            <w:tcW w:w="3427" w:type="pct"/>
            <w:tcBorders>
              <w:top w:val="single" w:color="auto" w:sz="4" w:space="0"/>
              <w:left w:val="single" w:color="auto" w:sz="4" w:space="0"/>
              <w:right w:val="single" w:color="auto" w:sz="4" w:space="0"/>
            </w:tcBorders>
            <w:vAlign w:val="center"/>
          </w:tcPr>
          <w:p w14:paraId="360062A2">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w:t>
            </w:r>
            <w:r>
              <w:rPr>
                <w:rFonts w:hint="eastAsia" w:ascii="宋体" w:hAnsi="宋体" w:eastAsia="宋体" w:cs="宋体"/>
                <w:color w:val="auto"/>
                <w:kern w:val="0"/>
                <w:sz w:val="21"/>
                <w:szCs w:val="21"/>
                <w:highlight w:val="none"/>
                <w:lang w:val="en-US" w:eastAsia="zh-CN"/>
              </w:rPr>
              <w:t>免费运维保障期间，可在当地提供驻点运维服务人员数量及名单（至少6个月以上从事医疗影像信息化相关经验相关证明文件，</w:t>
            </w:r>
            <w:r>
              <w:rPr>
                <w:rFonts w:hint="eastAsia" w:ascii="宋体" w:hAnsi="宋体" w:eastAsia="宋体" w:cs="宋体"/>
                <w:color w:val="auto"/>
                <w:kern w:val="0"/>
                <w:sz w:val="21"/>
                <w:szCs w:val="21"/>
                <w:highlight w:val="none"/>
              </w:rPr>
              <w:t>需与投标人同单位的社保证明</w:t>
            </w:r>
            <w:r>
              <w:rPr>
                <w:rFonts w:hint="eastAsia" w:ascii="宋体" w:hAnsi="宋体" w:eastAsia="宋体" w:cs="宋体"/>
                <w:color w:val="auto"/>
                <w:kern w:val="0"/>
                <w:sz w:val="21"/>
                <w:szCs w:val="21"/>
                <w:highlight w:val="none"/>
                <w:lang w:val="en-US" w:eastAsia="zh-CN"/>
              </w:rPr>
              <w:t>），驻点1人得1分，最高得3分。</w:t>
            </w:r>
          </w:p>
        </w:tc>
        <w:tc>
          <w:tcPr>
            <w:tcW w:w="395" w:type="pct"/>
            <w:tcBorders>
              <w:top w:val="single" w:color="auto" w:sz="4" w:space="0"/>
              <w:left w:val="single" w:color="auto" w:sz="4" w:space="0"/>
              <w:right w:val="single" w:color="auto" w:sz="4" w:space="0"/>
            </w:tcBorders>
            <w:vAlign w:val="center"/>
          </w:tcPr>
          <w:p w14:paraId="694E353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1A6A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29" w:type="pct"/>
            <w:vMerge w:val="continue"/>
            <w:tcBorders>
              <w:left w:val="single" w:color="auto" w:sz="4" w:space="0"/>
              <w:right w:val="single" w:color="auto" w:sz="4" w:space="0"/>
            </w:tcBorders>
            <w:vAlign w:val="center"/>
          </w:tcPr>
          <w:p w14:paraId="3DF8B8B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p>
        </w:tc>
        <w:tc>
          <w:tcPr>
            <w:tcW w:w="747" w:type="pct"/>
            <w:vMerge w:val="continue"/>
            <w:tcBorders>
              <w:left w:val="single" w:color="auto" w:sz="4" w:space="0"/>
              <w:right w:val="single" w:color="auto" w:sz="4" w:space="0"/>
            </w:tcBorders>
            <w:vAlign w:val="center"/>
          </w:tcPr>
          <w:p w14:paraId="70C1880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p>
        </w:tc>
        <w:tc>
          <w:tcPr>
            <w:tcW w:w="3427" w:type="pct"/>
            <w:tcBorders>
              <w:top w:val="single" w:color="auto" w:sz="4" w:space="0"/>
              <w:left w:val="single" w:color="auto" w:sz="4" w:space="0"/>
              <w:right w:val="single" w:color="auto" w:sz="4" w:space="0"/>
            </w:tcBorders>
            <w:vAlign w:val="center"/>
          </w:tcPr>
          <w:p w14:paraId="02F27782">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根据投标人提供的售后服务方案（包括但不限于远程售后响应时间、现场售后响应时间、售后响应方式、售后解决问题时效、售后人员资质等内容）由专家综合打分。（评分范围：3，2，1，0分）</w:t>
            </w:r>
          </w:p>
        </w:tc>
        <w:tc>
          <w:tcPr>
            <w:tcW w:w="395" w:type="pct"/>
            <w:tcBorders>
              <w:top w:val="single" w:color="auto" w:sz="4" w:space="0"/>
              <w:left w:val="single" w:color="auto" w:sz="4" w:space="0"/>
              <w:right w:val="single" w:color="auto" w:sz="4" w:space="0"/>
            </w:tcBorders>
            <w:vAlign w:val="center"/>
          </w:tcPr>
          <w:p w14:paraId="0CF4DBE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r>
      <w:tr w14:paraId="286B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0491084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747" w:type="pct"/>
            <w:tcBorders>
              <w:top w:val="single" w:color="auto" w:sz="4" w:space="0"/>
              <w:left w:val="single" w:color="auto" w:sz="4" w:space="0"/>
              <w:bottom w:val="single" w:color="auto" w:sz="4" w:space="0"/>
              <w:right w:val="single" w:color="auto" w:sz="4" w:space="0"/>
            </w:tcBorders>
            <w:vAlign w:val="center"/>
          </w:tcPr>
          <w:p w14:paraId="45E4C93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信息技术应用创新能力</w:t>
            </w:r>
          </w:p>
        </w:tc>
        <w:tc>
          <w:tcPr>
            <w:tcW w:w="3427" w:type="pct"/>
            <w:tcBorders>
              <w:top w:val="single" w:color="auto" w:sz="4" w:space="0"/>
              <w:left w:val="single" w:color="auto" w:sz="4" w:space="0"/>
              <w:bottom w:val="single" w:color="auto" w:sz="4" w:space="0"/>
              <w:right w:val="single" w:color="auto" w:sz="4" w:space="0"/>
            </w:tcBorders>
            <w:vAlign w:val="center"/>
          </w:tcPr>
          <w:p w14:paraId="69116BE8">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根据投标供应商通过国家有关部门（工信部或科技部）颁发的应用创新解决方案或应用创新案例（放射信息管理系统、超声信息系统、内镜信息系统、</w:t>
            </w:r>
            <w:r>
              <w:rPr>
                <w:rFonts w:hint="eastAsia" w:ascii="宋体" w:hAnsi="宋体" w:eastAsia="宋体" w:cs="宋体"/>
                <w:color w:val="auto"/>
                <w:kern w:val="0"/>
                <w:sz w:val="21"/>
                <w:szCs w:val="21"/>
                <w:highlight w:val="none"/>
                <w:lang w:val="en-US" w:eastAsia="zh-CN"/>
              </w:rPr>
              <w:t>检查预约系统、</w:t>
            </w:r>
            <w:r>
              <w:rPr>
                <w:rFonts w:hint="eastAsia" w:ascii="宋体" w:hAnsi="宋体" w:eastAsia="宋体" w:cs="宋体"/>
                <w:color w:val="auto"/>
                <w:kern w:val="0"/>
                <w:sz w:val="21"/>
                <w:szCs w:val="21"/>
                <w:highlight w:val="none"/>
              </w:rPr>
              <w:t>云影像、</w:t>
            </w:r>
            <w:r>
              <w:rPr>
                <w:rFonts w:hint="eastAsia" w:ascii="宋体" w:hAnsi="宋体" w:eastAsia="宋体" w:cs="宋体"/>
                <w:color w:val="auto"/>
                <w:kern w:val="0"/>
                <w:sz w:val="21"/>
                <w:szCs w:val="21"/>
                <w:highlight w:val="none"/>
                <w:lang w:val="en-US" w:eastAsia="zh-CN"/>
              </w:rPr>
              <w:t>影像智慧服务平台、</w:t>
            </w:r>
            <w:r>
              <w:rPr>
                <w:rFonts w:hint="eastAsia" w:ascii="宋体" w:hAnsi="宋体" w:eastAsia="宋体" w:cs="宋体"/>
                <w:color w:val="auto"/>
                <w:kern w:val="0"/>
                <w:sz w:val="21"/>
                <w:szCs w:val="21"/>
                <w:highlight w:val="none"/>
              </w:rPr>
              <w:t>PACS相关软件），每提供一个得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分，最高分</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395" w:type="pct"/>
            <w:tcBorders>
              <w:top w:val="single" w:color="auto" w:sz="4" w:space="0"/>
              <w:left w:val="single" w:color="auto" w:sz="4" w:space="0"/>
              <w:bottom w:val="single" w:color="auto" w:sz="4" w:space="0"/>
              <w:right w:val="single" w:color="auto" w:sz="4" w:space="0"/>
            </w:tcBorders>
            <w:vAlign w:val="center"/>
          </w:tcPr>
          <w:p w14:paraId="3037DC2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r>
      <w:tr w14:paraId="665D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7B66B80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747" w:type="pct"/>
            <w:tcBorders>
              <w:top w:val="single" w:color="auto" w:sz="4" w:space="0"/>
              <w:left w:val="single" w:color="auto" w:sz="4" w:space="0"/>
              <w:bottom w:val="single" w:color="auto" w:sz="4" w:space="0"/>
              <w:right w:val="single" w:color="auto" w:sz="4" w:space="0"/>
            </w:tcBorders>
            <w:vAlign w:val="center"/>
          </w:tcPr>
          <w:p w14:paraId="3B589F0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业绩情况</w:t>
            </w:r>
          </w:p>
        </w:tc>
        <w:tc>
          <w:tcPr>
            <w:tcW w:w="3427" w:type="pct"/>
            <w:tcBorders>
              <w:top w:val="single" w:color="auto" w:sz="4" w:space="0"/>
              <w:left w:val="single" w:color="auto" w:sz="4" w:space="0"/>
              <w:bottom w:val="single" w:color="auto" w:sz="4" w:space="0"/>
              <w:right w:val="single" w:color="auto" w:sz="4" w:space="0"/>
            </w:tcBorders>
            <w:vAlign w:val="center"/>
          </w:tcPr>
          <w:p w14:paraId="384C9B24">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承建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影像信息系统软件（至少包括放射、超声）及检查预约类软件</w:t>
            </w:r>
            <w:r>
              <w:rPr>
                <w:rFonts w:hint="eastAsia" w:ascii="宋体" w:hAnsi="宋体" w:eastAsia="宋体" w:cs="宋体"/>
                <w:color w:val="auto"/>
                <w:sz w:val="21"/>
                <w:szCs w:val="21"/>
                <w:highlight w:val="none"/>
              </w:rPr>
              <w:t>案例（以合同签署日期为准）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分。须提供合同复印件，未提供或无法辨析不得分。</w:t>
            </w:r>
          </w:p>
        </w:tc>
        <w:tc>
          <w:tcPr>
            <w:tcW w:w="395" w:type="pct"/>
            <w:tcBorders>
              <w:top w:val="single" w:color="auto" w:sz="4" w:space="0"/>
              <w:left w:val="single" w:color="auto" w:sz="4" w:space="0"/>
              <w:bottom w:val="single" w:color="auto" w:sz="4" w:space="0"/>
              <w:right w:val="single" w:color="auto" w:sz="4" w:space="0"/>
            </w:tcBorders>
            <w:vAlign w:val="center"/>
          </w:tcPr>
          <w:p w14:paraId="08DB632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p>
        </w:tc>
      </w:tr>
    </w:tbl>
    <w:p w14:paraId="4F75ADA7">
      <w:pPr>
        <w:pStyle w:val="24"/>
        <w:spacing w:line="460" w:lineRule="exact"/>
        <w:ind w:left="0"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2、报价评分（</w:t>
      </w:r>
      <w:r>
        <w:rPr>
          <w:rFonts w:hint="eastAsia" w:ascii="宋体" w:hAnsi="宋体" w:cs="宋体"/>
          <w:b/>
          <w:color w:val="auto"/>
          <w:sz w:val="22"/>
          <w:szCs w:val="22"/>
          <w:highlight w:val="none"/>
          <w:lang w:val="en-US" w:eastAsia="zh-CN"/>
        </w:rPr>
        <w:t>2</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2</w:t>
      </w:r>
      <w:r>
        <w:rPr>
          <w:rFonts w:hint="eastAsia" w:ascii="宋体" w:hAnsi="宋体" w:cs="宋体"/>
          <w:b/>
          <w:color w:val="auto"/>
          <w:sz w:val="22"/>
          <w:szCs w:val="22"/>
          <w:highlight w:val="none"/>
        </w:rPr>
        <w:t>0%）：</w:t>
      </w:r>
    </w:p>
    <w:p w14:paraId="4E0363A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满足招标文件要求且投标报价最低的投标报价为评标基准价，其余投标人投标报价与该基准价对比，计算出商务报价评分值（保留小数2位）：</w:t>
      </w:r>
    </w:p>
    <w:p w14:paraId="6C42035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1）有效投标人的投标报价等于评标基准价时其报价分为满分</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p>
    <w:p w14:paraId="41A3441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086BF3A9">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投标报价得分=（评分基准价/投标人投标报价）×价格权值×100（保留小数2位）</w:t>
      </w:r>
    </w:p>
    <w:p w14:paraId="7F0125D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3、有效投标人的综合得分为技术分和商务（报价）分的总和。</w:t>
      </w:r>
    </w:p>
    <w:p w14:paraId="72B334A4">
      <w:pPr>
        <w:spacing w:line="460" w:lineRule="exact"/>
        <w:ind w:firstLine="539" w:firstLineChars="245"/>
        <w:rPr>
          <w:rFonts w:ascii="新宋体" w:hAnsi="新宋体" w:eastAsia="新宋体"/>
          <w:color w:val="auto"/>
          <w:sz w:val="22"/>
          <w:szCs w:val="22"/>
          <w:highlight w:val="none"/>
          <w:lang w:val="zh-CN"/>
        </w:rPr>
      </w:pPr>
      <w:r>
        <w:rPr>
          <w:rFonts w:hint="eastAsia" w:ascii="新宋体" w:hAnsi="新宋体" w:eastAsia="新宋体"/>
          <w:color w:val="auto"/>
          <w:sz w:val="22"/>
          <w:szCs w:val="22"/>
          <w:highlight w:val="none"/>
          <w:lang w:val="zh-CN"/>
        </w:rPr>
        <w:t>根据</w:t>
      </w:r>
      <w:r>
        <w:rPr>
          <w:rFonts w:hint="eastAsia" w:ascii="新宋体" w:hAnsi="新宋体" w:eastAsia="新宋体" w:cs="新宋体"/>
          <w:color w:val="auto"/>
          <w:kern w:val="0"/>
          <w:sz w:val="22"/>
          <w:szCs w:val="22"/>
          <w:highlight w:val="none"/>
        </w:rPr>
        <w:t>《政府采购促进中小企业发展管理办法》（财库〔2020〕46号）、《财政部关于进一步加大政府采购支持中小企业力度的通知》（财库〔2022〕19号）、《浙江省财政厅关于进一步加大政府采购支持中小企业力度助力扎实稳住经济的通知》（浙财采监〔2022〕8号）等有关规定</w:t>
      </w:r>
      <w:r>
        <w:rPr>
          <w:rFonts w:hint="eastAsia" w:ascii="新宋体" w:hAnsi="新宋体" w:eastAsia="新宋体"/>
          <w:color w:val="auto"/>
          <w:sz w:val="22"/>
          <w:szCs w:val="22"/>
          <w:highlight w:val="none"/>
          <w:lang w:val="zh-CN"/>
        </w:rPr>
        <w:t>，对</w:t>
      </w:r>
      <w:r>
        <w:rPr>
          <w:rFonts w:hint="eastAsia" w:ascii="新宋体" w:hAnsi="新宋体" w:eastAsia="新宋体"/>
          <w:color w:val="auto"/>
          <w:sz w:val="22"/>
          <w:szCs w:val="22"/>
          <w:highlight w:val="none"/>
        </w:rPr>
        <w:t>货物类项目</w:t>
      </w:r>
      <w:r>
        <w:rPr>
          <w:rFonts w:hint="eastAsia" w:ascii="新宋体" w:hAnsi="新宋体" w:eastAsia="新宋体"/>
          <w:color w:val="auto"/>
          <w:sz w:val="22"/>
          <w:szCs w:val="22"/>
          <w:highlight w:val="none"/>
          <w:lang w:val="zh-CN"/>
        </w:rPr>
        <w:t>投标产品为小型或微型企业生产的，</w:t>
      </w:r>
      <w:r>
        <w:rPr>
          <w:rFonts w:hint="eastAsia" w:ascii="新宋体" w:hAnsi="新宋体" w:eastAsia="新宋体"/>
          <w:color w:val="auto"/>
          <w:sz w:val="22"/>
          <w:szCs w:val="22"/>
          <w:highlight w:val="none"/>
        </w:rPr>
        <w:t>工程、服务类项目由小型或微型企业承建、承接的</w:t>
      </w:r>
      <w:r>
        <w:rPr>
          <w:rFonts w:hint="eastAsia" w:ascii="新宋体" w:hAnsi="新宋体" w:eastAsia="新宋体"/>
          <w:color w:val="auto"/>
          <w:sz w:val="22"/>
          <w:szCs w:val="22"/>
          <w:highlight w:val="none"/>
          <w:lang w:val="zh-CN"/>
        </w:rPr>
        <w:t>，</w:t>
      </w:r>
      <w:r>
        <w:rPr>
          <w:rFonts w:hint="eastAsia" w:ascii="新宋体" w:hAnsi="新宋体" w:eastAsia="新宋体"/>
          <w:color w:val="auto"/>
          <w:sz w:val="22"/>
          <w:szCs w:val="22"/>
          <w:highlight w:val="none"/>
          <w:u w:val="single"/>
          <w:lang w:val="zh-CN"/>
        </w:rPr>
        <w:t>价格给予</w:t>
      </w:r>
      <w:r>
        <w:rPr>
          <w:rFonts w:hint="eastAsia" w:ascii="新宋体" w:hAnsi="新宋体" w:eastAsia="新宋体"/>
          <w:color w:val="auto"/>
          <w:sz w:val="22"/>
          <w:szCs w:val="22"/>
          <w:highlight w:val="none"/>
          <w:u w:val="single"/>
        </w:rPr>
        <w:t>10</w:t>
      </w:r>
      <w:r>
        <w:rPr>
          <w:rFonts w:hint="eastAsia" w:ascii="新宋体" w:hAnsi="新宋体" w:eastAsia="新宋体"/>
          <w:color w:val="auto"/>
          <w:sz w:val="22"/>
          <w:szCs w:val="22"/>
          <w:highlight w:val="none"/>
          <w:u w:val="single"/>
          <w:lang w:val="zh-CN"/>
        </w:rPr>
        <w:t>%的扣除</w:t>
      </w:r>
      <w:r>
        <w:rPr>
          <w:rFonts w:hint="eastAsia" w:ascii="新宋体" w:hAnsi="新宋体" w:eastAsia="新宋体"/>
          <w:color w:val="auto"/>
          <w:sz w:val="22"/>
          <w:szCs w:val="22"/>
          <w:highlight w:val="none"/>
          <w:lang w:val="zh-CN"/>
        </w:rPr>
        <w:t>，用扣除后的价格参与价格评分。</w:t>
      </w:r>
    </w:p>
    <w:p w14:paraId="1E017B91">
      <w:pPr>
        <w:spacing w:line="460" w:lineRule="exact"/>
        <w:ind w:firstLine="539" w:firstLineChars="24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监狱企业视同小微企业，其产品参加本项目投标的，享受小微企业同等的价格扣除。</w:t>
      </w:r>
    </w:p>
    <w:p w14:paraId="03CE30D1">
      <w:pPr>
        <w:spacing w:line="460" w:lineRule="exact"/>
        <w:ind w:firstLine="440" w:firstLineChars="200"/>
        <w:rPr>
          <w:rFonts w:ascii="宋体" w:hAnsi="宋体" w:cs="宋体"/>
          <w:b/>
          <w:bCs/>
          <w:color w:val="auto"/>
          <w:sz w:val="22"/>
          <w:szCs w:val="22"/>
          <w:highlight w:val="none"/>
          <w:u w:val="single"/>
        </w:rPr>
      </w:pPr>
      <w:r>
        <w:rPr>
          <w:rFonts w:hint="eastAsia" w:ascii="宋体" w:hAnsi="宋体" w:cs="宋体"/>
          <w:color w:val="auto"/>
          <w:sz w:val="22"/>
          <w:szCs w:val="22"/>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6647B5">
      <w:pPr>
        <w:spacing w:line="460" w:lineRule="exact"/>
        <w:ind w:firstLine="541" w:firstLineChars="245"/>
        <w:outlineLvl w:val="1"/>
        <w:rPr>
          <w:rFonts w:ascii="宋体" w:hAnsi="宋体" w:cs="宋体"/>
          <w:b/>
          <w:bCs/>
          <w:color w:val="auto"/>
          <w:sz w:val="22"/>
          <w:szCs w:val="22"/>
          <w:highlight w:val="none"/>
        </w:rPr>
      </w:pPr>
      <w:bookmarkStart w:id="71" w:name="_Toc4727"/>
      <w:bookmarkStart w:id="72" w:name="_Toc2482"/>
      <w:r>
        <w:rPr>
          <w:rFonts w:hint="eastAsia" w:ascii="宋体" w:hAnsi="宋体" w:cs="宋体"/>
          <w:b/>
          <w:bCs/>
          <w:color w:val="auto"/>
          <w:sz w:val="22"/>
          <w:szCs w:val="22"/>
          <w:highlight w:val="none"/>
        </w:rPr>
        <w:t>六、定标办法</w:t>
      </w:r>
      <w:bookmarkEnd w:id="71"/>
      <w:bookmarkEnd w:id="72"/>
    </w:p>
    <w:p w14:paraId="336B0768">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1F67038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1.1由评标委员会确定中标候选人。</w:t>
      </w:r>
    </w:p>
    <w:p w14:paraId="63BD67F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513B6E2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2、确定中标人</w:t>
      </w:r>
    </w:p>
    <w:p w14:paraId="67A358D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7CEA05F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47FF7E7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中标人确定后，招标人将在指定媒体公告中标结果，</w:t>
      </w:r>
      <w:r>
        <w:rPr>
          <w:rFonts w:hint="eastAsia" w:ascii="宋体" w:hAnsi="宋体" w:cs="宋体"/>
          <w:color w:val="auto"/>
          <w:sz w:val="22"/>
          <w:szCs w:val="22"/>
          <w:highlight w:val="none"/>
          <w:lang w:val="en-US" w:eastAsia="zh-CN"/>
        </w:rPr>
        <w:t>采购代理机构</w:t>
      </w:r>
      <w:r>
        <w:rPr>
          <w:rFonts w:hint="eastAsia" w:ascii="宋体" w:hAnsi="宋体" w:cs="宋体"/>
          <w:color w:val="auto"/>
          <w:sz w:val="22"/>
          <w:szCs w:val="22"/>
          <w:highlight w:val="none"/>
        </w:rPr>
        <w:t>向中标人发出中标通知书。</w:t>
      </w:r>
    </w:p>
    <w:p w14:paraId="77B49224">
      <w:pPr>
        <w:spacing w:line="460" w:lineRule="exact"/>
        <w:ind w:firstLine="541" w:firstLineChars="245"/>
        <w:outlineLvl w:val="1"/>
        <w:rPr>
          <w:rFonts w:ascii="宋体" w:hAnsi="宋体" w:cs="宋体"/>
          <w:b/>
          <w:color w:val="auto"/>
          <w:sz w:val="22"/>
          <w:szCs w:val="22"/>
          <w:highlight w:val="none"/>
        </w:rPr>
      </w:pPr>
      <w:bookmarkStart w:id="73" w:name="_Toc3629"/>
      <w:bookmarkStart w:id="74" w:name="_Toc17587"/>
      <w:r>
        <w:rPr>
          <w:rFonts w:hint="eastAsia" w:ascii="宋体" w:hAnsi="宋体" w:cs="宋体"/>
          <w:b/>
          <w:color w:val="auto"/>
          <w:sz w:val="22"/>
          <w:szCs w:val="22"/>
          <w:highlight w:val="none"/>
        </w:rPr>
        <w:t>七、投标人义务</w:t>
      </w:r>
      <w:bookmarkEnd w:id="73"/>
      <w:bookmarkEnd w:id="74"/>
    </w:p>
    <w:p w14:paraId="65E671D5">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投标人应随时接受评标委员会的询标，解答包括有关的商务、技术问题等。评标结束，所有评标资料存招标机构备查。</w:t>
      </w:r>
    </w:p>
    <w:p w14:paraId="21D54CA6">
      <w:pPr>
        <w:spacing w:line="460" w:lineRule="exact"/>
        <w:jc w:val="center"/>
        <w:rPr>
          <w:rFonts w:ascii="宋体" w:hAnsi="宋体" w:cs="宋体"/>
          <w:b/>
          <w:color w:val="auto"/>
          <w:sz w:val="32"/>
          <w:szCs w:val="32"/>
          <w:highlight w:val="none"/>
        </w:rPr>
      </w:pPr>
    </w:p>
    <w:sectPr>
      <w:headerReference r:id="rId6" w:type="default"/>
      <w:footerReference r:id="rId7"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E20A">
    <w:pPr>
      <w:pStyle w:val="37"/>
      <w:ind w:right="360" w:firstLine="4500" w:firstLineChars="2500"/>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2630555E">
                <w:pPr>
                  <w:pStyle w:val="37"/>
                  <w:rPr>
                    <w:rStyle w:val="58"/>
                  </w:rPr>
                </w:pPr>
                <w:r>
                  <w:fldChar w:fldCharType="begin"/>
                </w:r>
                <w:r>
                  <w:rPr>
                    <w:rStyle w:val="58"/>
                  </w:rPr>
                  <w:instrText xml:space="preserve">PAGE  </w:instrText>
                </w:r>
                <w:r>
                  <w:fldChar w:fldCharType="separate"/>
                </w:r>
                <w:r>
                  <w:rPr>
                    <w:rStyle w:val="58"/>
                  </w:rPr>
                  <w:t>21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746FB">
    <w:pPr>
      <w:pStyle w:val="37"/>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6AD11F8E">
                <w:pPr>
                  <w:pStyle w:val="3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5044">
    <w:pPr>
      <w:pStyle w:val="37"/>
      <w:ind w:right="360" w:firstLine="4500" w:firstLineChars="2500"/>
    </w:pPr>
    <w: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joinstyle="miter"/>
          <v:imagedata o:title=""/>
          <o:lock v:ext="edit"/>
          <v:textbox inset="0mm,0mm,0mm,0mm" style="mso-fit-shape-to-text:t;">
            <w:txbxContent>
              <w:p w14:paraId="5C3E466D">
                <w:pPr>
                  <w:pStyle w:val="37"/>
                  <w:rPr>
                    <w:rStyle w:val="58"/>
                  </w:rPr>
                </w:pPr>
                <w:r>
                  <w:fldChar w:fldCharType="begin"/>
                </w:r>
                <w:r>
                  <w:rPr>
                    <w:rStyle w:val="58"/>
                  </w:rPr>
                  <w:instrText xml:space="preserve">PAGE  </w:instrText>
                </w:r>
                <w:r>
                  <w:fldChar w:fldCharType="separate"/>
                </w:r>
                <w:r>
                  <w:rPr>
                    <w:rStyle w:val="58"/>
                  </w:rPr>
                  <w:t>65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9BFB3">
    <w:pPr>
      <w:pStyle w:val="38"/>
      <w:pBdr>
        <w:bottom w:val="single" w:color="auto" w:sz="6" w:space="0"/>
      </w:pBdr>
      <w:jc w:val="both"/>
      <w:rPr>
        <w:rFonts w:hint="eastAsia" w:eastAsia="宋体"/>
        <w:lang w:eastAsia="zh-CN"/>
      </w:rPr>
    </w:pPr>
    <w:r>
      <w:rPr>
        <w:rFonts w:hint="eastAsia"/>
      </w:rPr>
      <w:t>温州市中医院招标文件</w:t>
    </w:r>
    <w:r>
      <w:rPr>
        <w:rFonts w:hint="eastAsia"/>
        <w:lang w:val="en-US" w:eastAsia="zh-CN"/>
      </w:rPr>
      <w:t xml:space="preserve">                                               </w:t>
    </w:r>
    <w:r>
      <w:rPr>
        <w:rFonts w:hint="eastAsia"/>
      </w:rPr>
      <w:t>项目编号：</w:t>
    </w:r>
    <w:r>
      <w:rPr>
        <w:rFonts w:hint="eastAsia"/>
        <w:lang w:eastAsia="zh-CN"/>
      </w:rPr>
      <w:t>WZLCZB（W）-2026-02024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EE5B">
    <w:pPr>
      <w:pStyle w:val="38"/>
      <w:pBdr>
        <w:bottom w:val="single" w:color="auto" w:sz="6" w:space="0"/>
      </w:pBdr>
      <w:jc w:val="both"/>
      <w:rPr>
        <w:rFonts w:hint="eastAsia" w:eastAsia="宋体"/>
        <w:lang w:eastAsia="zh-CN"/>
      </w:rPr>
    </w:pPr>
    <w:r>
      <w:rPr>
        <w:rFonts w:hint="eastAsia"/>
      </w:rPr>
      <w:t>温州市中医院招标文件</w:t>
    </w:r>
    <w:r>
      <w:rPr>
        <w:rFonts w:hint="eastAsia"/>
        <w:lang w:val="en-US" w:eastAsia="zh-CN"/>
      </w:rPr>
      <w:t xml:space="preserve">                                           </w:t>
    </w:r>
    <w:r>
      <w:rPr>
        <w:rFonts w:hint="eastAsia"/>
      </w:rPr>
      <w:t>项目编号：</w:t>
    </w:r>
    <w:r>
      <w:rPr>
        <w:rFonts w:hint="eastAsia"/>
        <w:lang w:eastAsia="zh-CN"/>
      </w:rPr>
      <w:t>WZLCZB（W）-2026-02024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B1C0EE6B"/>
    <w:multiLevelType w:val="singleLevel"/>
    <w:tmpl w:val="B1C0EE6B"/>
    <w:lvl w:ilvl="0" w:tentative="0">
      <w:start w:val="5"/>
      <w:numFmt w:val="chineseCounting"/>
      <w:suff w:val="nothing"/>
      <w:lvlText w:val="%1、"/>
      <w:lvlJc w:val="left"/>
      <w:rPr>
        <w:rFonts w:hint="eastAsia"/>
      </w:rPr>
    </w:lvl>
  </w:abstractNum>
  <w:abstractNum w:abstractNumId="2">
    <w:nsid w:val="BAF9EC89"/>
    <w:multiLevelType w:val="singleLevel"/>
    <w:tmpl w:val="BAF9EC89"/>
    <w:lvl w:ilvl="0" w:tentative="0">
      <w:start w:val="1"/>
      <w:numFmt w:val="chineseCounting"/>
      <w:suff w:val="nothing"/>
      <w:lvlText w:val="（%1）"/>
      <w:lvlJc w:val="left"/>
      <w:rPr>
        <w:rFonts w:hint="eastAsia"/>
      </w:rPr>
    </w:lvl>
  </w:abstractNum>
  <w:abstractNum w:abstractNumId="3">
    <w:nsid w:val="08B24842"/>
    <w:multiLevelType w:val="multilevel"/>
    <w:tmpl w:val="08B2484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AD3269"/>
    <w:multiLevelType w:val="multilevel"/>
    <w:tmpl w:val="15AD326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F80CE8"/>
    <w:multiLevelType w:val="multilevel"/>
    <w:tmpl w:val="15F80CE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4F57EA"/>
    <w:multiLevelType w:val="multilevel"/>
    <w:tmpl w:val="174F57E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AB1C54"/>
    <w:multiLevelType w:val="multilevel"/>
    <w:tmpl w:val="1BAB1C5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CF52CF"/>
    <w:multiLevelType w:val="multilevel"/>
    <w:tmpl w:val="28CF52C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C09019A"/>
    <w:multiLevelType w:val="multilevel"/>
    <w:tmpl w:val="2C09019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EEE1492"/>
    <w:multiLevelType w:val="multilevel"/>
    <w:tmpl w:val="2EEE149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D7A3B6"/>
    <w:multiLevelType w:val="singleLevel"/>
    <w:tmpl w:val="52D7A3B6"/>
    <w:lvl w:ilvl="0" w:tentative="0">
      <w:start w:val="1"/>
      <w:numFmt w:val="decimal"/>
      <w:suff w:val="nothing"/>
      <w:lvlText w:val="（%1）"/>
      <w:lvlJc w:val="left"/>
    </w:lvl>
  </w:abstractNum>
  <w:abstractNum w:abstractNumId="12">
    <w:nsid w:val="54B20756"/>
    <w:multiLevelType w:val="multilevel"/>
    <w:tmpl w:val="54B2075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BB4434"/>
    <w:multiLevelType w:val="multilevel"/>
    <w:tmpl w:val="58BB443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9227059"/>
    <w:multiLevelType w:val="multilevel"/>
    <w:tmpl w:val="7922705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2"/>
  </w:num>
  <w:num w:numId="3">
    <w:abstractNumId w:val="0"/>
  </w:num>
  <w:num w:numId="4">
    <w:abstractNumId w:val="3"/>
  </w:num>
  <w:num w:numId="5">
    <w:abstractNumId w:val="10"/>
  </w:num>
  <w:num w:numId="6">
    <w:abstractNumId w:val="14"/>
  </w:num>
  <w:num w:numId="7">
    <w:abstractNumId w:val="13"/>
  </w:num>
  <w:num w:numId="8">
    <w:abstractNumId w:val="6"/>
  </w:num>
  <w:num w:numId="9">
    <w:abstractNumId w:val="12"/>
  </w:num>
  <w:num w:numId="10">
    <w:abstractNumId w:val="8"/>
  </w:num>
  <w:num w:numId="11">
    <w:abstractNumId w:val="9"/>
  </w:num>
  <w:num w:numId="12">
    <w:abstractNumId w:val="5"/>
  </w:num>
  <w:num w:numId="13">
    <w:abstractNumId w:val="7"/>
  </w:num>
  <w:num w:numId="14">
    <w:abstractNumId w:val="4"/>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温">
    <w15:presenceInfo w15:providerId="WPS Office" w15:userId="947430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210"/>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ZjMDk4ZjUyNmI5ZWM0NTQwMmI0OWNkNmNiZDhjNjUifQ=="/>
    <w:docVar w:name="KSO_WPS_MARK_KEY" w:val="9701890f-0436-478b-b107-2ba5a20b3b54"/>
  </w:docVars>
  <w:rsids>
    <w:rsidRoot w:val="00172A27"/>
    <w:rsid w:val="00002433"/>
    <w:rsid w:val="000149E3"/>
    <w:rsid w:val="00020693"/>
    <w:rsid w:val="000217C7"/>
    <w:rsid w:val="00026A46"/>
    <w:rsid w:val="00027D0D"/>
    <w:rsid w:val="00031F49"/>
    <w:rsid w:val="00037B6F"/>
    <w:rsid w:val="000474B4"/>
    <w:rsid w:val="00063600"/>
    <w:rsid w:val="000A6326"/>
    <w:rsid w:val="000B2878"/>
    <w:rsid w:val="0010260A"/>
    <w:rsid w:val="0013451B"/>
    <w:rsid w:val="00146E35"/>
    <w:rsid w:val="0017041B"/>
    <w:rsid w:val="00172A27"/>
    <w:rsid w:val="001746BA"/>
    <w:rsid w:val="00176791"/>
    <w:rsid w:val="0019644F"/>
    <w:rsid w:val="001B0F17"/>
    <w:rsid w:val="001B2275"/>
    <w:rsid w:val="001D4048"/>
    <w:rsid w:val="001D49A1"/>
    <w:rsid w:val="001E7897"/>
    <w:rsid w:val="001F5D2B"/>
    <w:rsid w:val="002018F6"/>
    <w:rsid w:val="002044B9"/>
    <w:rsid w:val="00212172"/>
    <w:rsid w:val="00223CC1"/>
    <w:rsid w:val="00224A03"/>
    <w:rsid w:val="00227214"/>
    <w:rsid w:val="00230913"/>
    <w:rsid w:val="00243D5B"/>
    <w:rsid w:val="002447E7"/>
    <w:rsid w:val="00251A77"/>
    <w:rsid w:val="00260ACE"/>
    <w:rsid w:val="00261F3C"/>
    <w:rsid w:val="00270294"/>
    <w:rsid w:val="00271C2D"/>
    <w:rsid w:val="002843F3"/>
    <w:rsid w:val="00296547"/>
    <w:rsid w:val="002A31D6"/>
    <w:rsid w:val="002B5782"/>
    <w:rsid w:val="002C08AE"/>
    <w:rsid w:val="002C09AD"/>
    <w:rsid w:val="002D20EE"/>
    <w:rsid w:val="002D2D3D"/>
    <w:rsid w:val="002E7DAB"/>
    <w:rsid w:val="003058EA"/>
    <w:rsid w:val="00327AB8"/>
    <w:rsid w:val="0033393C"/>
    <w:rsid w:val="00350DF6"/>
    <w:rsid w:val="00351F86"/>
    <w:rsid w:val="00352124"/>
    <w:rsid w:val="0035435E"/>
    <w:rsid w:val="00357388"/>
    <w:rsid w:val="00357A7B"/>
    <w:rsid w:val="003654EF"/>
    <w:rsid w:val="00372FCF"/>
    <w:rsid w:val="00373BB2"/>
    <w:rsid w:val="00380B23"/>
    <w:rsid w:val="00383F1F"/>
    <w:rsid w:val="003B0A15"/>
    <w:rsid w:val="003B1471"/>
    <w:rsid w:val="003B5050"/>
    <w:rsid w:val="003C713C"/>
    <w:rsid w:val="00405F28"/>
    <w:rsid w:val="0041137E"/>
    <w:rsid w:val="00430AB9"/>
    <w:rsid w:val="00441256"/>
    <w:rsid w:val="0045663E"/>
    <w:rsid w:val="00461389"/>
    <w:rsid w:val="0046542D"/>
    <w:rsid w:val="004741BE"/>
    <w:rsid w:val="00481BD3"/>
    <w:rsid w:val="004B57A3"/>
    <w:rsid w:val="004B66F1"/>
    <w:rsid w:val="004C013A"/>
    <w:rsid w:val="004C7034"/>
    <w:rsid w:val="005001D6"/>
    <w:rsid w:val="005220D0"/>
    <w:rsid w:val="00522EF2"/>
    <w:rsid w:val="005238A3"/>
    <w:rsid w:val="00526065"/>
    <w:rsid w:val="00532669"/>
    <w:rsid w:val="00533C40"/>
    <w:rsid w:val="00555FA3"/>
    <w:rsid w:val="00561E5D"/>
    <w:rsid w:val="0056534C"/>
    <w:rsid w:val="00565E01"/>
    <w:rsid w:val="005674BB"/>
    <w:rsid w:val="00572B8A"/>
    <w:rsid w:val="00582AEF"/>
    <w:rsid w:val="00586839"/>
    <w:rsid w:val="00587A14"/>
    <w:rsid w:val="005A1DD3"/>
    <w:rsid w:val="005A3AA2"/>
    <w:rsid w:val="005A65DF"/>
    <w:rsid w:val="005B3595"/>
    <w:rsid w:val="005C388F"/>
    <w:rsid w:val="005F4624"/>
    <w:rsid w:val="005F7AFC"/>
    <w:rsid w:val="00607A59"/>
    <w:rsid w:val="006171B8"/>
    <w:rsid w:val="00631E7A"/>
    <w:rsid w:val="0064398C"/>
    <w:rsid w:val="00644CD7"/>
    <w:rsid w:val="00647AB1"/>
    <w:rsid w:val="00654A9F"/>
    <w:rsid w:val="006727D5"/>
    <w:rsid w:val="00677FC8"/>
    <w:rsid w:val="00692D32"/>
    <w:rsid w:val="00696C82"/>
    <w:rsid w:val="006A1CF7"/>
    <w:rsid w:val="006A444E"/>
    <w:rsid w:val="006B3060"/>
    <w:rsid w:val="006B3E1C"/>
    <w:rsid w:val="006D01A8"/>
    <w:rsid w:val="006D6C7C"/>
    <w:rsid w:val="006E2672"/>
    <w:rsid w:val="007068AC"/>
    <w:rsid w:val="00722BB3"/>
    <w:rsid w:val="00723E44"/>
    <w:rsid w:val="00740E65"/>
    <w:rsid w:val="00753072"/>
    <w:rsid w:val="007544EE"/>
    <w:rsid w:val="007546B0"/>
    <w:rsid w:val="0076224D"/>
    <w:rsid w:val="007671B7"/>
    <w:rsid w:val="00774E3F"/>
    <w:rsid w:val="00776F48"/>
    <w:rsid w:val="00780CBF"/>
    <w:rsid w:val="00781B95"/>
    <w:rsid w:val="007A21E8"/>
    <w:rsid w:val="007A62BD"/>
    <w:rsid w:val="007B4740"/>
    <w:rsid w:val="007B564B"/>
    <w:rsid w:val="007B769B"/>
    <w:rsid w:val="007E1241"/>
    <w:rsid w:val="007E29D6"/>
    <w:rsid w:val="007F2164"/>
    <w:rsid w:val="00800A72"/>
    <w:rsid w:val="00804ACD"/>
    <w:rsid w:val="0080543D"/>
    <w:rsid w:val="00817CE2"/>
    <w:rsid w:val="00831C7B"/>
    <w:rsid w:val="00832D9C"/>
    <w:rsid w:val="008369FC"/>
    <w:rsid w:val="00836D45"/>
    <w:rsid w:val="00836E00"/>
    <w:rsid w:val="00846CC5"/>
    <w:rsid w:val="00850622"/>
    <w:rsid w:val="00854A05"/>
    <w:rsid w:val="00870DFA"/>
    <w:rsid w:val="00871EBE"/>
    <w:rsid w:val="00873949"/>
    <w:rsid w:val="00875629"/>
    <w:rsid w:val="00877499"/>
    <w:rsid w:val="00892732"/>
    <w:rsid w:val="00893202"/>
    <w:rsid w:val="0089599B"/>
    <w:rsid w:val="008A127E"/>
    <w:rsid w:val="008B2FA9"/>
    <w:rsid w:val="008B3984"/>
    <w:rsid w:val="008C2D7B"/>
    <w:rsid w:val="008C31BC"/>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F54"/>
    <w:rsid w:val="00991B38"/>
    <w:rsid w:val="00996305"/>
    <w:rsid w:val="009A0930"/>
    <w:rsid w:val="009B3783"/>
    <w:rsid w:val="009C748F"/>
    <w:rsid w:val="009E4D45"/>
    <w:rsid w:val="00A24A5C"/>
    <w:rsid w:val="00A42424"/>
    <w:rsid w:val="00A45873"/>
    <w:rsid w:val="00A56219"/>
    <w:rsid w:val="00A61866"/>
    <w:rsid w:val="00A77176"/>
    <w:rsid w:val="00A81310"/>
    <w:rsid w:val="00A92B83"/>
    <w:rsid w:val="00A957CF"/>
    <w:rsid w:val="00AA3DA6"/>
    <w:rsid w:val="00AA7C87"/>
    <w:rsid w:val="00AC1917"/>
    <w:rsid w:val="00AD66E6"/>
    <w:rsid w:val="00AE4B39"/>
    <w:rsid w:val="00AE76B4"/>
    <w:rsid w:val="00AF2268"/>
    <w:rsid w:val="00AF7BEB"/>
    <w:rsid w:val="00B06E43"/>
    <w:rsid w:val="00B2584A"/>
    <w:rsid w:val="00B41362"/>
    <w:rsid w:val="00B43A9E"/>
    <w:rsid w:val="00B44537"/>
    <w:rsid w:val="00B44D0F"/>
    <w:rsid w:val="00B50D2A"/>
    <w:rsid w:val="00B5466C"/>
    <w:rsid w:val="00B74039"/>
    <w:rsid w:val="00B87E26"/>
    <w:rsid w:val="00B9767A"/>
    <w:rsid w:val="00BA78D1"/>
    <w:rsid w:val="00BC0A13"/>
    <w:rsid w:val="00BC2B54"/>
    <w:rsid w:val="00BC4AC5"/>
    <w:rsid w:val="00BC66D1"/>
    <w:rsid w:val="00BF1399"/>
    <w:rsid w:val="00BF32BD"/>
    <w:rsid w:val="00C12358"/>
    <w:rsid w:val="00C232C8"/>
    <w:rsid w:val="00C468B7"/>
    <w:rsid w:val="00C67C26"/>
    <w:rsid w:val="00C67C97"/>
    <w:rsid w:val="00C70CE6"/>
    <w:rsid w:val="00C758F7"/>
    <w:rsid w:val="00C816DD"/>
    <w:rsid w:val="00C95163"/>
    <w:rsid w:val="00CA464C"/>
    <w:rsid w:val="00CB584C"/>
    <w:rsid w:val="00CC06DE"/>
    <w:rsid w:val="00CC3B91"/>
    <w:rsid w:val="00CE590D"/>
    <w:rsid w:val="00CF5C76"/>
    <w:rsid w:val="00D00FFE"/>
    <w:rsid w:val="00D13A1C"/>
    <w:rsid w:val="00D224FF"/>
    <w:rsid w:val="00D22852"/>
    <w:rsid w:val="00D27DB2"/>
    <w:rsid w:val="00D3078D"/>
    <w:rsid w:val="00D30E82"/>
    <w:rsid w:val="00D47AC2"/>
    <w:rsid w:val="00D56369"/>
    <w:rsid w:val="00D70EBE"/>
    <w:rsid w:val="00D73718"/>
    <w:rsid w:val="00D7763D"/>
    <w:rsid w:val="00D844F8"/>
    <w:rsid w:val="00DA135F"/>
    <w:rsid w:val="00DB09B7"/>
    <w:rsid w:val="00DB2DE0"/>
    <w:rsid w:val="00DB41D0"/>
    <w:rsid w:val="00DF073C"/>
    <w:rsid w:val="00DF0B3F"/>
    <w:rsid w:val="00E02244"/>
    <w:rsid w:val="00E05AD1"/>
    <w:rsid w:val="00E11D98"/>
    <w:rsid w:val="00E15CD1"/>
    <w:rsid w:val="00E22045"/>
    <w:rsid w:val="00E248CD"/>
    <w:rsid w:val="00E36483"/>
    <w:rsid w:val="00E53874"/>
    <w:rsid w:val="00E56BD4"/>
    <w:rsid w:val="00E57D1E"/>
    <w:rsid w:val="00E72ABC"/>
    <w:rsid w:val="00E74DBC"/>
    <w:rsid w:val="00E76E5A"/>
    <w:rsid w:val="00E81EB2"/>
    <w:rsid w:val="00EB2E13"/>
    <w:rsid w:val="00EC182D"/>
    <w:rsid w:val="00EC6C26"/>
    <w:rsid w:val="00EC7DF8"/>
    <w:rsid w:val="00ED2873"/>
    <w:rsid w:val="00ED3B24"/>
    <w:rsid w:val="00ED7497"/>
    <w:rsid w:val="00EE45C7"/>
    <w:rsid w:val="00EF4A4C"/>
    <w:rsid w:val="00EF69B1"/>
    <w:rsid w:val="00F03D32"/>
    <w:rsid w:val="00F06ABE"/>
    <w:rsid w:val="00F270F8"/>
    <w:rsid w:val="00F27576"/>
    <w:rsid w:val="00F36312"/>
    <w:rsid w:val="00F5082C"/>
    <w:rsid w:val="00F52CCB"/>
    <w:rsid w:val="00F52CD3"/>
    <w:rsid w:val="00F52E99"/>
    <w:rsid w:val="00F54669"/>
    <w:rsid w:val="00F60DCB"/>
    <w:rsid w:val="00F6473D"/>
    <w:rsid w:val="00F80AAA"/>
    <w:rsid w:val="00F93BBA"/>
    <w:rsid w:val="00F95280"/>
    <w:rsid w:val="00FA662A"/>
    <w:rsid w:val="00FB0E0C"/>
    <w:rsid w:val="00FB1229"/>
    <w:rsid w:val="00FC3FEA"/>
    <w:rsid w:val="00FC44CE"/>
    <w:rsid w:val="00FD52B1"/>
    <w:rsid w:val="00FF3A66"/>
    <w:rsid w:val="00FF6977"/>
    <w:rsid w:val="0116709E"/>
    <w:rsid w:val="015A336F"/>
    <w:rsid w:val="01606883"/>
    <w:rsid w:val="01967DCC"/>
    <w:rsid w:val="01BF37C7"/>
    <w:rsid w:val="01D33A51"/>
    <w:rsid w:val="02005B8D"/>
    <w:rsid w:val="020D29B1"/>
    <w:rsid w:val="021A330B"/>
    <w:rsid w:val="021F7DAD"/>
    <w:rsid w:val="0224444B"/>
    <w:rsid w:val="022D7429"/>
    <w:rsid w:val="023B035D"/>
    <w:rsid w:val="02451328"/>
    <w:rsid w:val="02537A58"/>
    <w:rsid w:val="027D25C0"/>
    <w:rsid w:val="02841565"/>
    <w:rsid w:val="02B3222E"/>
    <w:rsid w:val="02E903CF"/>
    <w:rsid w:val="02F63BA4"/>
    <w:rsid w:val="030B3185"/>
    <w:rsid w:val="031D0871"/>
    <w:rsid w:val="03283281"/>
    <w:rsid w:val="03331487"/>
    <w:rsid w:val="034A64CB"/>
    <w:rsid w:val="038012CE"/>
    <w:rsid w:val="039714E5"/>
    <w:rsid w:val="03AA000C"/>
    <w:rsid w:val="03BE392F"/>
    <w:rsid w:val="03E13A1E"/>
    <w:rsid w:val="04156ACE"/>
    <w:rsid w:val="042A5AFC"/>
    <w:rsid w:val="042E0DB9"/>
    <w:rsid w:val="043D6DF1"/>
    <w:rsid w:val="043F2279"/>
    <w:rsid w:val="044865A2"/>
    <w:rsid w:val="048D46D7"/>
    <w:rsid w:val="04A01243"/>
    <w:rsid w:val="04C27070"/>
    <w:rsid w:val="04DA4474"/>
    <w:rsid w:val="04E23C80"/>
    <w:rsid w:val="04E56DE7"/>
    <w:rsid w:val="04FD6D0A"/>
    <w:rsid w:val="050751FC"/>
    <w:rsid w:val="05087233"/>
    <w:rsid w:val="05166806"/>
    <w:rsid w:val="0529508C"/>
    <w:rsid w:val="053A30CA"/>
    <w:rsid w:val="056448B2"/>
    <w:rsid w:val="05797FAB"/>
    <w:rsid w:val="057D25F0"/>
    <w:rsid w:val="05936339"/>
    <w:rsid w:val="05D76F02"/>
    <w:rsid w:val="0606765D"/>
    <w:rsid w:val="060C03DD"/>
    <w:rsid w:val="06230FFF"/>
    <w:rsid w:val="062F7E7F"/>
    <w:rsid w:val="0638037D"/>
    <w:rsid w:val="0650016B"/>
    <w:rsid w:val="06695ADA"/>
    <w:rsid w:val="066A1D73"/>
    <w:rsid w:val="066A7A79"/>
    <w:rsid w:val="067F52AB"/>
    <w:rsid w:val="068E5B46"/>
    <w:rsid w:val="06985A3F"/>
    <w:rsid w:val="06A36F81"/>
    <w:rsid w:val="06AC1E40"/>
    <w:rsid w:val="06E17425"/>
    <w:rsid w:val="06E81491"/>
    <w:rsid w:val="06FD269B"/>
    <w:rsid w:val="07081502"/>
    <w:rsid w:val="070D2D0C"/>
    <w:rsid w:val="072046E3"/>
    <w:rsid w:val="07373C8C"/>
    <w:rsid w:val="074234A9"/>
    <w:rsid w:val="0747552D"/>
    <w:rsid w:val="074F607F"/>
    <w:rsid w:val="07592C30"/>
    <w:rsid w:val="07791E20"/>
    <w:rsid w:val="078177D5"/>
    <w:rsid w:val="078A66D9"/>
    <w:rsid w:val="07924879"/>
    <w:rsid w:val="079C0E64"/>
    <w:rsid w:val="07B07AC4"/>
    <w:rsid w:val="07C05BA3"/>
    <w:rsid w:val="07D37D83"/>
    <w:rsid w:val="07D60F62"/>
    <w:rsid w:val="08621901"/>
    <w:rsid w:val="08850B9A"/>
    <w:rsid w:val="088F2B47"/>
    <w:rsid w:val="08911C02"/>
    <w:rsid w:val="08913549"/>
    <w:rsid w:val="08A302D0"/>
    <w:rsid w:val="08B53A61"/>
    <w:rsid w:val="08C37D6D"/>
    <w:rsid w:val="08C93D3C"/>
    <w:rsid w:val="08CC1E2A"/>
    <w:rsid w:val="08DA08BA"/>
    <w:rsid w:val="08E04131"/>
    <w:rsid w:val="08E76FD5"/>
    <w:rsid w:val="08EF65E2"/>
    <w:rsid w:val="08FD20E7"/>
    <w:rsid w:val="09101BCD"/>
    <w:rsid w:val="09315C91"/>
    <w:rsid w:val="093D09BC"/>
    <w:rsid w:val="09510BFE"/>
    <w:rsid w:val="097107C6"/>
    <w:rsid w:val="09795C5D"/>
    <w:rsid w:val="097E368B"/>
    <w:rsid w:val="09816EE6"/>
    <w:rsid w:val="09954E0D"/>
    <w:rsid w:val="099757EE"/>
    <w:rsid w:val="09A13272"/>
    <w:rsid w:val="09A34824"/>
    <w:rsid w:val="09B064D1"/>
    <w:rsid w:val="09B85302"/>
    <w:rsid w:val="09B94936"/>
    <w:rsid w:val="09C1299A"/>
    <w:rsid w:val="09C474A0"/>
    <w:rsid w:val="09D26DBF"/>
    <w:rsid w:val="09E126F4"/>
    <w:rsid w:val="09F51F11"/>
    <w:rsid w:val="09F65854"/>
    <w:rsid w:val="0A07422F"/>
    <w:rsid w:val="0A1B49C1"/>
    <w:rsid w:val="0A335323"/>
    <w:rsid w:val="0A3D0590"/>
    <w:rsid w:val="0A4725AB"/>
    <w:rsid w:val="0A7416D8"/>
    <w:rsid w:val="0A8945EB"/>
    <w:rsid w:val="0AB80DB3"/>
    <w:rsid w:val="0AF50259"/>
    <w:rsid w:val="0B0F299D"/>
    <w:rsid w:val="0B21104E"/>
    <w:rsid w:val="0B216E82"/>
    <w:rsid w:val="0BAC1F4C"/>
    <w:rsid w:val="0BBE4F63"/>
    <w:rsid w:val="0BCF2858"/>
    <w:rsid w:val="0BDA530A"/>
    <w:rsid w:val="0C0247C0"/>
    <w:rsid w:val="0C353302"/>
    <w:rsid w:val="0C405504"/>
    <w:rsid w:val="0C496297"/>
    <w:rsid w:val="0C547201"/>
    <w:rsid w:val="0C660E5E"/>
    <w:rsid w:val="0C943AA2"/>
    <w:rsid w:val="0C9A109E"/>
    <w:rsid w:val="0CA45C11"/>
    <w:rsid w:val="0CA5290C"/>
    <w:rsid w:val="0CA74D09"/>
    <w:rsid w:val="0CA9483B"/>
    <w:rsid w:val="0CBD28F6"/>
    <w:rsid w:val="0CC51217"/>
    <w:rsid w:val="0CCB1484"/>
    <w:rsid w:val="0D0A01F7"/>
    <w:rsid w:val="0D1A3FA7"/>
    <w:rsid w:val="0D1F1C9D"/>
    <w:rsid w:val="0D252D0B"/>
    <w:rsid w:val="0D4076B0"/>
    <w:rsid w:val="0D70006B"/>
    <w:rsid w:val="0D735BCC"/>
    <w:rsid w:val="0D7C2119"/>
    <w:rsid w:val="0D920730"/>
    <w:rsid w:val="0DE33D9A"/>
    <w:rsid w:val="0DE44191"/>
    <w:rsid w:val="0DEA2B82"/>
    <w:rsid w:val="0E022677"/>
    <w:rsid w:val="0E064CB1"/>
    <w:rsid w:val="0E1A1D85"/>
    <w:rsid w:val="0E2B3FEA"/>
    <w:rsid w:val="0E446BEA"/>
    <w:rsid w:val="0E4706D1"/>
    <w:rsid w:val="0E4B1EC1"/>
    <w:rsid w:val="0E4B6575"/>
    <w:rsid w:val="0E5C2643"/>
    <w:rsid w:val="0E6537C4"/>
    <w:rsid w:val="0E701E1B"/>
    <w:rsid w:val="0E750CB0"/>
    <w:rsid w:val="0E796AAB"/>
    <w:rsid w:val="0E8E6882"/>
    <w:rsid w:val="0EC757F8"/>
    <w:rsid w:val="0EE50D43"/>
    <w:rsid w:val="0F0377AE"/>
    <w:rsid w:val="0F0D2CC4"/>
    <w:rsid w:val="0F0E6EE3"/>
    <w:rsid w:val="0F1B6BFB"/>
    <w:rsid w:val="0F2542DE"/>
    <w:rsid w:val="0F2E5AE8"/>
    <w:rsid w:val="0F421593"/>
    <w:rsid w:val="0F706416"/>
    <w:rsid w:val="0F9A317D"/>
    <w:rsid w:val="0FB27203"/>
    <w:rsid w:val="0FCD5779"/>
    <w:rsid w:val="0FD03A0D"/>
    <w:rsid w:val="10381F40"/>
    <w:rsid w:val="104869BA"/>
    <w:rsid w:val="10575CC4"/>
    <w:rsid w:val="109106B3"/>
    <w:rsid w:val="109D1177"/>
    <w:rsid w:val="10B23B6A"/>
    <w:rsid w:val="10F47168"/>
    <w:rsid w:val="110264F1"/>
    <w:rsid w:val="1102722C"/>
    <w:rsid w:val="1104198D"/>
    <w:rsid w:val="1105049E"/>
    <w:rsid w:val="113220A0"/>
    <w:rsid w:val="114E0781"/>
    <w:rsid w:val="115434FF"/>
    <w:rsid w:val="11585162"/>
    <w:rsid w:val="115D3896"/>
    <w:rsid w:val="11680929"/>
    <w:rsid w:val="1193257A"/>
    <w:rsid w:val="11AE1E6E"/>
    <w:rsid w:val="11B62E53"/>
    <w:rsid w:val="12103D4D"/>
    <w:rsid w:val="12107727"/>
    <w:rsid w:val="12133337"/>
    <w:rsid w:val="12321A8F"/>
    <w:rsid w:val="12345EA5"/>
    <w:rsid w:val="124027F2"/>
    <w:rsid w:val="125A673E"/>
    <w:rsid w:val="126D2DCB"/>
    <w:rsid w:val="1272218F"/>
    <w:rsid w:val="12775E6D"/>
    <w:rsid w:val="12857E70"/>
    <w:rsid w:val="12A01322"/>
    <w:rsid w:val="12A177A5"/>
    <w:rsid w:val="12AB0828"/>
    <w:rsid w:val="12C025AA"/>
    <w:rsid w:val="12E05DF5"/>
    <w:rsid w:val="1319213F"/>
    <w:rsid w:val="133616DD"/>
    <w:rsid w:val="134F30AF"/>
    <w:rsid w:val="13582BF6"/>
    <w:rsid w:val="13583E3E"/>
    <w:rsid w:val="138356B4"/>
    <w:rsid w:val="13884680"/>
    <w:rsid w:val="13996DA4"/>
    <w:rsid w:val="13A56966"/>
    <w:rsid w:val="13B56A40"/>
    <w:rsid w:val="13C8509F"/>
    <w:rsid w:val="13D309B3"/>
    <w:rsid w:val="13EC3F05"/>
    <w:rsid w:val="13FF0438"/>
    <w:rsid w:val="14077D57"/>
    <w:rsid w:val="14342819"/>
    <w:rsid w:val="14575AE1"/>
    <w:rsid w:val="14673486"/>
    <w:rsid w:val="146A22E5"/>
    <w:rsid w:val="14965811"/>
    <w:rsid w:val="14D92610"/>
    <w:rsid w:val="14DE5701"/>
    <w:rsid w:val="15001500"/>
    <w:rsid w:val="1544605D"/>
    <w:rsid w:val="154A25D7"/>
    <w:rsid w:val="15525604"/>
    <w:rsid w:val="155B3CB2"/>
    <w:rsid w:val="156D701E"/>
    <w:rsid w:val="156E5828"/>
    <w:rsid w:val="159D39C7"/>
    <w:rsid w:val="15B36E57"/>
    <w:rsid w:val="15B43A33"/>
    <w:rsid w:val="15C02CFA"/>
    <w:rsid w:val="15D02588"/>
    <w:rsid w:val="15E0188B"/>
    <w:rsid w:val="163004AD"/>
    <w:rsid w:val="164356BB"/>
    <w:rsid w:val="165F2A2B"/>
    <w:rsid w:val="166953C0"/>
    <w:rsid w:val="166F777C"/>
    <w:rsid w:val="169C21B8"/>
    <w:rsid w:val="169C6B59"/>
    <w:rsid w:val="16BB60A4"/>
    <w:rsid w:val="16D604C4"/>
    <w:rsid w:val="16F252D1"/>
    <w:rsid w:val="170F4451"/>
    <w:rsid w:val="17107D9E"/>
    <w:rsid w:val="17307A87"/>
    <w:rsid w:val="173A5387"/>
    <w:rsid w:val="17581304"/>
    <w:rsid w:val="17725C57"/>
    <w:rsid w:val="17755246"/>
    <w:rsid w:val="17761B71"/>
    <w:rsid w:val="17763EE3"/>
    <w:rsid w:val="17800AEC"/>
    <w:rsid w:val="1787267A"/>
    <w:rsid w:val="17D244D2"/>
    <w:rsid w:val="18245E40"/>
    <w:rsid w:val="186B461D"/>
    <w:rsid w:val="186B46EC"/>
    <w:rsid w:val="188B4950"/>
    <w:rsid w:val="189E4D05"/>
    <w:rsid w:val="18C13529"/>
    <w:rsid w:val="18C33E96"/>
    <w:rsid w:val="18C50468"/>
    <w:rsid w:val="18C7387D"/>
    <w:rsid w:val="18C76564"/>
    <w:rsid w:val="18CB0600"/>
    <w:rsid w:val="19087A11"/>
    <w:rsid w:val="190B7DA5"/>
    <w:rsid w:val="191B7534"/>
    <w:rsid w:val="1958120B"/>
    <w:rsid w:val="196C6250"/>
    <w:rsid w:val="196E2C37"/>
    <w:rsid w:val="1974690A"/>
    <w:rsid w:val="198534E5"/>
    <w:rsid w:val="19C072D3"/>
    <w:rsid w:val="1A25720B"/>
    <w:rsid w:val="1A30392C"/>
    <w:rsid w:val="1A510684"/>
    <w:rsid w:val="1A580283"/>
    <w:rsid w:val="1A6171B2"/>
    <w:rsid w:val="1AA65F2A"/>
    <w:rsid w:val="1AA666F2"/>
    <w:rsid w:val="1AC178B2"/>
    <w:rsid w:val="1ADC340E"/>
    <w:rsid w:val="1AED2C78"/>
    <w:rsid w:val="1AEF15D5"/>
    <w:rsid w:val="1B1F6B22"/>
    <w:rsid w:val="1B343FD0"/>
    <w:rsid w:val="1B356551"/>
    <w:rsid w:val="1B377F92"/>
    <w:rsid w:val="1B3E4ABA"/>
    <w:rsid w:val="1B4004A9"/>
    <w:rsid w:val="1B9D2D2C"/>
    <w:rsid w:val="1BAB13EA"/>
    <w:rsid w:val="1BE02644"/>
    <w:rsid w:val="1BF27CE6"/>
    <w:rsid w:val="1BF57F17"/>
    <w:rsid w:val="1C13053F"/>
    <w:rsid w:val="1C162BF5"/>
    <w:rsid w:val="1C212DFA"/>
    <w:rsid w:val="1C3065A1"/>
    <w:rsid w:val="1C32514E"/>
    <w:rsid w:val="1C8449C2"/>
    <w:rsid w:val="1C8676F7"/>
    <w:rsid w:val="1C8B5EF5"/>
    <w:rsid w:val="1C9B7764"/>
    <w:rsid w:val="1C9C37E6"/>
    <w:rsid w:val="1CA3081A"/>
    <w:rsid w:val="1CB81673"/>
    <w:rsid w:val="1CEB7EC5"/>
    <w:rsid w:val="1CFF2872"/>
    <w:rsid w:val="1D0A50BD"/>
    <w:rsid w:val="1D1255AC"/>
    <w:rsid w:val="1D2A3DAB"/>
    <w:rsid w:val="1D37025D"/>
    <w:rsid w:val="1D461293"/>
    <w:rsid w:val="1D46542E"/>
    <w:rsid w:val="1D6359BB"/>
    <w:rsid w:val="1D664936"/>
    <w:rsid w:val="1D71729C"/>
    <w:rsid w:val="1D8B7D5F"/>
    <w:rsid w:val="1D981331"/>
    <w:rsid w:val="1DAB3C89"/>
    <w:rsid w:val="1DC06E93"/>
    <w:rsid w:val="1DCC77C2"/>
    <w:rsid w:val="1DCD2970"/>
    <w:rsid w:val="1DCF4890"/>
    <w:rsid w:val="1DF41322"/>
    <w:rsid w:val="1DFB57EB"/>
    <w:rsid w:val="1E0062C5"/>
    <w:rsid w:val="1E4A3FC0"/>
    <w:rsid w:val="1E4F15C4"/>
    <w:rsid w:val="1E665E93"/>
    <w:rsid w:val="1E6D0B8E"/>
    <w:rsid w:val="1E740910"/>
    <w:rsid w:val="1E7E3C6A"/>
    <w:rsid w:val="1E8A1B7B"/>
    <w:rsid w:val="1EB35C81"/>
    <w:rsid w:val="1ED05FDD"/>
    <w:rsid w:val="1EDA4565"/>
    <w:rsid w:val="1F0115E6"/>
    <w:rsid w:val="1F022AED"/>
    <w:rsid w:val="1F1A1BE5"/>
    <w:rsid w:val="1F46166E"/>
    <w:rsid w:val="1F7A5632"/>
    <w:rsid w:val="1F8B73B9"/>
    <w:rsid w:val="1F953961"/>
    <w:rsid w:val="1F967A46"/>
    <w:rsid w:val="1FC0508F"/>
    <w:rsid w:val="1FC65B20"/>
    <w:rsid w:val="1FD17519"/>
    <w:rsid w:val="1FDE37FF"/>
    <w:rsid w:val="1FE70187"/>
    <w:rsid w:val="1FE87CF6"/>
    <w:rsid w:val="20142293"/>
    <w:rsid w:val="202875D1"/>
    <w:rsid w:val="202C2DAC"/>
    <w:rsid w:val="203B6405"/>
    <w:rsid w:val="204042C4"/>
    <w:rsid w:val="204434A6"/>
    <w:rsid w:val="20795B55"/>
    <w:rsid w:val="208E2CB0"/>
    <w:rsid w:val="20AC072E"/>
    <w:rsid w:val="20C467A5"/>
    <w:rsid w:val="20C57642"/>
    <w:rsid w:val="20C7192F"/>
    <w:rsid w:val="20C94ACB"/>
    <w:rsid w:val="20EC2076"/>
    <w:rsid w:val="20F3606E"/>
    <w:rsid w:val="2117534C"/>
    <w:rsid w:val="213009EF"/>
    <w:rsid w:val="213D75BE"/>
    <w:rsid w:val="213F7AB1"/>
    <w:rsid w:val="217A33A1"/>
    <w:rsid w:val="21872636"/>
    <w:rsid w:val="218F2648"/>
    <w:rsid w:val="21A567BF"/>
    <w:rsid w:val="21AB5C9B"/>
    <w:rsid w:val="21B427AB"/>
    <w:rsid w:val="21BD46E0"/>
    <w:rsid w:val="21CD73E2"/>
    <w:rsid w:val="21F07CE9"/>
    <w:rsid w:val="21FE57EE"/>
    <w:rsid w:val="222B4109"/>
    <w:rsid w:val="227C0C68"/>
    <w:rsid w:val="227D1F07"/>
    <w:rsid w:val="22AE5DFE"/>
    <w:rsid w:val="23025E80"/>
    <w:rsid w:val="2345616C"/>
    <w:rsid w:val="235C31B0"/>
    <w:rsid w:val="23810484"/>
    <w:rsid w:val="23A51493"/>
    <w:rsid w:val="23C16FD2"/>
    <w:rsid w:val="241B47C2"/>
    <w:rsid w:val="242C445B"/>
    <w:rsid w:val="247E04BE"/>
    <w:rsid w:val="248B6BF0"/>
    <w:rsid w:val="24975A35"/>
    <w:rsid w:val="24A451C8"/>
    <w:rsid w:val="24B0777F"/>
    <w:rsid w:val="24B80E3D"/>
    <w:rsid w:val="24BA3A6C"/>
    <w:rsid w:val="24C14262"/>
    <w:rsid w:val="24DB11B1"/>
    <w:rsid w:val="24DB1DC1"/>
    <w:rsid w:val="2500655F"/>
    <w:rsid w:val="250D1FAA"/>
    <w:rsid w:val="254579AD"/>
    <w:rsid w:val="25550995"/>
    <w:rsid w:val="25916749"/>
    <w:rsid w:val="25B15AD3"/>
    <w:rsid w:val="25C80ED6"/>
    <w:rsid w:val="25E5097B"/>
    <w:rsid w:val="25ED1CE2"/>
    <w:rsid w:val="260366CA"/>
    <w:rsid w:val="26190B1E"/>
    <w:rsid w:val="261954E5"/>
    <w:rsid w:val="2629095F"/>
    <w:rsid w:val="269A360B"/>
    <w:rsid w:val="26B25A04"/>
    <w:rsid w:val="26B80661"/>
    <w:rsid w:val="26C1503C"/>
    <w:rsid w:val="26C32B62"/>
    <w:rsid w:val="26CA061E"/>
    <w:rsid w:val="26D134D1"/>
    <w:rsid w:val="26DC07B1"/>
    <w:rsid w:val="26DC3C24"/>
    <w:rsid w:val="26E36D60"/>
    <w:rsid w:val="26E85FDD"/>
    <w:rsid w:val="26E86A48"/>
    <w:rsid w:val="270453C3"/>
    <w:rsid w:val="27101EDB"/>
    <w:rsid w:val="27450F96"/>
    <w:rsid w:val="2766095B"/>
    <w:rsid w:val="27A03254"/>
    <w:rsid w:val="27A230C5"/>
    <w:rsid w:val="27A851CF"/>
    <w:rsid w:val="27D112AE"/>
    <w:rsid w:val="27DB0B96"/>
    <w:rsid w:val="27F6755B"/>
    <w:rsid w:val="2835156C"/>
    <w:rsid w:val="28433F5A"/>
    <w:rsid w:val="28532176"/>
    <w:rsid w:val="28541616"/>
    <w:rsid w:val="28567951"/>
    <w:rsid w:val="285E7742"/>
    <w:rsid w:val="285F589C"/>
    <w:rsid w:val="2860075F"/>
    <w:rsid w:val="288E7537"/>
    <w:rsid w:val="28BC51DD"/>
    <w:rsid w:val="28C01A4F"/>
    <w:rsid w:val="28D51CE9"/>
    <w:rsid w:val="28E0382C"/>
    <w:rsid w:val="28FB2940"/>
    <w:rsid w:val="29017971"/>
    <w:rsid w:val="2935387C"/>
    <w:rsid w:val="295642C7"/>
    <w:rsid w:val="29923BE6"/>
    <w:rsid w:val="299A22A0"/>
    <w:rsid w:val="29D70027"/>
    <w:rsid w:val="29E4565C"/>
    <w:rsid w:val="2A217644"/>
    <w:rsid w:val="2A2C7128"/>
    <w:rsid w:val="2A5522DC"/>
    <w:rsid w:val="2A6D7AE4"/>
    <w:rsid w:val="2A81126C"/>
    <w:rsid w:val="2A904C9B"/>
    <w:rsid w:val="2A9A509F"/>
    <w:rsid w:val="2AB141E3"/>
    <w:rsid w:val="2ABE75C5"/>
    <w:rsid w:val="2AC54EDF"/>
    <w:rsid w:val="2ADE1592"/>
    <w:rsid w:val="2AE72478"/>
    <w:rsid w:val="2AFE6BB2"/>
    <w:rsid w:val="2AFF547A"/>
    <w:rsid w:val="2B0F5BE3"/>
    <w:rsid w:val="2B191447"/>
    <w:rsid w:val="2B194010"/>
    <w:rsid w:val="2B1A0A86"/>
    <w:rsid w:val="2B683BE5"/>
    <w:rsid w:val="2B766889"/>
    <w:rsid w:val="2B8A3D12"/>
    <w:rsid w:val="2B8F7412"/>
    <w:rsid w:val="2BB62C14"/>
    <w:rsid w:val="2BB82208"/>
    <w:rsid w:val="2BC1544C"/>
    <w:rsid w:val="2BF17832"/>
    <w:rsid w:val="2BF25A55"/>
    <w:rsid w:val="2BF83122"/>
    <w:rsid w:val="2BF832AE"/>
    <w:rsid w:val="2C33078A"/>
    <w:rsid w:val="2C3E550F"/>
    <w:rsid w:val="2C4D4422"/>
    <w:rsid w:val="2C61592A"/>
    <w:rsid w:val="2CC43190"/>
    <w:rsid w:val="2CD37A5C"/>
    <w:rsid w:val="2CED2F88"/>
    <w:rsid w:val="2CF23348"/>
    <w:rsid w:val="2D0212AF"/>
    <w:rsid w:val="2D0721CE"/>
    <w:rsid w:val="2D220877"/>
    <w:rsid w:val="2D2D0FB8"/>
    <w:rsid w:val="2D4F33A1"/>
    <w:rsid w:val="2D5369A4"/>
    <w:rsid w:val="2D553E12"/>
    <w:rsid w:val="2D563294"/>
    <w:rsid w:val="2D572DE8"/>
    <w:rsid w:val="2D642153"/>
    <w:rsid w:val="2D7657B0"/>
    <w:rsid w:val="2D8B1753"/>
    <w:rsid w:val="2D8D13C2"/>
    <w:rsid w:val="2DA92533"/>
    <w:rsid w:val="2DC542FD"/>
    <w:rsid w:val="2DC93539"/>
    <w:rsid w:val="2DCF44E2"/>
    <w:rsid w:val="2E027319"/>
    <w:rsid w:val="2E0E422F"/>
    <w:rsid w:val="2E6F52A0"/>
    <w:rsid w:val="2E740C9C"/>
    <w:rsid w:val="2E76495E"/>
    <w:rsid w:val="2E78632A"/>
    <w:rsid w:val="2E7C35BA"/>
    <w:rsid w:val="2E912614"/>
    <w:rsid w:val="2EB82B9B"/>
    <w:rsid w:val="2EBA2A9C"/>
    <w:rsid w:val="2ED33B5E"/>
    <w:rsid w:val="2EDB211E"/>
    <w:rsid w:val="2EDB3299"/>
    <w:rsid w:val="2F0D7070"/>
    <w:rsid w:val="2FAF734F"/>
    <w:rsid w:val="2FB66570"/>
    <w:rsid w:val="2FB74538"/>
    <w:rsid w:val="2FB76FDC"/>
    <w:rsid w:val="2FC85BC4"/>
    <w:rsid w:val="2FF16930"/>
    <w:rsid w:val="2FF9415E"/>
    <w:rsid w:val="30093CDB"/>
    <w:rsid w:val="300C557A"/>
    <w:rsid w:val="30255652"/>
    <w:rsid w:val="302A5959"/>
    <w:rsid w:val="303B4F47"/>
    <w:rsid w:val="303C6197"/>
    <w:rsid w:val="305B0C4B"/>
    <w:rsid w:val="305E54D0"/>
    <w:rsid w:val="306F34C7"/>
    <w:rsid w:val="30C26B59"/>
    <w:rsid w:val="30DA04BF"/>
    <w:rsid w:val="31024AE6"/>
    <w:rsid w:val="311E37B6"/>
    <w:rsid w:val="31232744"/>
    <w:rsid w:val="313034EA"/>
    <w:rsid w:val="313F60CD"/>
    <w:rsid w:val="316C164E"/>
    <w:rsid w:val="31AC33EA"/>
    <w:rsid w:val="31B469D0"/>
    <w:rsid w:val="31D64F96"/>
    <w:rsid w:val="32017181"/>
    <w:rsid w:val="3202578C"/>
    <w:rsid w:val="326D3B31"/>
    <w:rsid w:val="327021FA"/>
    <w:rsid w:val="328F6627"/>
    <w:rsid w:val="329C1DF0"/>
    <w:rsid w:val="329E2BA3"/>
    <w:rsid w:val="32AE7A75"/>
    <w:rsid w:val="32E032B1"/>
    <w:rsid w:val="32E41DAA"/>
    <w:rsid w:val="32ED1121"/>
    <w:rsid w:val="32EF11A3"/>
    <w:rsid w:val="32EF2028"/>
    <w:rsid w:val="32FC7B27"/>
    <w:rsid w:val="33011C41"/>
    <w:rsid w:val="33170067"/>
    <w:rsid w:val="333C6A3D"/>
    <w:rsid w:val="3341378C"/>
    <w:rsid w:val="33470D47"/>
    <w:rsid w:val="335E3037"/>
    <w:rsid w:val="33644CFD"/>
    <w:rsid w:val="33774568"/>
    <w:rsid w:val="338D077F"/>
    <w:rsid w:val="33A0028D"/>
    <w:rsid w:val="33A570FA"/>
    <w:rsid w:val="33BD5C35"/>
    <w:rsid w:val="33D32C1C"/>
    <w:rsid w:val="33D92429"/>
    <w:rsid w:val="343B3818"/>
    <w:rsid w:val="343C1893"/>
    <w:rsid w:val="34626004"/>
    <w:rsid w:val="3472623A"/>
    <w:rsid w:val="349F6B06"/>
    <w:rsid w:val="34AE3F3D"/>
    <w:rsid w:val="34F167DF"/>
    <w:rsid w:val="34F328E8"/>
    <w:rsid w:val="350607E9"/>
    <w:rsid w:val="354173A1"/>
    <w:rsid w:val="35613C72"/>
    <w:rsid w:val="357070B5"/>
    <w:rsid w:val="357A7EC9"/>
    <w:rsid w:val="358526AE"/>
    <w:rsid w:val="35B43FF1"/>
    <w:rsid w:val="35B549E2"/>
    <w:rsid w:val="35B54B22"/>
    <w:rsid w:val="35DF0F8E"/>
    <w:rsid w:val="35E83CBD"/>
    <w:rsid w:val="35EA2489"/>
    <w:rsid w:val="35EF293B"/>
    <w:rsid w:val="35F13A2A"/>
    <w:rsid w:val="360453EB"/>
    <w:rsid w:val="361633A9"/>
    <w:rsid w:val="362C0965"/>
    <w:rsid w:val="36495F37"/>
    <w:rsid w:val="36523501"/>
    <w:rsid w:val="366A6E58"/>
    <w:rsid w:val="3680527C"/>
    <w:rsid w:val="36A52284"/>
    <w:rsid w:val="36D67433"/>
    <w:rsid w:val="36EA022D"/>
    <w:rsid w:val="37362EDC"/>
    <w:rsid w:val="37366041"/>
    <w:rsid w:val="373D0F4E"/>
    <w:rsid w:val="37436D97"/>
    <w:rsid w:val="37453FFF"/>
    <w:rsid w:val="37625DAE"/>
    <w:rsid w:val="377717B0"/>
    <w:rsid w:val="37983DD1"/>
    <w:rsid w:val="379D7A74"/>
    <w:rsid w:val="37A03DDA"/>
    <w:rsid w:val="37B778CA"/>
    <w:rsid w:val="37CF31EA"/>
    <w:rsid w:val="37DC389E"/>
    <w:rsid w:val="37E41DF1"/>
    <w:rsid w:val="37FC364E"/>
    <w:rsid w:val="38384E22"/>
    <w:rsid w:val="38463090"/>
    <w:rsid w:val="384C0889"/>
    <w:rsid w:val="38693FD5"/>
    <w:rsid w:val="387168C2"/>
    <w:rsid w:val="3882116E"/>
    <w:rsid w:val="388234B9"/>
    <w:rsid w:val="38973473"/>
    <w:rsid w:val="38A56CC9"/>
    <w:rsid w:val="38C05F24"/>
    <w:rsid w:val="38D750B8"/>
    <w:rsid w:val="38DF7CCF"/>
    <w:rsid w:val="38E13070"/>
    <w:rsid w:val="38F1355F"/>
    <w:rsid w:val="38F2240C"/>
    <w:rsid w:val="390B0AC4"/>
    <w:rsid w:val="39171CC0"/>
    <w:rsid w:val="39331DC9"/>
    <w:rsid w:val="393F39C1"/>
    <w:rsid w:val="3941283A"/>
    <w:rsid w:val="3951760D"/>
    <w:rsid w:val="395212E1"/>
    <w:rsid w:val="395D0BF4"/>
    <w:rsid w:val="396226AE"/>
    <w:rsid w:val="39904B26"/>
    <w:rsid w:val="39976574"/>
    <w:rsid w:val="39A165F9"/>
    <w:rsid w:val="39B72706"/>
    <w:rsid w:val="39C84E5A"/>
    <w:rsid w:val="39CE1AF2"/>
    <w:rsid w:val="39ED1F78"/>
    <w:rsid w:val="39FA0921"/>
    <w:rsid w:val="3A3457E8"/>
    <w:rsid w:val="3A383AE9"/>
    <w:rsid w:val="3A3F0320"/>
    <w:rsid w:val="3A536E24"/>
    <w:rsid w:val="3A565A98"/>
    <w:rsid w:val="3A810ECA"/>
    <w:rsid w:val="3A871F8A"/>
    <w:rsid w:val="3AA31206"/>
    <w:rsid w:val="3AB57780"/>
    <w:rsid w:val="3AC65AD2"/>
    <w:rsid w:val="3ACF5A26"/>
    <w:rsid w:val="3ADB191F"/>
    <w:rsid w:val="3B1B509F"/>
    <w:rsid w:val="3B1C493F"/>
    <w:rsid w:val="3B3575B2"/>
    <w:rsid w:val="3B4764C1"/>
    <w:rsid w:val="3B541C0B"/>
    <w:rsid w:val="3B54731C"/>
    <w:rsid w:val="3B653D90"/>
    <w:rsid w:val="3B67428D"/>
    <w:rsid w:val="3B6F4C0F"/>
    <w:rsid w:val="3B713350"/>
    <w:rsid w:val="3B7A26BE"/>
    <w:rsid w:val="3B827F02"/>
    <w:rsid w:val="3B9B7648"/>
    <w:rsid w:val="3BBF7944"/>
    <w:rsid w:val="3BDD426E"/>
    <w:rsid w:val="3BE767A5"/>
    <w:rsid w:val="3BF74C54"/>
    <w:rsid w:val="3C1701DB"/>
    <w:rsid w:val="3C2E25AC"/>
    <w:rsid w:val="3C2F61ED"/>
    <w:rsid w:val="3C33699A"/>
    <w:rsid w:val="3C41291B"/>
    <w:rsid w:val="3C447C27"/>
    <w:rsid w:val="3C4E3440"/>
    <w:rsid w:val="3C8963A2"/>
    <w:rsid w:val="3CCD5F78"/>
    <w:rsid w:val="3D0A1093"/>
    <w:rsid w:val="3D0A2E41"/>
    <w:rsid w:val="3D992099"/>
    <w:rsid w:val="3DB039E8"/>
    <w:rsid w:val="3DEA2BE2"/>
    <w:rsid w:val="3DFA1107"/>
    <w:rsid w:val="3E225ED0"/>
    <w:rsid w:val="3E29108F"/>
    <w:rsid w:val="3E4E3F57"/>
    <w:rsid w:val="3E6D3E2B"/>
    <w:rsid w:val="3E763568"/>
    <w:rsid w:val="3E8F0CCE"/>
    <w:rsid w:val="3E9A6DB8"/>
    <w:rsid w:val="3EB341AB"/>
    <w:rsid w:val="3EC20226"/>
    <w:rsid w:val="3EC451E1"/>
    <w:rsid w:val="3EC47F80"/>
    <w:rsid w:val="3EDA33EE"/>
    <w:rsid w:val="3EE576C2"/>
    <w:rsid w:val="3F19736B"/>
    <w:rsid w:val="3F1E63B0"/>
    <w:rsid w:val="3F2226EC"/>
    <w:rsid w:val="3F601C75"/>
    <w:rsid w:val="3F8A4E31"/>
    <w:rsid w:val="3F98172F"/>
    <w:rsid w:val="3F9A207C"/>
    <w:rsid w:val="3FA84946"/>
    <w:rsid w:val="3FAC6CE4"/>
    <w:rsid w:val="3FB04B06"/>
    <w:rsid w:val="3FB11C9A"/>
    <w:rsid w:val="3FDA48AC"/>
    <w:rsid w:val="400E0E9A"/>
    <w:rsid w:val="401E0F35"/>
    <w:rsid w:val="402A3DD6"/>
    <w:rsid w:val="402B570A"/>
    <w:rsid w:val="402E363B"/>
    <w:rsid w:val="403A7A13"/>
    <w:rsid w:val="404911A3"/>
    <w:rsid w:val="404F50CF"/>
    <w:rsid w:val="40883F9A"/>
    <w:rsid w:val="40A6403B"/>
    <w:rsid w:val="40BB61AC"/>
    <w:rsid w:val="40C31767"/>
    <w:rsid w:val="40D11C13"/>
    <w:rsid w:val="40D14228"/>
    <w:rsid w:val="40D914A8"/>
    <w:rsid w:val="40E32648"/>
    <w:rsid w:val="410F0A26"/>
    <w:rsid w:val="413F338F"/>
    <w:rsid w:val="415D3A83"/>
    <w:rsid w:val="415E2744"/>
    <w:rsid w:val="419659D4"/>
    <w:rsid w:val="41A02235"/>
    <w:rsid w:val="41A50FA5"/>
    <w:rsid w:val="41CC07BC"/>
    <w:rsid w:val="41DD5AAF"/>
    <w:rsid w:val="41E242DD"/>
    <w:rsid w:val="41F86F7D"/>
    <w:rsid w:val="420569A4"/>
    <w:rsid w:val="42117033"/>
    <w:rsid w:val="422E5823"/>
    <w:rsid w:val="4246080B"/>
    <w:rsid w:val="42644DA1"/>
    <w:rsid w:val="42843695"/>
    <w:rsid w:val="42997C24"/>
    <w:rsid w:val="42CB3E86"/>
    <w:rsid w:val="42CE24FD"/>
    <w:rsid w:val="42F302DD"/>
    <w:rsid w:val="430553B5"/>
    <w:rsid w:val="43260C43"/>
    <w:rsid w:val="433B161A"/>
    <w:rsid w:val="438034F8"/>
    <w:rsid w:val="4388321A"/>
    <w:rsid w:val="438B6DC8"/>
    <w:rsid w:val="4396542E"/>
    <w:rsid w:val="441827ED"/>
    <w:rsid w:val="441A31FF"/>
    <w:rsid w:val="443D534C"/>
    <w:rsid w:val="443F03D6"/>
    <w:rsid w:val="446A3759"/>
    <w:rsid w:val="446B4961"/>
    <w:rsid w:val="449428DA"/>
    <w:rsid w:val="45132E7E"/>
    <w:rsid w:val="451A0BFA"/>
    <w:rsid w:val="45407BF7"/>
    <w:rsid w:val="45A046DF"/>
    <w:rsid w:val="45AF27D7"/>
    <w:rsid w:val="45B725A0"/>
    <w:rsid w:val="45C02EA2"/>
    <w:rsid w:val="45D14FA5"/>
    <w:rsid w:val="45E17241"/>
    <w:rsid w:val="462D2D97"/>
    <w:rsid w:val="462E25CA"/>
    <w:rsid w:val="46303A17"/>
    <w:rsid w:val="465A58CC"/>
    <w:rsid w:val="46931FE6"/>
    <w:rsid w:val="46B67B95"/>
    <w:rsid w:val="46C24AFD"/>
    <w:rsid w:val="46D637ED"/>
    <w:rsid w:val="46DD3F38"/>
    <w:rsid w:val="46F16F1D"/>
    <w:rsid w:val="46FD2CBF"/>
    <w:rsid w:val="47100CA8"/>
    <w:rsid w:val="472910BD"/>
    <w:rsid w:val="472D60AA"/>
    <w:rsid w:val="47553E8E"/>
    <w:rsid w:val="477C293C"/>
    <w:rsid w:val="478665EE"/>
    <w:rsid w:val="47CA2F97"/>
    <w:rsid w:val="47D84675"/>
    <w:rsid w:val="47D96647"/>
    <w:rsid w:val="47E17B3A"/>
    <w:rsid w:val="47EA27D0"/>
    <w:rsid w:val="47F573B2"/>
    <w:rsid w:val="481379C4"/>
    <w:rsid w:val="481947FE"/>
    <w:rsid w:val="483B043E"/>
    <w:rsid w:val="48673535"/>
    <w:rsid w:val="486B0826"/>
    <w:rsid w:val="486B1D8E"/>
    <w:rsid w:val="48A93D74"/>
    <w:rsid w:val="48CA1F3D"/>
    <w:rsid w:val="48D139F6"/>
    <w:rsid w:val="48F56DD6"/>
    <w:rsid w:val="491916C6"/>
    <w:rsid w:val="49331971"/>
    <w:rsid w:val="494616A5"/>
    <w:rsid w:val="49573AC8"/>
    <w:rsid w:val="499A2AF1"/>
    <w:rsid w:val="49AA7971"/>
    <w:rsid w:val="49CC6604"/>
    <w:rsid w:val="49F41101"/>
    <w:rsid w:val="49FB248F"/>
    <w:rsid w:val="49FE240E"/>
    <w:rsid w:val="4A141151"/>
    <w:rsid w:val="4A316318"/>
    <w:rsid w:val="4A5950C6"/>
    <w:rsid w:val="4A643B84"/>
    <w:rsid w:val="4A777A6A"/>
    <w:rsid w:val="4A9B157C"/>
    <w:rsid w:val="4A9F106C"/>
    <w:rsid w:val="4AC9062D"/>
    <w:rsid w:val="4AE52C42"/>
    <w:rsid w:val="4AF2187D"/>
    <w:rsid w:val="4AFC3953"/>
    <w:rsid w:val="4B1D722F"/>
    <w:rsid w:val="4B1E385E"/>
    <w:rsid w:val="4B2F50E7"/>
    <w:rsid w:val="4B49112B"/>
    <w:rsid w:val="4B6870F9"/>
    <w:rsid w:val="4B6C2969"/>
    <w:rsid w:val="4B810673"/>
    <w:rsid w:val="4B925924"/>
    <w:rsid w:val="4BCF6DCB"/>
    <w:rsid w:val="4BD06B38"/>
    <w:rsid w:val="4BD30026"/>
    <w:rsid w:val="4BDF321A"/>
    <w:rsid w:val="4BEA14D5"/>
    <w:rsid w:val="4C0065CE"/>
    <w:rsid w:val="4C18241E"/>
    <w:rsid w:val="4C227943"/>
    <w:rsid w:val="4C391EF2"/>
    <w:rsid w:val="4C4373DD"/>
    <w:rsid w:val="4C472142"/>
    <w:rsid w:val="4C5F22C4"/>
    <w:rsid w:val="4C625F16"/>
    <w:rsid w:val="4CEC7E58"/>
    <w:rsid w:val="4D003095"/>
    <w:rsid w:val="4D0A226B"/>
    <w:rsid w:val="4D3535A9"/>
    <w:rsid w:val="4D482F2B"/>
    <w:rsid w:val="4D587BF8"/>
    <w:rsid w:val="4D67647E"/>
    <w:rsid w:val="4DA61087"/>
    <w:rsid w:val="4DA70921"/>
    <w:rsid w:val="4DC86CD0"/>
    <w:rsid w:val="4DD064F2"/>
    <w:rsid w:val="4DD3102D"/>
    <w:rsid w:val="4DD62C1F"/>
    <w:rsid w:val="4DE60D60"/>
    <w:rsid w:val="4DF46D27"/>
    <w:rsid w:val="4DF9516D"/>
    <w:rsid w:val="4E367509"/>
    <w:rsid w:val="4E5211BA"/>
    <w:rsid w:val="4E577EB0"/>
    <w:rsid w:val="4E90713C"/>
    <w:rsid w:val="4E9D1D1E"/>
    <w:rsid w:val="4EFB6A8D"/>
    <w:rsid w:val="4F0E0B1D"/>
    <w:rsid w:val="4F147B4F"/>
    <w:rsid w:val="4F1D2EA8"/>
    <w:rsid w:val="4F563CC4"/>
    <w:rsid w:val="4FBD41CA"/>
    <w:rsid w:val="4FD246D2"/>
    <w:rsid w:val="50077D56"/>
    <w:rsid w:val="50131451"/>
    <w:rsid w:val="5060129E"/>
    <w:rsid w:val="50831BFE"/>
    <w:rsid w:val="50A36C6F"/>
    <w:rsid w:val="50B52FE4"/>
    <w:rsid w:val="50BF2E54"/>
    <w:rsid w:val="50CA6717"/>
    <w:rsid w:val="50E9225F"/>
    <w:rsid w:val="50F30E82"/>
    <w:rsid w:val="51213E3C"/>
    <w:rsid w:val="51250AFA"/>
    <w:rsid w:val="51343886"/>
    <w:rsid w:val="51390BE4"/>
    <w:rsid w:val="51510BE7"/>
    <w:rsid w:val="517D5E7F"/>
    <w:rsid w:val="519E5264"/>
    <w:rsid w:val="51C804DE"/>
    <w:rsid w:val="51CF0D4C"/>
    <w:rsid w:val="51E12FF8"/>
    <w:rsid w:val="51E33826"/>
    <w:rsid w:val="51E71C22"/>
    <w:rsid w:val="520C6B50"/>
    <w:rsid w:val="522E62F3"/>
    <w:rsid w:val="52412A09"/>
    <w:rsid w:val="52A33960"/>
    <w:rsid w:val="52B476CE"/>
    <w:rsid w:val="52F47A95"/>
    <w:rsid w:val="52F63E0E"/>
    <w:rsid w:val="531645CA"/>
    <w:rsid w:val="531F2A96"/>
    <w:rsid w:val="53262EC9"/>
    <w:rsid w:val="534908F1"/>
    <w:rsid w:val="535C20D3"/>
    <w:rsid w:val="53734149"/>
    <w:rsid w:val="53932760"/>
    <w:rsid w:val="53955AF3"/>
    <w:rsid w:val="539873E7"/>
    <w:rsid w:val="53B46D0C"/>
    <w:rsid w:val="53EC2E48"/>
    <w:rsid w:val="53F54ADB"/>
    <w:rsid w:val="54087353"/>
    <w:rsid w:val="54375044"/>
    <w:rsid w:val="544232E7"/>
    <w:rsid w:val="54557110"/>
    <w:rsid w:val="547A48F8"/>
    <w:rsid w:val="549661B6"/>
    <w:rsid w:val="54BE2A37"/>
    <w:rsid w:val="54CF69F2"/>
    <w:rsid w:val="54D24E79"/>
    <w:rsid w:val="54FF6BD7"/>
    <w:rsid w:val="5503429F"/>
    <w:rsid w:val="551027C6"/>
    <w:rsid w:val="552F7315"/>
    <w:rsid w:val="55336277"/>
    <w:rsid w:val="554B0FDD"/>
    <w:rsid w:val="55631D2D"/>
    <w:rsid w:val="5591369D"/>
    <w:rsid w:val="55A03EEB"/>
    <w:rsid w:val="55BB1E97"/>
    <w:rsid w:val="55C85A6E"/>
    <w:rsid w:val="55C8709D"/>
    <w:rsid w:val="560509A3"/>
    <w:rsid w:val="56050C0A"/>
    <w:rsid w:val="56105B8A"/>
    <w:rsid w:val="56250237"/>
    <w:rsid w:val="562F458A"/>
    <w:rsid w:val="564569EB"/>
    <w:rsid w:val="56AB5944"/>
    <w:rsid w:val="56F645A2"/>
    <w:rsid w:val="56FD688A"/>
    <w:rsid w:val="57214861"/>
    <w:rsid w:val="5723303F"/>
    <w:rsid w:val="572B4616"/>
    <w:rsid w:val="57541EAD"/>
    <w:rsid w:val="57574A7D"/>
    <w:rsid w:val="576D2C98"/>
    <w:rsid w:val="577465D8"/>
    <w:rsid w:val="5791066D"/>
    <w:rsid w:val="57A06424"/>
    <w:rsid w:val="57A33BF9"/>
    <w:rsid w:val="57AE5029"/>
    <w:rsid w:val="57C23486"/>
    <w:rsid w:val="57D123D3"/>
    <w:rsid w:val="5807247D"/>
    <w:rsid w:val="58117CC1"/>
    <w:rsid w:val="581D5CC6"/>
    <w:rsid w:val="581F37ED"/>
    <w:rsid w:val="582C3384"/>
    <w:rsid w:val="584F3FB4"/>
    <w:rsid w:val="58624A55"/>
    <w:rsid w:val="587C29ED"/>
    <w:rsid w:val="59162EF2"/>
    <w:rsid w:val="59216A89"/>
    <w:rsid w:val="593D4A70"/>
    <w:rsid w:val="5981533B"/>
    <w:rsid w:val="59A175DF"/>
    <w:rsid w:val="59B819C2"/>
    <w:rsid w:val="59C7668D"/>
    <w:rsid w:val="59E074F3"/>
    <w:rsid w:val="59FC4729"/>
    <w:rsid w:val="59FF697B"/>
    <w:rsid w:val="5A0B75E4"/>
    <w:rsid w:val="5A575BFF"/>
    <w:rsid w:val="5A77586F"/>
    <w:rsid w:val="5AA12CBD"/>
    <w:rsid w:val="5ACA65CD"/>
    <w:rsid w:val="5ACC7A53"/>
    <w:rsid w:val="5AE51758"/>
    <w:rsid w:val="5B2A7597"/>
    <w:rsid w:val="5B581F93"/>
    <w:rsid w:val="5B5873C2"/>
    <w:rsid w:val="5B6255DC"/>
    <w:rsid w:val="5B6A38CA"/>
    <w:rsid w:val="5B6B529B"/>
    <w:rsid w:val="5B9C7414"/>
    <w:rsid w:val="5BB250E2"/>
    <w:rsid w:val="5BB3320D"/>
    <w:rsid w:val="5BC31A45"/>
    <w:rsid w:val="5BC772C9"/>
    <w:rsid w:val="5BF50377"/>
    <w:rsid w:val="5C050F4B"/>
    <w:rsid w:val="5C25514A"/>
    <w:rsid w:val="5C465FA2"/>
    <w:rsid w:val="5C544090"/>
    <w:rsid w:val="5C553754"/>
    <w:rsid w:val="5C726BB6"/>
    <w:rsid w:val="5C7322D1"/>
    <w:rsid w:val="5C7873FD"/>
    <w:rsid w:val="5CEF4070"/>
    <w:rsid w:val="5CEF52D1"/>
    <w:rsid w:val="5CF16E95"/>
    <w:rsid w:val="5CFC28A8"/>
    <w:rsid w:val="5D246FFC"/>
    <w:rsid w:val="5D36426B"/>
    <w:rsid w:val="5DA232C8"/>
    <w:rsid w:val="5DA315C4"/>
    <w:rsid w:val="5DDA696A"/>
    <w:rsid w:val="5DDD6AE5"/>
    <w:rsid w:val="5E021F88"/>
    <w:rsid w:val="5E03770C"/>
    <w:rsid w:val="5E2417B0"/>
    <w:rsid w:val="5E2628EB"/>
    <w:rsid w:val="5E410FFD"/>
    <w:rsid w:val="5E544606"/>
    <w:rsid w:val="5E8E05EA"/>
    <w:rsid w:val="5E9640DD"/>
    <w:rsid w:val="5E997A50"/>
    <w:rsid w:val="5EFB61FA"/>
    <w:rsid w:val="5F226B62"/>
    <w:rsid w:val="5F257B95"/>
    <w:rsid w:val="5F2C7D02"/>
    <w:rsid w:val="5F31206E"/>
    <w:rsid w:val="5F34458B"/>
    <w:rsid w:val="5F5F0D39"/>
    <w:rsid w:val="5F7663E9"/>
    <w:rsid w:val="5F8D65FE"/>
    <w:rsid w:val="5FB656F9"/>
    <w:rsid w:val="5FBC2CFA"/>
    <w:rsid w:val="5FC53466"/>
    <w:rsid w:val="5FCA7EFC"/>
    <w:rsid w:val="5FD118EB"/>
    <w:rsid w:val="5FD13015"/>
    <w:rsid w:val="5FF56DB4"/>
    <w:rsid w:val="60190EE3"/>
    <w:rsid w:val="601D48F2"/>
    <w:rsid w:val="601E31F8"/>
    <w:rsid w:val="602832C7"/>
    <w:rsid w:val="602D42BF"/>
    <w:rsid w:val="602F6597"/>
    <w:rsid w:val="60336A3A"/>
    <w:rsid w:val="603D1F50"/>
    <w:rsid w:val="603F673E"/>
    <w:rsid w:val="605467C6"/>
    <w:rsid w:val="607B17DC"/>
    <w:rsid w:val="609959CC"/>
    <w:rsid w:val="60D605A1"/>
    <w:rsid w:val="60F577E0"/>
    <w:rsid w:val="610417D1"/>
    <w:rsid w:val="612C537D"/>
    <w:rsid w:val="61464F6C"/>
    <w:rsid w:val="614B7400"/>
    <w:rsid w:val="61515A7F"/>
    <w:rsid w:val="61633E93"/>
    <w:rsid w:val="617C75F0"/>
    <w:rsid w:val="61A4558D"/>
    <w:rsid w:val="61C32B70"/>
    <w:rsid w:val="61D54EA8"/>
    <w:rsid w:val="61E045CD"/>
    <w:rsid w:val="61E23930"/>
    <w:rsid w:val="62016875"/>
    <w:rsid w:val="623E052A"/>
    <w:rsid w:val="628B7263"/>
    <w:rsid w:val="62902D58"/>
    <w:rsid w:val="62AE4BDA"/>
    <w:rsid w:val="62C44623"/>
    <w:rsid w:val="62C97640"/>
    <w:rsid w:val="62D27C48"/>
    <w:rsid w:val="62F35146"/>
    <w:rsid w:val="6307315E"/>
    <w:rsid w:val="63184211"/>
    <w:rsid w:val="63185710"/>
    <w:rsid w:val="631B5AD9"/>
    <w:rsid w:val="632726A9"/>
    <w:rsid w:val="635514AC"/>
    <w:rsid w:val="635C575B"/>
    <w:rsid w:val="63672302"/>
    <w:rsid w:val="636863CF"/>
    <w:rsid w:val="63715219"/>
    <w:rsid w:val="63752C12"/>
    <w:rsid w:val="637569B7"/>
    <w:rsid w:val="637D6904"/>
    <w:rsid w:val="63830594"/>
    <w:rsid w:val="638C1080"/>
    <w:rsid w:val="6393508F"/>
    <w:rsid w:val="63B413CF"/>
    <w:rsid w:val="63BC45E5"/>
    <w:rsid w:val="63D4721A"/>
    <w:rsid w:val="63FF6C27"/>
    <w:rsid w:val="6405263C"/>
    <w:rsid w:val="642454D9"/>
    <w:rsid w:val="64306D81"/>
    <w:rsid w:val="64346872"/>
    <w:rsid w:val="644F681E"/>
    <w:rsid w:val="64521316"/>
    <w:rsid w:val="6464336B"/>
    <w:rsid w:val="647D1609"/>
    <w:rsid w:val="64982B6D"/>
    <w:rsid w:val="64A05CB5"/>
    <w:rsid w:val="64AA08E2"/>
    <w:rsid w:val="64B41760"/>
    <w:rsid w:val="653C5193"/>
    <w:rsid w:val="655C7828"/>
    <w:rsid w:val="65763F55"/>
    <w:rsid w:val="65830A17"/>
    <w:rsid w:val="658B4967"/>
    <w:rsid w:val="65A173AE"/>
    <w:rsid w:val="65CB1350"/>
    <w:rsid w:val="65FE7137"/>
    <w:rsid w:val="65FF1D4D"/>
    <w:rsid w:val="66330E7B"/>
    <w:rsid w:val="66351622"/>
    <w:rsid w:val="665925BF"/>
    <w:rsid w:val="665A2304"/>
    <w:rsid w:val="66745D78"/>
    <w:rsid w:val="669C6349"/>
    <w:rsid w:val="66A34AD0"/>
    <w:rsid w:val="66A80AC6"/>
    <w:rsid w:val="66D165FA"/>
    <w:rsid w:val="6705401D"/>
    <w:rsid w:val="67144976"/>
    <w:rsid w:val="67202357"/>
    <w:rsid w:val="672A3F5C"/>
    <w:rsid w:val="67603F26"/>
    <w:rsid w:val="67881D7C"/>
    <w:rsid w:val="67D3264E"/>
    <w:rsid w:val="67D63720"/>
    <w:rsid w:val="67DF5B7C"/>
    <w:rsid w:val="67EC027D"/>
    <w:rsid w:val="68024DD3"/>
    <w:rsid w:val="680F332B"/>
    <w:rsid w:val="6832253F"/>
    <w:rsid w:val="685C3C4D"/>
    <w:rsid w:val="687102AD"/>
    <w:rsid w:val="68724B40"/>
    <w:rsid w:val="68902798"/>
    <w:rsid w:val="68C1444C"/>
    <w:rsid w:val="68EE169B"/>
    <w:rsid w:val="690C7142"/>
    <w:rsid w:val="691F2F7E"/>
    <w:rsid w:val="69412846"/>
    <w:rsid w:val="695907E9"/>
    <w:rsid w:val="695B74E0"/>
    <w:rsid w:val="6964290E"/>
    <w:rsid w:val="698304CD"/>
    <w:rsid w:val="69932BAE"/>
    <w:rsid w:val="69951B60"/>
    <w:rsid w:val="69A16FDB"/>
    <w:rsid w:val="69A27DD9"/>
    <w:rsid w:val="69BA6060"/>
    <w:rsid w:val="69E44896"/>
    <w:rsid w:val="69ED5B2B"/>
    <w:rsid w:val="6A162175"/>
    <w:rsid w:val="6A195AF0"/>
    <w:rsid w:val="6A223F21"/>
    <w:rsid w:val="6A2933E2"/>
    <w:rsid w:val="6A4771F0"/>
    <w:rsid w:val="6A641277"/>
    <w:rsid w:val="6A861F52"/>
    <w:rsid w:val="6A985E45"/>
    <w:rsid w:val="6AAD0001"/>
    <w:rsid w:val="6ACC3B62"/>
    <w:rsid w:val="6AE30427"/>
    <w:rsid w:val="6AF66D84"/>
    <w:rsid w:val="6B1B05C6"/>
    <w:rsid w:val="6B221EFB"/>
    <w:rsid w:val="6B35684E"/>
    <w:rsid w:val="6B6C1D6A"/>
    <w:rsid w:val="6B706DFD"/>
    <w:rsid w:val="6B735145"/>
    <w:rsid w:val="6B76701F"/>
    <w:rsid w:val="6B78258E"/>
    <w:rsid w:val="6BA603FF"/>
    <w:rsid w:val="6BA65F1A"/>
    <w:rsid w:val="6BB64940"/>
    <w:rsid w:val="6BBA5ABD"/>
    <w:rsid w:val="6BC04151"/>
    <w:rsid w:val="6BD12ECD"/>
    <w:rsid w:val="6BE26BB3"/>
    <w:rsid w:val="6BFF6B53"/>
    <w:rsid w:val="6C161EDD"/>
    <w:rsid w:val="6C17534B"/>
    <w:rsid w:val="6C281E6D"/>
    <w:rsid w:val="6C3C2767"/>
    <w:rsid w:val="6C52384A"/>
    <w:rsid w:val="6C5F577B"/>
    <w:rsid w:val="6C5F6B13"/>
    <w:rsid w:val="6C68759F"/>
    <w:rsid w:val="6C831486"/>
    <w:rsid w:val="6C8C7141"/>
    <w:rsid w:val="6C903E5F"/>
    <w:rsid w:val="6C92595F"/>
    <w:rsid w:val="6CA31D11"/>
    <w:rsid w:val="6CA4287F"/>
    <w:rsid w:val="6CAD318E"/>
    <w:rsid w:val="6CB16AD5"/>
    <w:rsid w:val="6CCA3662"/>
    <w:rsid w:val="6CE513BE"/>
    <w:rsid w:val="6CEE595E"/>
    <w:rsid w:val="6CF272CA"/>
    <w:rsid w:val="6CF30C09"/>
    <w:rsid w:val="6CF82160"/>
    <w:rsid w:val="6D094BFA"/>
    <w:rsid w:val="6D1D7324"/>
    <w:rsid w:val="6D283EB3"/>
    <w:rsid w:val="6D3C22F3"/>
    <w:rsid w:val="6D476F5C"/>
    <w:rsid w:val="6D524D35"/>
    <w:rsid w:val="6D631E8B"/>
    <w:rsid w:val="6DA45721"/>
    <w:rsid w:val="6DC55002"/>
    <w:rsid w:val="6DCE3574"/>
    <w:rsid w:val="6DD7014E"/>
    <w:rsid w:val="6DEF5724"/>
    <w:rsid w:val="6DFF1C9E"/>
    <w:rsid w:val="6E2D7396"/>
    <w:rsid w:val="6E393D65"/>
    <w:rsid w:val="6E433E0F"/>
    <w:rsid w:val="6E977E1E"/>
    <w:rsid w:val="6E9A083E"/>
    <w:rsid w:val="6EBA7973"/>
    <w:rsid w:val="6F1013D6"/>
    <w:rsid w:val="6F1830F3"/>
    <w:rsid w:val="6F1A2A7D"/>
    <w:rsid w:val="6F2C4E6B"/>
    <w:rsid w:val="6F7502BE"/>
    <w:rsid w:val="6F8E346E"/>
    <w:rsid w:val="6F922D77"/>
    <w:rsid w:val="6FA85985"/>
    <w:rsid w:val="6FCE4D1E"/>
    <w:rsid w:val="6FD7718C"/>
    <w:rsid w:val="6FEA2DEF"/>
    <w:rsid w:val="70231C9D"/>
    <w:rsid w:val="70411BFE"/>
    <w:rsid w:val="704202FE"/>
    <w:rsid w:val="70584155"/>
    <w:rsid w:val="707B5C7D"/>
    <w:rsid w:val="70876E49"/>
    <w:rsid w:val="708C386D"/>
    <w:rsid w:val="7093353E"/>
    <w:rsid w:val="709D6403"/>
    <w:rsid w:val="70A25D2A"/>
    <w:rsid w:val="70DE20F4"/>
    <w:rsid w:val="70EC15F1"/>
    <w:rsid w:val="70F606D1"/>
    <w:rsid w:val="70F84EA4"/>
    <w:rsid w:val="710C3141"/>
    <w:rsid w:val="71104E62"/>
    <w:rsid w:val="711A4857"/>
    <w:rsid w:val="7121447D"/>
    <w:rsid w:val="713927A1"/>
    <w:rsid w:val="71426CAF"/>
    <w:rsid w:val="719525E5"/>
    <w:rsid w:val="71C43EDF"/>
    <w:rsid w:val="71D12B7B"/>
    <w:rsid w:val="72047D57"/>
    <w:rsid w:val="722370F7"/>
    <w:rsid w:val="72292FB7"/>
    <w:rsid w:val="722A340F"/>
    <w:rsid w:val="723C3769"/>
    <w:rsid w:val="7254510E"/>
    <w:rsid w:val="72563FB1"/>
    <w:rsid w:val="726E28BC"/>
    <w:rsid w:val="728A7A59"/>
    <w:rsid w:val="729701F7"/>
    <w:rsid w:val="72C13435"/>
    <w:rsid w:val="72FA0C86"/>
    <w:rsid w:val="7332304C"/>
    <w:rsid w:val="73460DCF"/>
    <w:rsid w:val="7352575D"/>
    <w:rsid w:val="736F51CC"/>
    <w:rsid w:val="73765DF7"/>
    <w:rsid w:val="739C093C"/>
    <w:rsid w:val="739D0315"/>
    <w:rsid w:val="739D483A"/>
    <w:rsid w:val="73CE4F10"/>
    <w:rsid w:val="73DE0BF4"/>
    <w:rsid w:val="73EF72A5"/>
    <w:rsid w:val="73F01406"/>
    <w:rsid w:val="73F25312"/>
    <w:rsid w:val="740166CA"/>
    <w:rsid w:val="741606DE"/>
    <w:rsid w:val="744E25A6"/>
    <w:rsid w:val="74531341"/>
    <w:rsid w:val="745F3497"/>
    <w:rsid w:val="746B4618"/>
    <w:rsid w:val="746F2FAE"/>
    <w:rsid w:val="748E187D"/>
    <w:rsid w:val="74BB719F"/>
    <w:rsid w:val="74D40144"/>
    <w:rsid w:val="74F727ED"/>
    <w:rsid w:val="75120509"/>
    <w:rsid w:val="75395A4F"/>
    <w:rsid w:val="754461E9"/>
    <w:rsid w:val="75855A02"/>
    <w:rsid w:val="75A60C51"/>
    <w:rsid w:val="75A62599"/>
    <w:rsid w:val="75C718AC"/>
    <w:rsid w:val="75E44E71"/>
    <w:rsid w:val="75E5168E"/>
    <w:rsid w:val="75E65018"/>
    <w:rsid w:val="75FD7923"/>
    <w:rsid w:val="76065B94"/>
    <w:rsid w:val="76247DA7"/>
    <w:rsid w:val="764536B8"/>
    <w:rsid w:val="764C1E95"/>
    <w:rsid w:val="765340BE"/>
    <w:rsid w:val="76600B0B"/>
    <w:rsid w:val="767945B8"/>
    <w:rsid w:val="76BB24DB"/>
    <w:rsid w:val="76EC025F"/>
    <w:rsid w:val="77012C6A"/>
    <w:rsid w:val="770A5BB9"/>
    <w:rsid w:val="77104195"/>
    <w:rsid w:val="77157517"/>
    <w:rsid w:val="77304C77"/>
    <w:rsid w:val="774D35C8"/>
    <w:rsid w:val="77532B5B"/>
    <w:rsid w:val="778718D3"/>
    <w:rsid w:val="77A17320"/>
    <w:rsid w:val="77A72B49"/>
    <w:rsid w:val="77AE12FA"/>
    <w:rsid w:val="77BA48A1"/>
    <w:rsid w:val="77EA45C3"/>
    <w:rsid w:val="77F04406"/>
    <w:rsid w:val="77F3515D"/>
    <w:rsid w:val="77F537AF"/>
    <w:rsid w:val="77F75794"/>
    <w:rsid w:val="77FB61E7"/>
    <w:rsid w:val="783562BD"/>
    <w:rsid w:val="78427D95"/>
    <w:rsid w:val="787677ED"/>
    <w:rsid w:val="788F00C3"/>
    <w:rsid w:val="78BB0A18"/>
    <w:rsid w:val="78C46FB4"/>
    <w:rsid w:val="78C55892"/>
    <w:rsid w:val="78CA343E"/>
    <w:rsid w:val="78CE3373"/>
    <w:rsid w:val="78CF3621"/>
    <w:rsid w:val="78EA06B1"/>
    <w:rsid w:val="79303653"/>
    <w:rsid w:val="79332894"/>
    <w:rsid w:val="7936272B"/>
    <w:rsid w:val="79432FDA"/>
    <w:rsid w:val="794E031B"/>
    <w:rsid w:val="796340FE"/>
    <w:rsid w:val="79D42231"/>
    <w:rsid w:val="79F651E3"/>
    <w:rsid w:val="7A356A48"/>
    <w:rsid w:val="7A4A0DFD"/>
    <w:rsid w:val="7A552236"/>
    <w:rsid w:val="7A622A0A"/>
    <w:rsid w:val="7A735659"/>
    <w:rsid w:val="7A7E0068"/>
    <w:rsid w:val="7A9522C3"/>
    <w:rsid w:val="7AB60141"/>
    <w:rsid w:val="7AB7745D"/>
    <w:rsid w:val="7AC17447"/>
    <w:rsid w:val="7AD70C9B"/>
    <w:rsid w:val="7ADA5B3C"/>
    <w:rsid w:val="7AEB74BC"/>
    <w:rsid w:val="7B08701C"/>
    <w:rsid w:val="7B161304"/>
    <w:rsid w:val="7B4531F1"/>
    <w:rsid w:val="7B4A0A3C"/>
    <w:rsid w:val="7B4D07FD"/>
    <w:rsid w:val="7BAB3DF5"/>
    <w:rsid w:val="7BD26364"/>
    <w:rsid w:val="7BDB29F1"/>
    <w:rsid w:val="7BDD1C41"/>
    <w:rsid w:val="7C2F53CB"/>
    <w:rsid w:val="7C3A3603"/>
    <w:rsid w:val="7C461D0D"/>
    <w:rsid w:val="7C485C63"/>
    <w:rsid w:val="7C5807CC"/>
    <w:rsid w:val="7C7F6A25"/>
    <w:rsid w:val="7CA834CE"/>
    <w:rsid w:val="7CB9036C"/>
    <w:rsid w:val="7D047631"/>
    <w:rsid w:val="7D303F3D"/>
    <w:rsid w:val="7D3475DB"/>
    <w:rsid w:val="7D715FE9"/>
    <w:rsid w:val="7D771F95"/>
    <w:rsid w:val="7D8C2E23"/>
    <w:rsid w:val="7D942460"/>
    <w:rsid w:val="7D9677FD"/>
    <w:rsid w:val="7D9B2D0E"/>
    <w:rsid w:val="7DDD5D1F"/>
    <w:rsid w:val="7E0B3754"/>
    <w:rsid w:val="7E205518"/>
    <w:rsid w:val="7E3C4D54"/>
    <w:rsid w:val="7E4923B3"/>
    <w:rsid w:val="7E563F68"/>
    <w:rsid w:val="7EC40A24"/>
    <w:rsid w:val="7ED50A7B"/>
    <w:rsid w:val="7EDE28E1"/>
    <w:rsid w:val="7EE726B7"/>
    <w:rsid w:val="7F1C1F84"/>
    <w:rsid w:val="7F5F072D"/>
    <w:rsid w:val="7F711C25"/>
    <w:rsid w:val="7F8F2756"/>
    <w:rsid w:val="7FC918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1"/>
    <w:autoRedefine/>
    <w:qFormat/>
    <w:uiPriority w:val="0"/>
    <w:pPr>
      <w:keepNext/>
      <w:jc w:val="center"/>
      <w:outlineLvl w:val="0"/>
    </w:pPr>
    <w:rPr>
      <w:rFonts w:eastAsia="黑体"/>
      <w:b/>
      <w:sz w:val="32"/>
      <w:szCs w:val="20"/>
    </w:rPr>
  </w:style>
  <w:style w:type="paragraph" w:styleId="6">
    <w:name w:val="heading 2"/>
    <w:basedOn w:val="1"/>
    <w:next w:val="1"/>
    <w:link w:val="69"/>
    <w:autoRedefine/>
    <w:qFormat/>
    <w:uiPriority w:val="0"/>
    <w:pPr>
      <w:keepNext/>
      <w:outlineLvl w:val="1"/>
    </w:pPr>
    <w:rPr>
      <w:rFonts w:ascii="仿宋_GB2312"/>
      <w:b/>
      <w:sz w:val="28"/>
      <w:szCs w:val="32"/>
    </w:rPr>
  </w:style>
  <w:style w:type="paragraph" w:styleId="7">
    <w:name w:val="heading 3"/>
    <w:basedOn w:val="1"/>
    <w:next w:val="1"/>
    <w:link w:val="154"/>
    <w:autoRedefine/>
    <w:qFormat/>
    <w:uiPriority w:val="0"/>
    <w:pPr>
      <w:keepNext/>
      <w:keepLines/>
      <w:spacing w:line="540" w:lineRule="atLeast"/>
      <w:outlineLvl w:val="2"/>
    </w:pPr>
    <w:rPr>
      <w:rFonts w:eastAsia="黑体"/>
      <w:b/>
      <w:sz w:val="28"/>
      <w:szCs w:val="20"/>
    </w:rPr>
  </w:style>
  <w:style w:type="paragraph" w:styleId="8">
    <w:name w:val="heading 4"/>
    <w:basedOn w:val="1"/>
    <w:next w:val="1"/>
    <w:link w:val="151"/>
    <w:autoRedefine/>
    <w:qFormat/>
    <w:uiPriority w:val="0"/>
    <w:pPr>
      <w:keepNext/>
      <w:keepLines/>
      <w:spacing w:line="540" w:lineRule="atLeast"/>
      <w:outlineLvl w:val="3"/>
    </w:pPr>
    <w:rPr>
      <w:sz w:val="28"/>
      <w:szCs w:val="28"/>
    </w:rPr>
  </w:style>
  <w:style w:type="paragraph" w:styleId="9">
    <w:name w:val="heading 5"/>
    <w:basedOn w:val="1"/>
    <w:next w:val="1"/>
    <w:link w:val="134"/>
    <w:autoRedefine/>
    <w:qFormat/>
    <w:uiPriority w:val="0"/>
    <w:pPr>
      <w:keepNext/>
      <w:keepLines/>
      <w:spacing w:before="280" w:after="290" w:line="372" w:lineRule="auto"/>
      <w:outlineLvl w:val="4"/>
    </w:pPr>
    <w:rPr>
      <w:b/>
      <w:bCs/>
      <w:kern w:val="0"/>
      <w:sz w:val="28"/>
      <w:szCs w:val="28"/>
    </w:rPr>
  </w:style>
  <w:style w:type="paragraph" w:styleId="10">
    <w:name w:val="heading 6"/>
    <w:basedOn w:val="1"/>
    <w:next w:val="1"/>
    <w:link w:val="175"/>
    <w:autoRedefine/>
    <w:qFormat/>
    <w:uiPriority w:val="0"/>
    <w:pPr>
      <w:keepNext/>
      <w:keepLines/>
      <w:spacing w:before="240" w:after="64" w:line="317" w:lineRule="auto"/>
      <w:outlineLvl w:val="5"/>
    </w:pPr>
    <w:rPr>
      <w:rFonts w:ascii="Arial" w:hAnsi="Arial" w:eastAsia="黑体"/>
      <w:b/>
      <w:sz w:val="24"/>
      <w:szCs w:val="20"/>
    </w:rPr>
  </w:style>
  <w:style w:type="paragraph" w:styleId="11">
    <w:name w:val="heading 7"/>
    <w:basedOn w:val="1"/>
    <w:next w:val="12"/>
    <w:link w:val="72"/>
    <w:autoRedefine/>
    <w:qFormat/>
    <w:uiPriority w:val="0"/>
    <w:pPr>
      <w:keepNext/>
      <w:keepLines/>
      <w:spacing w:before="240" w:after="64" w:line="317" w:lineRule="auto"/>
      <w:outlineLvl w:val="6"/>
    </w:pPr>
    <w:rPr>
      <w:b/>
      <w:sz w:val="24"/>
      <w:szCs w:val="20"/>
    </w:rPr>
  </w:style>
  <w:style w:type="paragraph" w:styleId="13">
    <w:name w:val="heading 8"/>
    <w:basedOn w:val="1"/>
    <w:next w:val="12"/>
    <w:link w:val="178"/>
    <w:autoRedefine/>
    <w:qFormat/>
    <w:uiPriority w:val="0"/>
    <w:pPr>
      <w:keepNext/>
      <w:keepLines/>
      <w:spacing w:before="240" w:after="64" w:line="317" w:lineRule="auto"/>
      <w:outlineLvl w:val="7"/>
    </w:pPr>
    <w:rPr>
      <w:rFonts w:ascii="Arial" w:hAnsi="Arial" w:eastAsia="黑体"/>
      <w:sz w:val="24"/>
      <w:szCs w:val="20"/>
    </w:rPr>
  </w:style>
  <w:style w:type="paragraph" w:styleId="14">
    <w:name w:val="heading 9"/>
    <w:basedOn w:val="1"/>
    <w:next w:val="12"/>
    <w:link w:val="165"/>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ind w:firstLine="420"/>
    </w:pPr>
    <w:rPr>
      <w:sz w:val="21"/>
    </w:rPr>
  </w:style>
  <w:style w:type="paragraph" w:customStyle="1" w:styleId="3">
    <w:name w:val="BodyTextIndent"/>
    <w:basedOn w:val="1"/>
    <w:next w:val="2"/>
    <w:autoRedefine/>
    <w:qFormat/>
    <w:uiPriority w:val="0"/>
    <w:pPr>
      <w:spacing w:line="360" w:lineRule="auto"/>
      <w:ind w:firstLine="490"/>
      <w:jc w:val="left"/>
    </w:pPr>
    <w:rPr>
      <w:rFonts w:ascii="宋体" w:hAnsi="宋体"/>
      <w:sz w:val="24"/>
    </w:rPr>
  </w:style>
  <w:style w:type="paragraph" w:styleId="4">
    <w:name w:val="macro"/>
    <w:link w:val="120"/>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12">
    <w:name w:val="Normal Indent"/>
    <w:basedOn w:val="1"/>
    <w:next w:val="1"/>
    <w:link w:val="107"/>
    <w:autoRedefine/>
    <w:qFormat/>
    <w:uiPriority w:val="0"/>
    <w:pPr>
      <w:adjustRightInd w:val="0"/>
      <w:spacing w:line="312" w:lineRule="atLeast"/>
      <w:ind w:firstLine="420"/>
      <w:textAlignment w:val="baseline"/>
    </w:pPr>
    <w:rPr>
      <w:rFonts w:ascii="仿宋_GB2312"/>
      <w:b/>
      <w:kern w:val="0"/>
      <w:szCs w:val="32"/>
    </w:rPr>
  </w:style>
  <w:style w:type="paragraph" w:styleId="15">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6">
    <w:name w:val="List Number"/>
    <w:basedOn w:val="1"/>
    <w:autoRedefine/>
    <w:qFormat/>
    <w:uiPriority w:val="0"/>
    <w:pPr>
      <w:tabs>
        <w:tab w:val="left" w:pos="360"/>
      </w:tabs>
      <w:ind w:left="360" w:hanging="360" w:hangingChars="200"/>
    </w:pPr>
  </w:style>
  <w:style w:type="paragraph" w:styleId="17">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8">
    <w:name w:val="List Bullet"/>
    <w:basedOn w:val="1"/>
    <w:autoRedefine/>
    <w:qFormat/>
    <w:uiPriority w:val="0"/>
    <w:pPr>
      <w:tabs>
        <w:tab w:val="left" w:pos="360"/>
      </w:tabs>
    </w:pPr>
    <w:rPr>
      <w:rFonts w:ascii="Calibri" w:hAnsi="Calibri"/>
      <w:szCs w:val="22"/>
    </w:rPr>
  </w:style>
  <w:style w:type="paragraph" w:styleId="19">
    <w:name w:val="Document Map"/>
    <w:basedOn w:val="1"/>
    <w:link w:val="133"/>
    <w:autoRedefine/>
    <w:qFormat/>
    <w:uiPriority w:val="0"/>
    <w:pPr>
      <w:shd w:val="clear" w:color="auto" w:fill="000080"/>
    </w:pPr>
  </w:style>
  <w:style w:type="paragraph" w:styleId="20">
    <w:name w:val="annotation text"/>
    <w:basedOn w:val="1"/>
    <w:link w:val="93"/>
    <w:autoRedefine/>
    <w:qFormat/>
    <w:uiPriority w:val="0"/>
    <w:pPr>
      <w:jc w:val="left"/>
    </w:pPr>
  </w:style>
  <w:style w:type="paragraph" w:styleId="21">
    <w:name w:val="Salutation"/>
    <w:basedOn w:val="1"/>
    <w:next w:val="1"/>
    <w:link w:val="81"/>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2">
    <w:name w:val="Body Text 3"/>
    <w:basedOn w:val="1"/>
    <w:link w:val="97"/>
    <w:autoRedefine/>
    <w:qFormat/>
    <w:uiPriority w:val="0"/>
    <w:pPr>
      <w:autoSpaceDE w:val="0"/>
      <w:autoSpaceDN w:val="0"/>
      <w:adjustRightInd w:val="0"/>
      <w:jc w:val="center"/>
    </w:pPr>
  </w:style>
  <w:style w:type="paragraph" w:styleId="23">
    <w:name w:val="Body Text"/>
    <w:basedOn w:val="1"/>
    <w:link w:val="166"/>
    <w:autoRedefine/>
    <w:qFormat/>
    <w:uiPriority w:val="0"/>
    <w:pPr>
      <w:spacing w:after="120"/>
    </w:pPr>
    <w:rPr>
      <w:rFonts w:ascii="仿宋_GB2312"/>
      <w:b/>
    </w:rPr>
  </w:style>
  <w:style w:type="paragraph" w:styleId="24">
    <w:name w:val="Body Text Indent"/>
    <w:basedOn w:val="1"/>
    <w:next w:val="25"/>
    <w:link w:val="146"/>
    <w:autoRedefine/>
    <w:qFormat/>
    <w:uiPriority w:val="0"/>
    <w:pPr>
      <w:ind w:left="480" w:hanging="480" w:hangingChars="200"/>
    </w:pPr>
    <w:rPr>
      <w:sz w:val="24"/>
    </w:rPr>
  </w:style>
  <w:style w:type="paragraph" w:styleId="25">
    <w:name w:val="Body Text First Indent 2"/>
    <w:basedOn w:val="24"/>
    <w:autoRedefine/>
    <w:qFormat/>
    <w:uiPriority w:val="0"/>
    <w:pPr>
      <w:spacing w:after="120"/>
      <w:ind w:left="420" w:leftChars="200" w:firstLine="420"/>
    </w:pPr>
    <w:rPr>
      <w:rFonts w:cs="宋体"/>
      <w:sz w:val="21"/>
      <w:szCs w:val="21"/>
    </w:rPr>
  </w:style>
  <w:style w:type="paragraph" w:styleId="26">
    <w:name w:val="List Number 3"/>
    <w:basedOn w:val="1"/>
    <w:autoRedefine/>
    <w:qFormat/>
    <w:uiPriority w:val="0"/>
    <w:pPr>
      <w:tabs>
        <w:tab w:val="left" w:pos="1200"/>
      </w:tabs>
      <w:ind w:left="1200" w:leftChars="400" w:hanging="360" w:hangingChars="200"/>
    </w:pPr>
  </w:style>
  <w:style w:type="paragraph" w:styleId="27">
    <w:name w:val="Block Text"/>
    <w:basedOn w:val="1"/>
    <w:autoRedefine/>
    <w:qFormat/>
    <w:uiPriority w:val="0"/>
    <w:pPr>
      <w:spacing w:line="520" w:lineRule="exact"/>
      <w:ind w:left="540" w:leftChars="257" w:right="-514"/>
    </w:pPr>
    <w:rPr>
      <w:rFonts w:ascii="宋体" w:hAnsi="宋体"/>
      <w:sz w:val="24"/>
    </w:rPr>
  </w:style>
  <w:style w:type="paragraph" w:styleId="28">
    <w:name w:val="List Bullet 2"/>
    <w:basedOn w:val="1"/>
    <w:autoRedefine/>
    <w:qFormat/>
    <w:uiPriority w:val="0"/>
    <w:pPr>
      <w:tabs>
        <w:tab w:val="left" w:pos="780"/>
      </w:tabs>
      <w:spacing w:line="360" w:lineRule="auto"/>
      <w:ind w:left="780" w:leftChars="200" w:hanging="360" w:hangingChars="200"/>
    </w:pPr>
  </w:style>
  <w:style w:type="paragraph" w:styleId="29">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30">
    <w:name w:val="toc 3"/>
    <w:basedOn w:val="1"/>
    <w:next w:val="1"/>
    <w:autoRedefine/>
    <w:qFormat/>
    <w:uiPriority w:val="0"/>
    <w:pPr>
      <w:ind w:left="840" w:leftChars="400"/>
    </w:pPr>
  </w:style>
  <w:style w:type="paragraph" w:styleId="31">
    <w:name w:val="Plain Text"/>
    <w:basedOn w:val="1"/>
    <w:link w:val="194"/>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2">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3">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4">
    <w:name w:val="Date"/>
    <w:basedOn w:val="1"/>
    <w:next w:val="1"/>
    <w:link w:val="135"/>
    <w:autoRedefine/>
    <w:qFormat/>
    <w:uiPriority w:val="0"/>
    <w:pPr>
      <w:ind w:left="100" w:leftChars="2500"/>
    </w:pPr>
  </w:style>
  <w:style w:type="paragraph" w:styleId="35">
    <w:name w:val="Body Text Indent 2"/>
    <w:basedOn w:val="1"/>
    <w:link w:val="180"/>
    <w:autoRedefine/>
    <w:qFormat/>
    <w:uiPriority w:val="0"/>
    <w:pPr>
      <w:spacing w:line="500" w:lineRule="exact"/>
      <w:ind w:firstLine="511" w:firstLineChars="213"/>
    </w:pPr>
    <w:rPr>
      <w:sz w:val="24"/>
    </w:rPr>
  </w:style>
  <w:style w:type="paragraph" w:styleId="36">
    <w:name w:val="Balloon Text"/>
    <w:basedOn w:val="1"/>
    <w:link w:val="153"/>
    <w:autoRedefine/>
    <w:qFormat/>
    <w:uiPriority w:val="0"/>
    <w:rPr>
      <w:sz w:val="18"/>
      <w:szCs w:val="18"/>
    </w:rPr>
  </w:style>
  <w:style w:type="paragraph" w:styleId="37">
    <w:name w:val="footer"/>
    <w:basedOn w:val="1"/>
    <w:link w:val="122"/>
    <w:autoRedefine/>
    <w:qFormat/>
    <w:uiPriority w:val="0"/>
    <w:pPr>
      <w:tabs>
        <w:tab w:val="center" w:pos="4153"/>
        <w:tab w:val="right" w:pos="8306"/>
      </w:tabs>
      <w:snapToGrid w:val="0"/>
      <w:jc w:val="left"/>
    </w:pPr>
    <w:rPr>
      <w:sz w:val="18"/>
      <w:szCs w:val="18"/>
    </w:rPr>
  </w:style>
  <w:style w:type="paragraph" w:styleId="38">
    <w:name w:val="header"/>
    <w:basedOn w:val="1"/>
    <w:link w:val="137"/>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56"/>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40">
    <w:name w:val="toc 1"/>
    <w:basedOn w:val="1"/>
    <w:next w:val="1"/>
    <w:autoRedefine/>
    <w:qFormat/>
    <w:uiPriority w:val="0"/>
  </w:style>
  <w:style w:type="paragraph" w:styleId="41">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2">
    <w:name w:val="Subtitle"/>
    <w:basedOn w:val="1"/>
    <w:next w:val="1"/>
    <w:link w:val="136"/>
    <w:autoRedefine/>
    <w:qFormat/>
    <w:uiPriority w:val="0"/>
    <w:pPr>
      <w:spacing w:before="240" w:after="60" w:line="312" w:lineRule="auto"/>
      <w:jc w:val="center"/>
      <w:outlineLvl w:val="1"/>
    </w:pPr>
    <w:rPr>
      <w:rFonts w:ascii="Cambria" w:hAnsi="Cambria"/>
      <w:b/>
      <w:bCs/>
      <w:kern w:val="28"/>
      <w:sz w:val="32"/>
      <w:szCs w:val="32"/>
    </w:rPr>
  </w:style>
  <w:style w:type="paragraph" w:styleId="43">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autoRedefine/>
    <w:qFormat/>
    <w:uiPriority w:val="0"/>
    <w:pPr>
      <w:ind w:left="200" w:hanging="200" w:hangingChars="200"/>
    </w:pPr>
  </w:style>
  <w:style w:type="paragraph" w:styleId="4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148"/>
    <w:autoRedefine/>
    <w:qFormat/>
    <w:uiPriority w:val="0"/>
    <w:pPr>
      <w:spacing w:line="500" w:lineRule="exact"/>
      <w:ind w:left="511" w:hanging="511" w:hangingChars="213"/>
    </w:pPr>
    <w:rPr>
      <w:sz w:val="24"/>
    </w:rPr>
  </w:style>
  <w:style w:type="paragraph" w:styleId="47">
    <w:name w:val="toc 2"/>
    <w:basedOn w:val="1"/>
    <w:next w:val="1"/>
    <w:autoRedefine/>
    <w:qFormat/>
    <w:uiPriority w:val="0"/>
    <w:pPr>
      <w:ind w:left="420" w:leftChars="200"/>
    </w:pPr>
  </w:style>
  <w:style w:type="paragraph" w:styleId="48">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9">
    <w:name w:val="Body Text 2"/>
    <w:basedOn w:val="1"/>
    <w:link w:val="200"/>
    <w:autoRedefine/>
    <w:qFormat/>
    <w:uiPriority w:val="0"/>
    <w:pPr>
      <w:autoSpaceDE w:val="0"/>
      <w:autoSpaceDN w:val="0"/>
      <w:adjustRightInd w:val="0"/>
      <w:spacing w:after="120" w:line="480" w:lineRule="auto"/>
      <w:jc w:val="left"/>
    </w:p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Title"/>
    <w:basedOn w:val="1"/>
    <w:next w:val="1"/>
    <w:link w:val="113"/>
    <w:autoRedefine/>
    <w:qFormat/>
    <w:uiPriority w:val="0"/>
    <w:pPr>
      <w:spacing w:before="240" w:after="60"/>
      <w:jc w:val="center"/>
      <w:outlineLvl w:val="0"/>
    </w:pPr>
    <w:rPr>
      <w:rFonts w:ascii="Cambria" w:hAnsi="Cambria"/>
      <w:b/>
      <w:bCs/>
      <w:sz w:val="32"/>
      <w:szCs w:val="32"/>
    </w:rPr>
  </w:style>
  <w:style w:type="paragraph" w:styleId="52">
    <w:name w:val="annotation subject"/>
    <w:basedOn w:val="20"/>
    <w:next w:val="20"/>
    <w:link w:val="98"/>
    <w:autoRedefine/>
    <w:qFormat/>
    <w:uiPriority w:val="0"/>
    <w:rPr>
      <w:b/>
      <w:bCs/>
    </w:rPr>
  </w:style>
  <w:style w:type="paragraph" w:styleId="53">
    <w:name w:val="Body Text First Indent"/>
    <w:basedOn w:val="23"/>
    <w:next w:val="1"/>
    <w:link w:val="198"/>
    <w:autoRedefine/>
    <w:qFormat/>
    <w:uiPriority w:val="0"/>
    <w:pPr>
      <w:autoSpaceDE w:val="0"/>
      <w:autoSpaceDN w:val="0"/>
      <w:adjustRightInd w:val="0"/>
      <w:ind w:firstLine="420" w:firstLineChars="100"/>
      <w:jc w:val="left"/>
    </w:pPr>
    <w:rPr>
      <w:rFonts w:ascii="Times New Roman"/>
      <w:kern w:val="0"/>
      <w:sz w:val="20"/>
      <w:szCs w:val="20"/>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basedOn w:val="56"/>
    <w:autoRedefine/>
    <w:qFormat/>
    <w:uiPriority w:val="0"/>
    <w:rPr>
      <w:rFonts w:ascii="仿宋_GB2312" w:eastAsia="仿宋_GB2312"/>
      <w:bCs/>
      <w:sz w:val="32"/>
      <w:szCs w:val="32"/>
    </w:rPr>
  </w:style>
  <w:style w:type="character" w:styleId="58">
    <w:name w:val="page number"/>
    <w:basedOn w:val="56"/>
    <w:autoRedefine/>
    <w:qFormat/>
    <w:uiPriority w:val="0"/>
  </w:style>
  <w:style w:type="character" w:styleId="59">
    <w:name w:val="FollowedHyperlink"/>
    <w:autoRedefine/>
    <w:qFormat/>
    <w:uiPriority w:val="0"/>
    <w:rPr>
      <w:rFonts w:ascii="仿宋_GB2312" w:eastAsia="仿宋_GB2312"/>
      <w:b/>
      <w:color w:val="800080"/>
      <w:sz w:val="32"/>
      <w:szCs w:val="32"/>
      <w:u w:val="none"/>
    </w:rPr>
  </w:style>
  <w:style w:type="character" w:styleId="60">
    <w:name w:val="Emphasis"/>
    <w:autoRedefine/>
    <w:qFormat/>
    <w:uiPriority w:val="0"/>
    <w:rPr>
      <w:i/>
      <w:iCs/>
    </w:rPr>
  </w:style>
  <w:style w:type="character" w:styleId="61">
    <w:name w:val="line number"/>
    <w:basedOn w:val="56"/>
    <w:autoRedefine/>
    <w:qFormat/>
    <w:uiPriority w:val="0"/>
  </w:style>
  <w:style w:type="character" w:styleId="62">
    <w:name w:val="Hyperlink"/>
    <w:basedOn w:val="56"/>
    <w:autoRedefine/>
    <w:qFormat/>
    <w:uiPriority w:val="0"/>
    <w:rPr>
      <w:rFonts w:ascii="仿宋_GB2312" w:eastAsia="仿宋_GB2312"/>
      <w:b/>
      <w:color w:val="0000FF"/>
      <w:sz w:val="32"/>
      <w:szCs w:val="32"/>
      <w:u w:val="none"/>
    </w:rPr>
  </w:style>
  <w:style w:type="character" w:styleId="63">
    <w:name w:val="annotation reference"/>
    <w:autoRedefine/>
    <w:qFormat/>
    <w:uiPriority w:val="0"/>
    <w:rPr>
      <w:sz w:val="21"/>
      <w:szCs w:val="21"/>
    </w:rPr>
  </w:style>
  <w:style w:type="character" w:styleId="64">
    <w:name w:val="HTML Cite"/>
    <w:autoRedefine/>
    <w:qFormat/>
    <w:uiPriority w:val="0"/>
    <w:rPr>
      <w:color w:val="008000"/>
    </w:rPr>
  </w:style>
  <w:style w:type="paragraph" w:customStyle="1" w:styleId="65">
    <w:name w:val="表格文字"/>
    <w:basedOn w:val="1"/>
    <w:next w:val="23"/>
    <w:autoRedefine/>
    <w:qFormat/>
    <w:uiPriority w:val="0"/>
    <w:pPr>
      <w:adjustRightInd w:val="0"/>
      <w:spacing w:line="420" w:lineRule="atLeast"/>
      <w:jc w:val="left"/>
      <w:textAlignment w:val="baseline"/>
    </w:pPr>
    <w:rPr>
      <w:kern w:val="0"/>
    </w:rPr>
  </w:style>
  <w:style w:type="paragraph" w:customStyle="1" w:styleId="66">
    <w:name w:val="Char3 Char Char Char"/>
    <w:basedOn w:val="1"/>
    <w:autoRedefine/>
    <w:qFormat/>
    <w:uiPriority w:val="0"/>
  </w:style>
  <w:style w:type="character" w:customStyle="1" w:styleId="67">
    <w:name w:val="不明显参考1"/>
    <w:autoRedefine/>
    <w:qFormat/>
    <w:uiPriority w:val="0"/>
    <w:rPr>
      <w:smallCaps/>
      <w:color w:val="C0504D"/>
      <w:u w:val="single"/>
    </w:rPr>
  </w:style>
  <w:style w:type="character" w:customStyle="1" w:styleId="68">
    <w:name w:val="PI Char1"/>
    <w:autoRedefine/>
    <w:qFormat/>
    <w:uiPriority w:val="0"/>
    <w:rPr>
      <w:rFonts w:eastAsia="宋体"/>
      <w:kern w:val="2"/>
      <w:sz w:val="24"/>
      <w:szCs w:val="24"/>
      <w:lang w:val="en-US" w:eastAsia="zh-CN" w:bidi="ar-SA"/>
    </w:rPr>
  </w:style>
  <w:style w:type="character" w:customStyle="1" w:styleId="69">
    <w:name w:val="标题 2 字符"/>
    <w:link w:val="6"/>
    <w:autoRedefine/>
    <w:qFormat/>
    <w:uiPriority w:val="0"/>
    <w:rPr>
      <w:rFonts w:ascii="仿宋_GB2312" w:eastAsia="宋体"/>
      <w:b/>
      <w:kern w:val="2"/>
      <w:sz w:val="28"/>
      <w:szCs w:val="32"/>
      <w:lang w:val="en-US" w:eastAsia="zh-CN" w:bidi="ar-SA"/>
    </w:rPr>
  </w:style>
  <w:style w:type="character" w:customStyle="1" w:styleId="70">
    <w:name w:val="pt141"/>
    <w:autoRedefine/>
    <w:qFormat/>
    <w:uiPriority w:val="0"/>
    <w:rPr>
      <w:color w:val="330066"/>
      <w:spacing w:val="450"/>
      <w:sz w:val="22"/>
      <w:szCs w:val="22"/>
    </w:rPr>
  </w:style>
  <w:style w:type="character" w:customStyle="1" w:styleId="71">
    <w:name w:val="Char Char27"/>
    <w:autoRedefine/>
    <w:qFormat/>
    <w:uiPriority w:val="0"/>
    <w:rPr>
      <w:rFonts w:eastAsia="宋体"/>
      <w:kern w:val="2"/>
      <w:sz w:val="28"/>
      <w:lang w:val="en-US" w:eastAsia="zh-CN" w:bidi="ar-SA"/>
    </w:rPr>
  </w:style>
  <w:style w:type="character" w:customStyle="1" w:styleId="72">
    <w:name w:val="标题 7 字符"/>
    <w:link w:val="11"/>
    <w:autoRedefine/>
    <w:qFormat/>
    <w:uiPriority w:val="0"/>
    <w:rPr>
      <w:rFonts w:eastAsia="宋体"/>
      <w:b/>
      <w:kern w:val="2"/>
      <w:sz w:val="24"/>
      <w:lang w:val="en-US" w:eastAsia="zh-CN" w:bidi="ar-SA"/>
    </w:rPr>
  </w:style>
  <w:style w:type="character" w:customStyle="1" w:styleId="73">
    <w:name w:val="明显参考1"/>
    <w:autoRedefine/>
    <w:qFormat/>
    <w:uiPriority w:val="0"/>
    <w:rPr>
      <w:b/>
      <w:bCs/>
      <w:smallCaps/>
      <w:color w:val="C0504D"/>
      <w:spacing w:val="5"/>
      <w:u w:val="single"/>
    </w:rPr>
  </w:style>
  <w:style w:type="character" w:customStyle="1" w:styleId="74">
    <w:name w:val="书籍标题1"/>
    <w:autoRedefine/>
    <w:qFormat/>
    <w:uiPriority w:val="0"/>
    <w:rPr>
      <w:b/>
      <w:bCs/>
      <w:smallCaps/>
      <w:spacing w:val="5"/>
    </w:rPr>
  </w:style>
  <w:style w:type="character" w:customStyle="1" w:styleId="75">
    <w:name w:val="Char Char61"/>
    <w:autoRedefine/>
    <w:qFormat/>
    <w:uiPriority w:val="0"/>
    <w:rPr>
      <w:rFonts w:ascii="Times New Roman" w:hAnsi="Times New Roman" w:eastAsia="宋体" w:cs="Times New Roman"/>
      <w:szCs w:val="24"/>
    </w:rPr>
  </w:style>
  <w:style w:type="character" w:customStyle="1" w:styleId="76">
    <w:name w:val="Char Char24"/>
    <w:autoRedefine/>
    <w:qFormat/>
    <w:uiPriority w:val="0"/>
    <w:rPr>
      <w:rFonts w:eastAsia="宋体"/>
      <w:b/>
      <w:kern w:val="2"/>
      <w:sz w:val="28"/>
      <w:lang w:val="en-US" w:eastAsia="zh-CN" w:bidi="ar-SA"/>
    </w:rPr>
  </w:style>
  <w:style w:type="character" w:customStyle="1" w:styleId="77">
    <w:name w:val="Style4"/>
    <w:autoRedefine/>
    <w:qFormat/>
    <w:uiPriority w:val="0"/>
    <w:rPr>
      <w:rFonts w:ascii="Calibri" w:hAnsi="宋体" w:eastAsia="宋体" w:cs="Times New Roman"/>
      <w:szCs w:val="22"/>
      <w:lang w:eastAsia="zh-CN"/>
    </w:rPr>
  </w:style>
  <w:style w:type="character" w:customStyle="1" w:styleId="78">
    <w:name w:val="Style1"/>
    <w:autoRedefine/>
    <w:qFormat/>
    <w:uiPriority w:val="0"/>
    <w:rPr>
      <w:rFonts w:ascii="Calibri" w:hAnsi="宋体" w:eastAsia="宋体" w:cs="Times New Roman"/>
      <w:sz w:val="22"/>
      <w:szCs w:val="22"/>
      <w:lang w:eastAsia="zh-CN"/>
    </w:rPr>
  </w:style>
  <w:style w:type="character" w:customStyle="1" w:styleId="79">
    <w:name w:val="heading 1 Char1"/>
    <w:autoRedefine/>
    <w:qFormat/>
    <w:uiPriority w:val="0"/>
    <w:rPr>
      <w:rFonts w:eastAsia="宋体"/>
      <w:b/>
      <w:bCs/>
      <w:kern w:val="44"/>
      <w:sz w:val="44"/>
      <w:szCs w:val="44"/>
      <w:lang w:val="en-US" w:eastAsia="zh-CN" w:bidi="ar-SA"/>
    </w:rPr>
  </w:style>
  <w:style w:type="character" w:customStyle="1" w:styleId="80">
    <w:name w:val="Style5"/>
    <w:autoRedefine/>
    <w:qFormat/>
    <w:uiPriority w:val="0"/>
    <w:rPr>
      <w:rFonts w:ascii="Calibri" w:hAnsi="宋体" w:eastAsia="宋体" w:cs="Times New Roman"/>
      <w:sz w:val="22"/>
      <w:szCs w:val="22"/>
      <w:lang w:eastAsia="zh-CN"/>
    </w:rPr>
  </w:style>
  <w:style w:type="character" w:customStyle="1" w:styleId="81">
    <w:name w:val="称呼 字符"/>
    <w:link w:val="21"/>
    <w:autoRedefine/>
    <w:qFormat/>
    <w:uiPriority w:val="0"/>
    <w:rPr>
      <w:rFonts w:ascii="仿宋_GB2312" w:eastAsia="仿宋_GB2312"/>
      <w:b/>
      <w:sz w:val="24"/>
      <w:szCs w:val="32"/>
    </w:rPr>
  </w:style>
  <w:style w:type="character" w:customStyle="1" w:styleId="82">
    <w:name w:val="Ò³Ã¼ Char Char2"/>
    <w:autoRedefine/>
    <w:qFormat/>
    <w:uiPriority w:val="0"/>
    <w:rPr>
      <w:kern w:val="2"/>
      <w:sz w:val="18"/>
      <w:szCs w:val="18"/>
    </w:rPr>
  </w:style>
  <w:style w:type="character" w:customStyle="1" w:styleId="83">
    <w:name w:val="明显强调1"/>
    <w:autoRedefine/>
    <w:qFormat/>
    <w:uiPriority w:val="0"/>
    <w:rPr>
      <w:b/>
      <w:bCs/>
      <w:i/>
      <w:iCs/>
      <w:color w:val="4F81BD"/>
    </w:rPr>
  </w:style>
  <w:style w:type="character" w:customStyle="1" w:styleId="84">
    <w:name w:val="样式 标题 3 + 黑体 小四 Char Char"/>
    <w:link w:val="85"/>
    <w:autoRedefine/>
    <w:qFormat/>
    <w:uiPriority w:val="0"/>
    <w:rPr>
      <w:rFonts w:ascii="黑体" w:hAnsi="Arial" w:eastAsia="黑体"/>
      <w:bCs/>
      <w:sz w:val="24"/>
      <w:szCs w:val="24"/>
      <w:lang w:bidi="ar-SA"/>
    </w:rPr>
  </w:style>
  <w:style w:type="paragraph" w:customStyle="1" w:styleId="85">
    <w:name w:val="样式 标题 3 + 黑体 小四"/>
    <w:basedOn w:val="7"/>
    <w:link w:val="84"/>
    <w:autoRedefine/>
    <w:qFormat/>
    <w:uiPriority w:val="0"/>
    <w:pPr>
      <w:spacing w:before="260" w:after="260" w:line="413" w:lineRule="auto"/>
    </w:pPr>
    <w:rPr>
      <w:rFonts w:ascii="黑体" w:hAnsi="Arial"/>
      <w:b w:val="0"/>
      <w:bCs/>
      <w:kern w:val="0"/>
      <w:sz w:val="24"/>
      <w:szCs w:val="24"/>
    </w:rPr>
  </w:style>
  <w:style w:type="character" w:customStyle="1" w:styleId="86">
    <w:name w:val="heading 7 Char1"/>
    <w:autoRedefine/>
    <w:qFormat/>
    <w:uiPriority w:val="0"/>
    <w:rPr>
      <w:rFonts w:ascii="Arial" w:hAnsi="Arial" w:eastAsia="黑体"/>
      <w:sz w:val="21"/>
      <w:szCs w:val="21"/>
      <w:lang w:val="en-US" w:eastAsia="zh-CN" w:bidi="ar-SA"/>
    </w:rPr>
  </w:style>
  <w:style w:type="character" w:customStyle="1" w:styleId="87">
    <w:name w:val="Char Char1"/>
    <w:autoRedefine/>
    <w:qFormat/>
    <w:uiPriority w:val="0"/>
    <w:rPr>
      <w:rFonts w:eastAsia="宋体"/>
      <w:sz w:val="21"/>
      <w:lang w:val="en-US" w:eastAsia="zh-CN" w:bidi="ar-SA"/>
    </w:rPr>
  </w:style>
  <w:style w:type="character" w:customStyle="1" w:styleId="88">
    <w:name w:val="Char Char12"/>
    <w:autoRedefine/>
    <w:qFormat/>
    <w:uiPriority w:val="0"/>
    <w:rPr>
      <w:rFonts w:eastAsia="宋体"/>
      <w:kern w:val="2"/>
      <w:sz w:val="21"/>
      <w:szCs w:val="24"/>
      <w:lang w:val="en-US" w:eastAsia="zh-CN" w:bidi="ar-SA"/>
    </w:rPr>
  </w:style>
  <w:style w:type="character" w:customStyle="1" w:styleId="89">
    <w:name w:val="Char Char18"/>
    <w:autoRedefine/>
    <w:qFormat/>
    <w:uiPriority w:val="0"/>
    <w:rPr>
      <w:b/>
      <w:bCs/>
      <w:kern w:val="2"/>
      <w:sz w:val="32"/>
      <w:szCs w:val="32"/>
    </w:rPr>
  </w:style>
  <w:style w:type="character" w:customStyle="1" w:styleId="90">
    <w:name w:val="Char Char4"/>
    <w:autoRedefine/>
    <w:qFormat/>
    <w:uiPriority w:val="0"/>
    <w:rPr>
      <w:rFonts w:ascii="Cambria" w:hAnsi="Cambria" w:eastAsia="宋体"/>
      <w:b/>
      <w:bCs/>
      <w:sz w:val="32"/>
      <w:szCs w:val="32"/>
      <w:lang w:bidi="ar-SA"/>
    </w:rPr>
  </w:style>
  <w:style w:type="character" w:customStyle="1" w:styleId="91">
    <w:name w:val="PI Char"/>
    <w:autoRedefine/>
    <w:qFormat/>
    <w:uiPriority w:val="0"/>
    <w:rPr>
      <w:rFonts w:ascii="宋体" w:hAnsi="宋体"/>
      <w:sz w:val="24"/>
    </w:rPr>
  </w:style>
  <w:style w:type="character" w:customStyle="1" w:styleId="92">
    <w:name w:val="明显参考2"/>
    <w:autoRedefine/>
    <w:qFormat/>
    <w:uiPriority w:val="0"/>
    <w:rPr>
      <w:b/>
      <w:bCs/>
      <w:smallCaps/>
      <w:color w:val="C0504D"/>
      <w:spacing w:val="5"/>
      <w:u w:val="single"/>
    </w:rPr>
  </w:style>
  <w:style w:type="character" w:customStyle="1" w:styleId="93">
    <w:name w:val="批注文字 字符"/>
    <w:link w:val="20"/>
    <w:autoRedefine/>
    <w:qFormat/>
    <w:uiPriority w:val="0"/>
    <w:rPr>
      <w:rFonts w:eastAsia="宋体"/>
      <w:kern w:val="2"/>
      <w:sz w:val="21"/>
      <w:szCs w:val="24"/>
      <w:lang w:val="en-US" w:eastAsia="zh-CN" w:bidi="ar-SA"/>
    </w:rPr>
  </w:style>
  <w:style w:type="character" w:customStyle="1" w:styleId="94">
    <w:name w:val="Style2"/>
    <w:autoRedefine/>
    <w:qFormat/>
    <w:uiPriority w:val="0"/>
    <w:rPr>
      <w:rFonts w:ascii="Calibri" w:hAnsi="宋体" w:eastAsia="宋体" w:cs="Times New Roman"/>
      <w:sz w:val="22"/>
      <w:szCs w:val="22"/>
      <w:lang w:eastAsia="zh-CN"/>
    </w:rPr>
  </w:style>
  <w:style w:type="character" w:customStyle="1" w:styleId="95">
    <w:name w:val="Footer-Even Char1"/>
    <w:autoRedefine/>
    <w:qFormat/>
    <w:uiPriority w:val="0"/>
    <w:rPr>
      <w:rFonts w:eastAsia="宋体"/>
      <w:kern w:val="2"/>
      <w:sz w:val="18"/>
      <w:szCs w:val="18"/>
      <w:lang w:val="en-US" w:eastAsia="zh-CN" w:bidi="ar-SA"/>
    </w:rPr>
  </w:style>
  <w:style w:type="character" w:customStyle="1" w:styleId="96">
    <w:name w:val="heading 4 Char1"/>
    <w:autoRedefine/>
    <w:qFormat/>
    <w:uiPriority w:val="0"/>
    <w:rPr>
      <w:rFonts w:ascii="Cambria" w:hAnsi="Cambria" w:eastAsia="宋体"/>
      <w:b/>
      <w:bCs/>
      <w:kern w:val="2"/>
      <w:sz w:val="28"/>
      <w:szCs w:val="28"/>
      <w:lang w:val="en-US" w:eastAsia="zh-CN" w:bidi="ar-SA"/>
    </w:rPr>
  </w:style>
  <w:style w:type="character" w:customStyle="1" w:styleId="97">
    <w:name w:val="正文文本 3 字符"/>
    <w:basedOn w:val="56"/>
    <w:link w:val="22"/>
    <w:autoRedefine/>
    <w:qFormat/>
    <w:uiPriority w:val="0"/>
  </w:style>
  <w:style w:type="character" w:customStyle="1" w:styleId="98">
    <w:name w:val="批注主题 字符"/>
    <w:link w:val="52"/>
    <w:autoRedefine/>
    <w:qFormat/>
    <w:uiPriority w:val="0"/>
    <w:rPr>
      <w:rFonts w:eastAsia="宋体"/>
      <w:b/>
      <w:bCs/>
      <w:kern w:val="2"/>
      <w:sz w:val="21"/>
      <w:szCs w:val="24"/>
      <w:lang w:val="en-US" w:eastAsia="zh-CN" w:bidi="ar-SA"/>
    </w:rPr>
  </w:style>
  <w:style w:type="character" w:customStyle="1" w:styleId="99">
    <w:name w:val="不明显参考11"/>
    <w:autoRedefine/>
    <w:qFormat/>
    <w:uiPriority w:val="0"/>
    <w:rPr>
      <w:smallCaps/>
      <w:color w:val="C0504D"/>
      <w:u w:val="single"/>
    </w:rPr>
  </w:style>
  <w:style w:type="character" w:customStyle="1" w:styleId="100">
    <w:name w:val="Plain Text Char"/>
    <w:autoRedefine/>
    <w:qFormat/>
    <w:uiPriority w:val="0"/>
    <w:rPr>
      <w:rFonts w:ascii="宋体" w:hAnsi="Courier New" w:eastAsia="宋体" w:cs="Times New Roman"/>
      <w:sz w:val="21"/>
      <w:szCs w:val="21"/>
    </w:rPr>
  </w:style>
  <w:style w:type="character" w:customStyle="1" w:styleId="101">
    <w:name w:val="Char Char111"/>
    <w:autoRedefine/>
    <w:qFormat/>
    <w:uiPriority w:val="0"/>
    <w:rPr>
      <w:rFonts w:ascii="Times New Roman" w:hAnsi="Times New Roman" w:eastAsia="宋体" w:cs="Times New Roman"/>
      <w:sz w:val="18"/>
      <w:szCs w:val="18"/>
    </w:rPr>
  </w:style>
  <w:style w:type="character" w:customStyle="1" w:styleId="102">
    <w:name w:val="无间距字符"/>
    <w:link w:val="103"/>
    <w:autoRedefine/>
    <w:qFormat/>
    <w:uiPriority w:val="0"/>
    <w:rPr>
      <w:rFonts w:eastAsia="Times New Roman"/>
      <w:sz w:val="22"/>
      <w:szCs w:val="22"/>
      <w:lang w:val="en-US" w:eastAsia="zh-CN" w:bidi="ar-SA"/>
    </w:rPr>
  </w:style>
  <w:style w:type="paragraph" w:customStyle="1" w:styleId="103">
    <w:name w:val="无间距"/>
    <w:link w:val="102"/>
    <w:autoRedefine/>
    <w:qFormat/>
    <w:uiPriority w:val="0"/>
    <w:rPr>
      <w:rFonts w:ascii="Times New Roman" w:hAnsi="Times New Roman" w:eastAsia="Times New Roman" w:cs="Times New Roman"/>
      <w:sz w:val="22"/>
      <w:szCs w:val="22"/>
      <w:lang w:val="en-US" w:eastAsia="zh-CN" w:bidi="ar-SA"/>
    </w:rPr>
  </w:style>
  <w:style w:type="character" w:customStyle="1" w:styleId="104">
    <w:name w:val="heading 5 Char2"/>
    <w:autoRedefine/>
    <w:qFormat/>
    <w:uiPriority w:val="0"/>
    <w:rPr>
      <w:b/>
      <w:bCs/>
      <w:kern w:val="2"/>
      <w:sz w:val="28"/>
      <w:szCs w:val="28"/>
    </w:rPr>
  </w:style>
  <w:style w:type="character" w:customStyle="1" w:styleId="105">
    <w:name w:val="样式2 Char Char"/>
    <w:link w:val="106"/>
    <w:autoRedefine/>
    <w:qFormat/>
    <w:uiPriority w:val="0"/>
    <w:rPr>
      <w:rFonts w:ascii="宋体" w:hAnsi="宋体" w:eastAsia="宋体"/>
      <w:bCs/>
      <w:kern w:val="2"/>
      <w:sz w:val="28"/>
      <w:szCs w:val="28"/>
      <w:lang w:val="en-US" w:eastAsia="zh-CN" w:bidi="ar-SA"/>
    </w:rPr>
  </w:style>
  <w:style w:type="paragraph" w:customStyle="1" w:styleId="106">
    <w:name w:val="样式2"/>
    <w:basedOn w:val="6"/>
    <w:link w:val="105"/>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7">
    <w:name w:val="正文缩进 字符"/>
    <w:link w:val="12"/>
    <w:autoRedefine/>
    <w:qFormat/>
    <w:uiPriority w:val="0"/>
    <w:rPr>
      <w:rFonts w:ascii="仿宋_GB2312" w:eastAsia="宋体"/>
      <w:b/>
      <w:sz w:val="21"/>
      <w:szCs w:val="32"/>
      <w:lang w:val="en-US" w:eastAsia="zh-CN" w:bidi="ar-SA"/>
    </w:rPr>
  </w:style>
  <w:style w:type="character" w:customStyle="1" w:styleId="108">
    <w:name w:val="heading 2 Char1"/>
    <w:autoRedefine/>
    <w:qFormat/>
    <w:uiPriority w:val="0"/>
    <w:rPr>
      <w:rFonts w:ascii="Cambria" w:hAnsi="Cambria" w:eastAsia="宋体"/>
      <w:b/>
      <w:bCs/>
      <w:kern w:val="2"/>
      <w:sz w:val="32"/>
      <w:szCs w:val="32"/>
      <w:lang w:val="en-US" w:eastAsia="zh-CN" w:bidi="ar-SA"/>
    </w:rPr>
  </w:style>
  <w:style w:type="character" w:customStyle="1" w:styleId="109">
    <w:name w:val="heading 3 Char1"/>
    <w:autoRedefine/>
    <w:qFormat/>
    <w:uiPriority w:val="0"/>
    <w:rPr>
      <w:rFonts w:eastAsia="宋体"/>
      <w:b/>
      <w:bCs/>
      <w:kern w:val="2"/>
      <w:sz w:val="32"/>
      <w:szCs w:val="32"/>
      <w:lang w:val="en-US" w:eastAsia="zh-CN" w:bidi="ar-SA"/>
    </w:rPr>
  </w:style>
  <w:style w:type="character" w:customStyle="1" w:styleId="110">
    <w:name w:val="Char Char15"/>
    <w:autoRedefine/>
    <w:qFormat/>
    <w:uiPriority w:val="0"/>
    <w:rPr>
      <w:rFonts w:ascii="Arial" w:hAnsi="Arial" w:eastAsia="黑体"/>
      <w:sz w:val="24"/>
      <w:szCs w:val="24"/>
    </w:rPr>
  </w:style>
  <w:style w:type="character" w:customStyle="1" w:styleId="111">
    <w:name w:val="heading 1 Char"/>
    <w:autoRedefine/>
    <w:qFormat/>
    <w:uiPriority w:val="0"/>
    <w:rPr>
      <w:rFonts w:ascii="Arial" w:hAnsi="Arial" w:eastAsia="黑体"/>
      <w:b/>
      <w:sz w:val="36"/>
      <w:szCs w:val="36"/>
    </w:rPr>
  </w:style>
  <w:style w:type="character" w:customStyle="1" w:styleId="112">
    <w:name w:val="ändrad Char"/>
    <w:autoRedefine/>
    <w:qFormat/>
    <w:uiPriority w:val="0"/>
    <w:rPr>
      <w:rFonts w:eastAsia="宋体"/>
      <w:kern w:val="2"/>
      <w:sz w:val="21"/>
      <w:szCs w:val="24"/>
      <w:lang w:val="en-US" w:eastAsia="zh-CN" w:bidi="ar-SA"/>
    </w:rPr>
  </w:style>
  <w:style w:type="character" w:customStyle="1" w:styleId="113">
    <w:name w:val="标题 字符"/>
    <w:link w:val="51"/>
    <w:autoRedefine/>
    <w:qFormat/>
    <w:uiPriority w:val="0"/>
    <w:rPr>
      <w:rFonts w:ascii="Cambria" w:hAnsi="Cambria" w:eastAsia="宋体"/>
      <w:b/>
      <w:bCs/>
      <w:kern w:val="2"/>
      <w:sz w:val="32"/>
      <w:szCs w:val="32"/>
      <w:lang w:val="en-US" w:eastAsia="zh-CN" w:bidi="ar-SA"/>
    </w:rPr>
  </w:style>
  <w:style w:type="character" w:customStyle="1" w:styleId="114">
    <w:name w:val="Char Char22"/>
    <w:autoRedefine/>
    <w:qFormat/>
    <w:uiPriority w:val="0"/>
    <w:rPr>
      <w:rFonts w:ascii="Arial" w:hAnsi="Arial" w:eastAsia="黑体"/>
      <w:b/>
      <w:bCs/>
      <w:kern w:val="44"/>
      <w:sz w:val="30"/>
      <w:szCs w:val="44"/>
      <w:lang w:val="en-US" w:eastAsia="zh-CN" w:bidi="ar-SA"/>
    </w:rPr>
  </w:style>
  <w:style w:type="character" w:customStyle="1" w:styleId="115">
    <w:name w:val="blue1"/>
    <w:basedOn w:val="56"/>
    <w:autoRedefine/>
    <w:qFormat/>
    <w:uiPriority w:val="0"/>
  </w:style>
  <w:style w:type="character" w:customStyle="1" w:styleId="116">
    <w:name w:val="样式 宋体"/>
    <w:autoRedefine/>
    <w:qFormat/>
    <w:uiPriority w:val="0"/>
    <w:rPr>
      <w:rFonts w:ascii="宋体" w:hAnsi="宋体" w:eastAsia="宋体"/>
      <w:sz w:val="24"/>
      <w:szCs w:val="24"/>
    </w:rPr>
  </w:style>
  <w:style w:type="character" w:customStyle="1" w:styleId="117">
    <w:name w:val="dandyren_title1"/>
    <w:autoRedefine/>
    <w:qFormat/>
    <w:uiPriority w:val="0"/>
    <w:rPr>
      <w:b/>
      <w:bCs/>
      <w:color w:val="FF6633"/>
      <w:sz w:val="18"/>
      <w:szCs w:val="18"/>
    </w:rPr>
  </w:style>
  <w:style w:type="character" w:customStyle="1" w:styleId="118">
    <w:name w:val="font21"/>
    <w:basedOn w:val="56"/>
    <w:autoRedefine/>
    <w:qFormat/>
    <w:uiPriority w:val="0"/>
    <w:rPr>
      <w:rFonts w:ascii="Wingdings 2" w:hAnsi="Wingdings 2" w:eastAsia="Wingdings 2" w:cs="Wingdings 2"/>
      <w:b/>
      <w:color w:val="000000"/>
      <w:sz w:val="20"/>
      <w:szCs w:val="20"/>
      <w:u w:val="none"/>
    </w:rPr>
  </w:style>
  <w:style w:type="character" w:customStyle="1" w:styleId="119">
    <w:name w:val="Ò³Ã¼ Char Char1"/>
    <w:autoRedefine/>
    <w:qFormat/>
    <w:uiPriority w:val="0"/>
    <w:rPr>
      <w:rFonts w:eastAsia="宋体"/>
      <w:kern w:val="2"/>
      <w:sz w:val="18"/>
      <w:szCs w:val="18"/>
      <w:lang w:val="en-US" w:eastAsia="zh-CN" w:bidi="ar-SA"/>
    </w:rPr>
  </w:style>
  <w:style w:type="character" w:customStyle="1" w:styleId="120">
    <w:name w:val="宏文本 字符"/>
    <w:link w:val="4"/>
    <w:autoRedefine/>
    <w:qFormat/>
    <w:uiPriority w:val="0"/>
    <w:rPr>
      <w:rFonts w:ascii="Courier New" w:hAnsi="Courier New" w:eastAsia="Times New Roman"/>
      <w:kern w:val="2"/>
      <w:sz w:val="24"/>
      <w:szCs w:val="24"/>
      <w:lang w:val="en-US" w:eastAsia="zh-CN" w:bidi="ar-SA"/>
    </w:rPr>
  </w:style>
  <w:style w:type="character" w:customStyle="1" w:styleId="121">
    <w:name w:val="Footer-Even Char"/>
    <w:autoRedefine/>
    <w:qFormat/>
    <w:uiPriority w:val="0"/>
    <w:rPr>
      <w:sz w:val="18"/>
      <w:szCs w:val="18"/>
    </w:rPr>
  </w:style>
  <w:style w:type="character" w:customStyle="1" w:styleId="122">
    <w:name w:val="页脚 字符"/>
    <w:link w:val="37"/>
    <w:autoRedefine/>
    <w:qFormat/>
    <w:uiPriority w:val="0"/>
    <w:rPr>
      <w:rFonts w:eastAsia="宋体"/>
      <w:kern w:val="2"/>
      <w:sz w:val="18"/>
      <w:szCs w:val="18"/>
      <w:lang w:val="en-US" w:eastAsia="zh-CN" w:bidi="ar-SA"/>
    </w:rPr>
  </w:style>
  <w:style w:type="character" w:customStyle="1" w:styleId="123">
    <w:name w:val="style111"/>
    <w:autoRedefine/>
    <w:qFormat/>
    <w:uiPriority w:val="0"/>
    <w:rPr>
      <w:sz w:val="27"/>
      <w:szCs w:val="27"/>
    </w:rPr>
  </w:style>
  <w:style w:type="character" w:customStyle="1" w:styleId="124">
    <w:name w:val="PI Char2"/>
    <w:autoRedefine/>
    <w:qFormat/>
    <w:uiPriority w:val="0"/>
    <w:rPr>
      <w:kern w:val="2"/>
      <w:sz w:val="24"/>
      <w:szCs w:val="24"/>
    </w:rPr>
  </w:style>
  <w:style w:type="character" w:customStyle="1" w:styleId="125">
    <w:name w:val="gray6"/>
    <w:basedOn w:val="56"/>
    <w:autoRedefine/>
    <w:qFormat/>
    <w:uiPriority w:val="0"/>
  </w:style>
  <w:style w:type="character" w:customStyle="1" w:styleId="126">
    <w:name w:val="Char Char Char1"/>
    <w:autoRedefine/>
    <w:qFormat/>
    <w:uiPriority w:val="0"/>
    <w:rPr>
      <w:rFonts w:ascii="宋体" w:hAnsi="Courier New"/>
      <w:sz w:val="21"/>
      <w:szCs w:val="21"/>
    </w:rPr>
  </w:style>
  <w:style w:type="character" w:customStyle="1" w:styleId="127">
    <w:name w:val="Char Char121"/>
    <w:autoRedefine/>
    <w:qFormat/>
    <w:uiPriority w:val="0"/>
    <w:rPr>
      <w:rFonts w:eastAsia="宋体"/>
      <w:kern w:val="2"/>
      <w:sz w:val="21"/>
      <w:szCs w:val="24"/>
      <w:lang w:val="en-US" w:eastAsia="zh-CN" w:bidi="ar-SA"/>
    </w:rPr>
  </w:style>
  <w:style w:type="character" w:customStyle="1" w:styleId="128">
    <w:name w:val="Char Char Char Char Char Char Char Char Char"/>
    <w:autoRedefine/>
    <w:qFormat/>
    <w:uiPriority w:val="0"/>
    <w:rPr>
      <w:rFonts w:ascii="宋体" w:hAnsi="Courier New" w:eastAsia="宋体"/>
      <w:sz w:val="21"/>
      <w:szCs w:val="21"/>
      <w:lang w:val="en-US" w:eastAsia="zh-CN" w:bidi="ar-SA"/>
    </w:rPr>
  </w:style>
  <w:style w:type="character" w:customStyle="1" w:styleId="129">
    <w:name w:val="heading 4 Char2"/>
    <w:autoRedefine/>
    <w:qFormat/>
    <w:uiPriority w:val="0"/>
    <w:rPr>
      <w:rFonts w:ascii="Cambria" w:hAnsi="Cambria"/>
      <w:b/>
      <w:bCs/>
      <w:kern w:val="2"/>
      <w:sz w:val="28"/>
      <w:szCs w:val="28"/>
    </w:rPr>
  </w:style>
  <w:style w:type="character" w:customStyle="1" w:styleId="130">
    <w:name w:val="heading 3 Char"/>
    <w:autoRedefine/>
    <w:qFormat/>
    <w:uiPriority w:val="0"/>
    <w:rPr>
      <w:rFonts w:ascii="Arial" w:hAnsi="Arial" w:eastAsia="黑体"/>
      <w:sz w:val="28"/>
      <w:szCs w:val="24"/>
    </w:rPr>
  </w:style>
  <w:style w:type="character" w:customStyle="1" w:styleId="131">
    <w:name w:val="标题 1 字符"/>
    <w:link w:val="5"/>
    <w:autoRedefine/>
    <w:qFormat/>
    <w:uiPriority w:val="0"/>
    <w:rPr>
      <w:rFonts w:eastAsia="黑体"/>
      <w:b/>
      <w:kern w:val="2"/>
      <w:sz w:val="32"/>
      <w:lang w:val="en-US" w:eastAsia="zh-CN" w:bidi="ar-SA"/>
    </w:rPr>
  </w:style>
  <w:style w:type="character" w:customStyle="1" w:styleId="132">
    <w:name w:val="Char Char16"/>
    <w:autoRedefine/>
    <w:qFormat/>
    <w:uiPriority w:val="0"/>
    <w:rPr>
      <w:b/>
      <w:bCs/>
      <w:kern w:val="2"/>
      <w:sz w:val="28"/>
      <w:szCs w:val="28"/>
    </w:rPr>
  </w:style>
  <w:style w:type="character" w:customStyle="1" w:styleId="133">
    <w:name w:val="文档结构图 字符"/>
    <w:link w:val="19"/>
    <w:autoRedefine/>
    <w:qFormat/>
    <w:uiPriority w:val="0"/>
    <w:rPr>
      <w:rFonts w:eastAsia="宋体"/>
      <w:kern w:val="2"/>
      <w:sz w:val="21"/>
      <w:szCs w:val="24"/>
      <w:lang w:val="en-US" w:eastAsia="zh-CN" w:bidi="ar-SA"/>
    </w:rPr>
  </w:style>
  <w:style w:type="character" w:customStyle="1" w:styleId="134">
    <w:name w:val="标题 5 字符"/>
    <w:link w:val="9"/>
    <w:autoRedefine/>
    <w:qFormat/>
    <w:uiPriority w:val="0"/>
    <w:rPr>
      <w:rFonts w:eastAsia="宋体"/>
      <w:b/>
      <w:bCs/>
      <w:sz w:val="28"/>
      <w:szCs w:val="28"/>
      <w:lang w:bidi="ar-SA"/>
    </w:rPr>
  </w:style>
  <w:style w:type="character" w:customStyle="1" w:styleId="135">
    <w:name w:val="日期 字符"/>
    <w:link w:val="34"/>
    <w:autoRedefine/>
    <w:qFormat/>
    <w:uiPriority w:val="0"/>
    <w:rPr>
      <w:rFonts w:eastAsia="宋体"/>
      <w:kern w:val="2"/>
      <w:sz w:val="21"/>
      <w:szCs w:val="24"/>
      <w:lang w:val="en-US" w:eastAsia="zh-CN" w:bidi="ar-SA"/>
    </w:rPr>
  </w:style>
  <w:style w:type="character" w:customStyle="1" w:styleId="136">
    <w:name w:val="副标题 字符"/>
    <w:link w:val="42"/>
    <w:autoRedefine/>
    <w:qFormat/>
    <w:uiPriority w:val="0"/>
    <w:rPr>
      <w:rFonts w:ascii="Cambria" w:hAnsi="Cambria" w:eastAsia="宋体"/>
      <w:b/>
      <w:bCs/>
      <w:kern w:val="28"/>
      <w:sz w:val="32"/>
      <w:szCs w:val="32"/>
      <w:lang w:val="en-US" w:eastAsia="zh-CN" w:bidi="ar-SA"/>
    </w:rPr>
  </w:style>
  <w:style w:type="character" w:customStyle="1" w:styleId="137">
    <w:name w:val="页眉 字符"/>
    <w:link w:val="38"/>
    <w:autoRedefine/>
    <w:qFormat/>
    <w:uiPriority w:val="0"/>
    <w:rPr>
      <w:rFonts w:eastAsia="宋体"/>
      <w:kern w:val="2"/>
      <w:sz w:val="18"/>
      <w:szCs w:val="18"/>
      <w:lang w:val="en-US" w:eastAsia="zh-CN" w:bidi="ar-SA"/>
    </w:rPr>
  </w:style>
  <w:style w:type="character" w:customStyle="1" w:styleId="138">
    <w:name w:val="style13"/>
    <w:basedOn w:val="56"/>
    <w:autoRedefine/>
    <w:qFormat/>
    <w:uiPriority w:val="0"/>
  </w:style>
  <w:style w:type="character" w:customStyle="1" w:styleId="139">
    <w:name w:val="textcolor1"/>
    <w:autoRedefine/>
    <w:qFormat/>
    <w:uiPriority w:val="0"/>
    <w:rPr>
      <w:rFonts w:ascii="仿宋_GB2312" w:eastAsia="仿宋_GB2312"/>
      <w:b/>
      <w:color w:val="FF6600"/>
      <w:sz w:val="32"/>
      <w:szCs w:val="32"/>
    </w:rPr>
  </w:style>
  <w:style w:type="character" w:customStyle="1" w:styleId="140">
    <w:name w:val="Table Text Char Char"/>
    <w:link w:val="141"/>
    <w:autoRedefine/>
    <w:qFormat/>
    <w:uiPriority w:val="0"/>
    <w:rPr>
      <w:sz w:val="21"/>
      <w:lang w:val="en-US" w:eastAsia="en-US" w:bidi="ar-SA"/>
    </w:rPr>
  </w:style>
  <w:style w:type="paragraph" w:customStyle="1" w:styleId="141">
    <w:name w:val="Table Text"/>
    <w:basedOn w:val="1"/>
    <w:link w:val="140"/>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2">
    <w:name w:val="Ò³Ã¼ Char Char"/>
    <w:autoRedefine/>
    <w:qFormat/>
    <w:uiPriority w:val="0"/>
    <w:rPr>
      <w:sz w:val="18"/>
      <w:szCs w:val="18"/>
    </w:rPr>
  </w:style>
  <w:style w:type="character" w:customStyle="1" w:styleId="143">
    <w:name w:val="heading 2 Char2"/>
    <w:autoRedefine/>
    <w:qFormat/>
    <w:uiPriority w:val="0"/>
    <w:rPr>
      <w:rFonts w:ascii="Cambria" w:hAnsi="Cambria"/>
      <w:b/>
      <w:bCs/>
      <w:kern w:val="2"/>
      <w:sz w:val="32"/>
      <w:szCs w:val="32"/>
    </w:rPr>
  </w:style>
  <w:style w:type="character" w:customStyle="1" w:styleId="144">
    <w:name w:val="书籍标题11"/>
    <w:autoRedefine/>
    <w:qFormat/>
    <w:uiPriority w:val="0"/>
    <w:rPr>
      <w:b/>
      <w:bCs/>
      <w:smallCaps/>
      <w:spacing w:val="5"/>
    </w:rPr>
  </w:style>
  <w:style w:type="character" w:customStyle="1" w:styleId="145">
    <w:name w:val="Char Char21"/>
    <w:autoRedefine/>
    <w:qFormat/>
    <w:uiPriority w:val="0"/>
    <w:rPr>
      <w:rFonts w:ascii="Times New Roman" w:hAnsi="Times New Roman" w:eastAsia="宋体" w:cs="Times New Roman"/>
      <w:b/>
      <w:bCs/>
      <w:kern w:val="44"/>
      <w:sz w:val="44"/>
      <w:szCs w:val="44"/>
    </w:rPr>
  </w:style>
  <w:style w:type="character" w:customStyle="1" w:styleId="146">
    <w:name w:val="正文文本缩进 字符"/>
    <w:link w:val="24"/>
    <w:autoRedefine/>
    <w:qFormat/>
    <w:uiPriority w:val="0"/>
    <w:rPr>
      <w:rFonts w:eastAsia="宋体"/>
      <w:kern w:val="2"/>
      <w:sz w:val="24"/>
      <w:szCs w:val="24"/>
      <w:lang w:val="en-US" w:eastAsia="zh-CN" w:bidi="ar-SA"/>
    </w:rPr>
  </w:style>
  <w:style w:type="character" w:customStyle="1" w:styleId="147">
    <w:name w:val="不明显强调1"/>
    <w:autoRedefine/>
    <w:qFormat/>
    <w:uiPriority w:val="0"/>
    <w:rPr>
      <w:i/>
      <w:iCs/>
      <w:color w:val="808080"/>
    </w:rPr>
  </w:style>
  <w:style w:type="character" w:customStyle="1" w:styleId="148">
    <w:name w:val="正文文本缩进 3 字符"/>
    <w:link w:val="46"/>
    <w:autoRedefine/>
    <w:qFormat/>
    <w:uiPriority w:val="0"/>
    <w:rPr>
      <w:rFonts w:eastAsia="宋体"/>
      <w:kern w:val="2"/>
      <w:sz w:val="24"/>
      <w:szCs w:val="24"/>
      <w:lang w:val="en-US" w:eastAsia="zh-CN" w:bidi="ar-SA"/>
    </w:rPr>
  </w:style>
  <w:style w:type="character" w:customStyle="1" w:styleId="149">
    <w:name w:val="heading 5 Char"/>
    <w:autoRedefine/>
    <w:qFormat/>
    <w:uiPriority w:val="0"/>
    <w:rPr>
      <w:rFonts w:ascii="Arial" w:hAnsi="Arial" w:eastAsia="黑体"/>
      <w:sz w:val="21"/>
      <w:szCs w:val="21"/>
    </w:rPr>
  </w:style>
  <w:style w:type="character" w:customStyle="1" w:styleId="150">
    <w:name w:val="Style3"/>
    <w:autoRedefine/>
    <w:qFormat/>
    <w:uiPriority w:val="0"/>
    <w:rPr>
      <w:rFonts w:ascii="Calibri" w:hAnsi="宋体" w:eastAsia="宋体" w:cs="Times New Roman"/>
      <w:szCs w:val="22"/>
      <w:lang w:eastAsia="zh-CN"/>
    </w:rPr>
  </w:style>
  <w:style w:type="character" w:customStyle="1" w:styleId="151">
    <w:name w:val="标题 4 字符"/>
    <w:link w:val="8"/>
    <w:autoRedefine/>
    <w:qFormat/>
    <w:uiPriority w:val="0"/>
    <w:rPr>
      <w:rFonts w:eastAsia="宋体"/>
      <w:kern w:val="2"/>
      <w:sz w:val="28"/>
      <w:szCs w:val="28"/>
      <w:lang w:val="en-US" w:eastAsia="zh-CN" w:bidi="ar-SA"/>
    </w:rPr>
  </w:style>
  <w:style w:type="character" w:customStyle="1" w:styleId="152">
    <w:name w:val="Char Char241"/>
    <w:autoRedefine/>
    <w:qFormat/>
    <w:uiPriority w:val="0"/>
    <w:rPr>
      <w:rFonts w:eastAsia="宋体"/>
      <w:b/>
      <w:kern w:val="2"/>
      <w:sz w:val="28"/>
      <w:lang w:val="en-US" w:eastAsia="zh-CN" w:bidi="ar-SA"/>
    </w:rPr>
  </w:style>
  <w:style w:type="character" w:customStyle="1" w:styleId="153">
    <w:name w:val="批注框文本 字符"/>
    <w:link w:val="36"/>
    <w:autoRedefine/>
    <w:qFormat/>
    <w:uiPriority w:val="0"/>
    <w:rPr>
      <w:rFonts w:eastAsia="宋体"/>
      <w:kern w:val="2"/>
      <w:sz w:val="18"/>
      <w:szCs w:val="18"/>
      <w:lang w:val="en-US" w:eastAsia="zh-CN" w:bidi="ar-SA"/>
    </w:rPr>
  </w:style>
  <w:style w:type="character" w:customStyle="1" w:styleId="154">
    <w:name w:val="标题 3 字符"/>
    <w:link w:val="7"/>
    <w:autoRedefine/>
    <w:qFormat/>
    <w:uiPriority w:val="0"/>
    <w:rPr>
      <w:rFonts w:eastAsia="黑体"/>
      <w:b/>
      <w:kern w:val="2"/>
      <w:sz w:val="28"/>
      <w:lang w:val="en-US" w:eastAsia="zh-CN" w:bidi="ar-SA"/>
    </w:rPr>
  </w:style>
  <w:style w:type="character" w:customStyle="1" w:styleId="155">
    <w:name w:val="明显强调11"/>
    <w:autoRedefine/>
    <w:qFormat/>
    <w:uiPriority w:val="0"/>
    <w:rPr>
      <w:b/>
      <w:bCs/>
      <w:i/>
      <w:iCs/>
      <w:color w:val="4F81BD"/>
    </w:rPr>
  </w:style>
  <w:style w:type="character" w:customStyle="1" w:styleId="156">
    <w:name w:val="签名 字符"/>
    <w:link w:val="39"/>
    <w:autoRedefine/>
    <w:qFormat/>
    <w:uiPriority w:val="0"/>
    <w:rPr>
      <w:rFonts w:ascii="仿宋_GB2312" w:eastAsia="仿宋_GB2312"/>
      <w:b/>
      <w:sz w:val="24"/>
      <w:szCs w:val="32"/>
    </w:rPr>
  </w:style>
  <w:style w:type="character" w:customStyle="1" w:styleId="157">
    <w:name w:val="heading 3 Char2"/>
    <w:autoRedefine/>
    <w:qFormat/>
    <w:uiPriority w:val="0"/>
    <w:rPr>
      <w:b/>
      <w:bCs/>
      <w:kern w:val="2"/>
      <w:sz w:val="32"/>
      <w:szCs w:val="32"/>
    </w:rPr>
  </w:style>
  <w:style w:type="character" w:customStyle="1" w:styleId="158">
    <w:name w:val="style21"/>
    <w:autoRedefine/>
    <w:qFormat/>
    <w:uiPriority w:val="0"/>
    <w:rPr>
      <w:sz w:val="15"/>
      <w:szCs w:val="15"/>
    </w:rPr>
  </w:style>
  <w:style w:type="character" w:customStyle="1" w:styleId="159">
    <w:name w:val="Char Char271"/>
    <w:autoRedefine/>
    <w:qFormat/>
    <w:uiPriority w:val="0"/>
    <w:rPr>
      <w:rFonts w:eastAsia="宋体"/>
      <w:kern w:val="2"/>
      <w:sz w:val="28"/>
      <w:lang w:val="en-US" w:eastAsia="zh-CN" w:bidi="ar-SA"/>
    </w:rPr>
  </w:style>
  <w:style w:type="character" w:customStyle="1" w:styleId="160">
    <w:name w:val="表格 Char Char"/>
    <w:link w:val="161"/>
    <w:autoRedefine/>
    <w:qFormat/>
    <w:uiPriority w:val="0"/>
    <w:rPr>
      <w:rFonts w:ascii="宋体" w:hAnsi="宋体" w:eastAsia="宋体"/>
      <w:lang w:val="en-US" w:eastAsia="zh-CN" w:bidi="ar-SA"/>
    </w:rPr>
  </w:style>
  <w:style w:type="paragraph" w:customStyle="1" w:styleId="161">
    <w:name w:val="表格"/>
    <w:basedOn w:val="1"/>
    <w:link w:val="160"/>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2">
    <w:name w:val="heading 6 Char1"/>
    <w:autoRedefine/>
    <w:qFormat/>
    <w:uiPriority w:val="0"/>
    <w:rPr>
      <w:rFonts w:ascii="Arial" w:hAnsi="Arial" w:eastAsia="黑体"/>
      <w:kern w:val="2"/>
      <w:sz w:val="24"/>
      <w:szCs w:val="24"/>
      <w:lang w:val="en-US" w:eastAsia="zh-CN" w:bidi="ar-SA"/>
    </w:rPr>
  </w:style>
  <w:style w:type="character" w:customStyle="1" w:styleId="163">
    <w:name w:val="Char Char211"/>
    <w:autoRedefine/>
    <w:qFormat/>
    <w:uiPriority w:val="0"/>
    <w:rPr>
      <w:rFonts w:ascii="Times New Roman" w:hAnsi="Times New Roman" w:eastAsia="宋体" w:cs="Times New Roman"/>
      <w:b/>
      <w:bCs/>
      <w:kern w:val="44"/>
      <w:sz w:val="44"/>
      <w:szCs w:val="44"/>
    </w:rPr>
  </w:style>
  <w:style w:type="character" w:customStyle="1" w:styleId="164">
    <w:name w:val="不明显强调11"/>
    <w:autoRedefine/>
    <w:qFormat/>
    <w:uiPriority w:val="0"/>
    <w:rPr>
      <w:i/>
      <w:iCs/>
      <w:color w:val="808080"/>
    </w:rPr>
  </w:style>
  <w:style w:type="character" w:customStyle="1" w:styleId="165">
    <w:name w:val="标题 9 字符"/>
    <w:link w:val="14"/>
    <w:autoRedefine/>
    <w:qFormat/>
    <w:uiPriority w:val="0"/>
    <w:rPr>
      <w:rFonts w:ascii="Arial" w:hAnsi="Arial" w:eastAsia="黑体"/>
      <w:kern w:val="2"/>
      <w:sz w:val="21"/>
      <w:lang w:val="en-US" w:eastAsia="zh-CN" w:bidi="ar-SA"/>
    </w:rPr>
  </w:style>
  <w:style w:type="character" w:customStyle="1" w:styleId="166">
    <w:name w:val="正文文本 字符"/>
    <w:link w:val="23"/>
    <w:autoRedefine/>
    <w:qFormat/>
    <w:uiPriority w:val="0"/>
    <w:rPr>
      <w:rFonts w:ascii="仿宋_GB2312" w:eastAsia="宋体"/>
      <w:b/>
      <w:kern w:val="2"/>
      <w:sz w:val="21"/>
      <w:szCs w:val="24"/>
      <w:lang w:val="en-US" w:eastAsia="zh-CN" w:bidi="ar-SA"/>
    </w:rPr>
  </w:style>
  <w:style w:type="character" w:customStyle="1" w:styleId="167">
    <w:name w:val="明显引用 字符"/>
    <w:link w:val="168"/>
    <w:autoRedefine/>
    <w:qFormat/>
    <w:uiPriority w:val="0"/>
    <w:rPr>
      <w:rFonts w:ascii="Calibri" w:hAnsi="Calibri" w:eastAsia="宋体"/>
      <w:b/>
      <w:bCs/>
      <w:i/>
      <w:iCs/>
      <w:color w:val="4F81BD"/>
      <w:lang w:val="en-US" w:eastAsia="zh-CN" w:bidi="ar-SA"/>
    </w:rPr>
  </w:style>
  <w:style w:type="paragraph" w:styleId="168">
    <w:name w:val="Intense Quote"/>
    <w:basedOn w:val="1"/>
    <w:next w:val="1"/>
    <w:link w:val="167"/>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69">
    <w:name w:val="heading 5 Char1"/>
    <w:autoRedefine/>
    <w:qFormat/>
    <w:uiPriority w:val="0"/>
    <w:rPr>
      <w:rFonts w:eastAsia="宋体"/>
      <w:b/>
      <w:bCs/>
      <w:kern w:val="2"/>
      <w:sz w:val="28"/>
      <w:szCs w:val="28"/>
      <w:lang w:val="en-US" w:eastAsia="zh-CN" w:bidi="ar-SA"/>
    </w:rPr>
  </w:style>
  <w:style w:type="character" w:customStyle="1" w:styleId="170">
    <w:name w:val="Texte Char Char"/>
    <w:autoRedefine/>
    <w:qFormat/>
    <w:uiPriority w:val="0"/>
    <w:rPr>
      <w:rFonts w:ascii="宋体" w:hAnsi="Courier New" w:eastAsia="宋体"/>
      <w:sz w:val="21"/>
      <w:szCs w:val="21"/>
      <w:lang w:val="en-US" w:eastAsia="zh-CN" w:bidi="ar-SA"/>
    </w:rPr>
  </w:style>
  <w:style w:type="character" w:customStyle="1" w:styleId="171">
    <w:name w:val="正文1 Char Char"/>
    <w:link w:val="172"/>
    <w:autoRedefine/>
    <w:qFormat/>
    <w:uiPriority w:val="0"/>
    <w:rPr>
      <w:rFonts w:ascii="宋体" w:hAnsi="宋体" w:eastAsia="宋体" w:cs="宋体"/>
      <w:sz w:val="21"/>
      <w:lang w:val="en-US" w:eastAsia="zh-CN" w:bidi="ar-SA"/>
    </w:rPr>
  </w:style>
  <w:style w:type="paragraph" w:customStyle="1" w:styleId="172">
    <w:name w:val="正文1"/>
    <w:basedOn w:val="1"/>
    <w:link w:val="171"/>
    <w:autoRedefine/>
    <w:qFormat/>
    <w:uiPriority w:val="0"/>
    <w:pPr>
      <w:widowControl/>
      <w:spacing w:line="360" w:lineRule="auto"/>
      <w:ind w:left="360" w:firstLine="420"/>
      <w:jc w:val="left"/>
    </w:pPr>
    <w:rPr>
      <w:rFonts w:ascii="宋体" w:hAnsi="宋体" w:cs="宋体"/>
      <w:kern w:val="0"/>
      <w:szCs w:val="20"/>
    </w:rPr>
  </w:style>
  <w:style w:type="character" w:customStyle="1" w:styleId="173">
    <w:name w:val="heading 8 Char1"/>
    <w:autoRedefine/>
    <w:qFormat/>
    <w:uiPriority w:val="0"/>
    <w:rPr>
      <w:rFonts w:ascii="Arial" w:hAnsi="Arial" w:eastAsia="黑体"/>
      <w:sz w:val="24"/>
      <w:lang w:val="en-US" w:eastAsia="zh-CN" w:bidi="ar-SA"/>
    </w:rPr>
  </w:style>
  <w:style w:type="character" w:customStyle="1" w:styleId="174">
    <w:name w:val="heading 9 Char1"/>
    <w:autoRedefine/>
    <w:qFormat/>
    <w:uiPriority w:val="0"/>
    <w:rPr>
      <w:rFonts w:ascii="Arial" w:hAnsi="Arial" w:eastAsia="黑体"/>
      <w:sz w:val="21"/>
      <w:lang w:val="en-US" w:eastAsia="zh-CN" w:bidi="ar-SA"/>
    </w:rPr>
  </w:style>
  <w:style w:type="character" w:customStyle="1" w:styleId="175">
    <w:name w:val="标题 6 字符"/>
    <w:link w:val="10"/>
    <w:autoRedefine/>
    <w:qFormat/>
    <w:uiPriority w:val="0"/>
    <w:rPr>
      <w:rFonts w:ascii="Arial" w:hAnsi="Arial" w:eastAsia="黑体"/>
      <w:b/>
      <w:kern w:val="2"/>
      <w:sz w:val="24"/>
      <w:lang w:val="en-US" w:eastAsia="zh-CN" w:bidi="ar-SA"/>
    </w:rPr>
  </w:style>
  <w:style w:type="character" w:customStyle="1" w:styleId="176">
    <w:name w:val="ändrad Char1"/>
    <w:autoRedefine/>
    <w:qFormat/>
    <w:uiPriority w:val="0"/>
    <w:rPr>
      <w:rFonts w:ascii="仿宋_GB2312" w:eastAsia="宋体"/>
      <w:b/>
      <w:kern w:val="2"/>
      <w:sz w:val="21"/>
      <w:szCs w:val="24"/>
      <w:lang w:val="en-US" w:eastAsia="zh-CN" w:bidi="ar-SA"/>
    </w:rPr>
  </w:style>
  <w:style w:type="character" w:customStyle="1" w:styleId="177">
    <w:name w:val="Char Char41"/>
    <w:autoRedefine/>
    <w:qFormat/>
    <w:uiPriority w:val="0"/>
    <w:rPr>
      <w:rFonts w:ascii="Cambria" w:hAnsi="Cambria" w:eastAsia="宋体"/>
      <w:b/>
      <w:bCs/>
      <w:sz w:val="32"/>
      <w:szCs w:val="32"/>
      <w:lang w:bidi="ar-SA"/>
    </w:rPr>
  </w:style>
  <w:style w:type="character" w:customStyle="1" w:styleId="178">
    <w:name w:val="标题 8 字符"/>
    <w:link w:val="13"/>
    <w:autoRedefine/>
    <w:qFormat/>
    <w:uiPriority w:val="0"/>
    <w:rPr>
      <w:rFonts w:ascii="Arial" w:hAnsi="Arial" w:eastAsia="黑体"/>
      <w:kern w:val="2"/>
      <w:sz w:val="24"/>
      <w:lang w:val="en-US" w:eastAsia="zh-CN" w:bidi="ar-SA"/>
    </w:rPr>
  </w:style>
  <w:style w:type="character" w:customStyle="1" w:styleId="179">
    <w:name w:val="Char Char11"/>
    <w:autoRedefine/>
    <w:qFormat/>
    <w:uiPriority w:val="0"/>
    <w:rPr>
      <w:rFonts w:ascii="Times New Roman" w:hAnsi="Times New Roman" w:eastAsia="宋体" w:cs="Times New Roman"/>
      <w:sz w:val="18"/>
      <w:szCs w:val="18"/>
    </w:rPr>
  </w:style>
  <w:style w:type="character" w:customStyle="1" w:styleId="180">
    <w:name w:val="正文文本缩进 2 字符"/>
    <w:link w:val="35"/>
    <w:autoRedefine/>
    <w:qFormat/>
    <w:uiPriority w:val="0"/>
    <w:rPr>
      <w:rFonts w:eastAsia="宋体"/>
      <w:kern w:val="2"/>
      <w:sz w:val="24"/>
      <w:szCs w:val="24"/>
      <w:lang w:val="en-US" w:eastAsia="zh-CN" w:bidi="ar-SA"/>
    </w:rPr>
  </w:style>
  <w:style w:type="character" w:customStyle="1" w:styleId="181">
    <w:name w:val="Char Char6"/>
    <w:autoRedefine/>
    <w:qFormat/>
    <w:uiPriority w:val="0"/>
    <w:rPr>
      <w:rFonts w:ascii="Times New Roman" w:hAnsi="Times New Roman" w:eastAsia="宋体" w:cs="Times New Roman"/>
      <w:szCs w:val="24"/>
    </w:rPr>
  </w:style>
  <w:style w:type="character" w:customStyle="1" w:styleId="182">
    <w:name w:val="Char Char Char"/>
    <w:autoRedefine/>
    <w:qFormat/>
    <w:uiPriority w:val="0"/>
    <w:rPr>
      <w:rFonts w:ascii="宋体" w:hAnsi="Courier New" w:eastAsia="宋体"/>
      <w:b/>
      <w:sz w:val="21"/>
      <w:szCs w:val="21"/>
      <w:lang w:val="en-US" w:eastAsia="zh-CN" w:bidi="ar-SA"/>
    </w:rPr>
  </w:style>
  <w:style w:type="character" w:customStyle="1" w:styleId="183">
    <w:name w:val="heading 2 Char"/>
    <w:autoRedefine/>
    <w:qFormat/>
    <w:uiPriority w:val="0"/>
    <w:rPr>
      <w:rFonts w:ascii="Arial" w:hAnsi="Arial" w:eastAsia="黑体" w:cs="Times New Roman"/>
      <w:sz w:val="30"/>
      <w:szCs w:val="24"/>
    </w:rPr>
  </w:style>
  <w:style w:type="character" w:customStyle="1" w:styleId="184">
    <w:name w:val="Char Char2"/>
    <w:autoRedefine/>
    <w:qFormat/>
    <w:uiPriority w:val="0"/>
    <w:rPr>
      <w:rFonts w:ascii="Arial" w:hAnsi="Arial" w:eastAsia="黑体"/>
      <w:b/>
      <w:bCs/>
      <w:kern w:val="44"/>
      <w:sz w:val="30"/>
      <w:szCs w:val="44"/>
      <w:lang w:val="en-US" w:eastAsia="zh-CN" w:bidi="ar-SA"/>
    </w:rPr>
  </w:style>
  <w:style w:type="character" w:customStyle="1" w:styleId="185">
    <w:name w:val="Footer-Even Char2"/>
    <w:autoRedefine/>
    <w:qFormat/>
    <w:uiPriority w:val="0"/>
    <w:rPr>
      <w:kern w:val="2"/>
      <w:sz w:val="18"/>
      <w:szCs w:val="18"/>
    </w:rPr>
  </w:style>
  <w:style w:type="character" w:customStyle="1" w:styleId="186">
    <w:name w:val="Char Char17"/>
    <w:autoRedefine/>
    <w:qFormat/>
    <w:uiPriority w:val="0"/>
    <w:rPr>
      <w:rFonts w:ascii="Cambria" w:hAnsi="Cambria"/>
      <w:b/>
      <w:bCs/>
      <w:kern w:val="2"/>
      <w:sz w:val="28"/>
      <w:szCs w:val="28"/>
    </w:rPr>
  </w:style>
  <w:style w:type="character" w:customStyle="1" w:styleId="187">
    <w:name w:val="heading 4 Char"/>
    <w:autoRedefine/>
    <w:qFormat/>
    <w:uiPriority w:val="0"/>
    <w:rPr>
      <w:rFonts w:ascii="Arial" w:hAnsi="Arial" w:eastAsia="黑体" w:cs="Times New Roman"/>
      <w:sz w:val="21"/>
      <w:szCs w:val="21"/>
    </w:rPr>
  </w:style>
  <w:style w:type="character" w:customStyle="1" w:styleId="188">
    <w:name w:val="Char Char20"/>
    <w:autoRedefine/>
    <w:qFormat/>
    <w:uiPriority w:val="0"/>
    <w:rPr>
      <w:b/>
      <w:bCs/>
      <w:kern w:val="44"/>
      <w:sz w:val="44"/>
      <w:szCs w:val="44"/>
    </w:rPr>
  </w:style>
  <w:style w:type="character" w:customStyle="1" w:styleId="189">
    <w:name w:val="heading 1 Char2"/>
    <w:autoRedefine/>
    <w:qFormat/>
    <w:uiPriority w:val="0"/>
    <w:rPr>
      <w:b/>
      <w:bCs/>
      <w:kern w:val="44"/>
      <w:sz w:val="44"/>
      <w:szCs w:val="44"/>
    </w:rPr>
  </w:style>
  <w:style w:type="character" w:customStyle="1" w:styleId="190">
    <w:name w:val="font11"/>
    <w:basedOn w:val="56"/>
    <w:autoRedefine/>
    <w:qFormat/>
    <w:uiPriority w:val="0"/>
    <w:rPr>
      <w:rFonts w:hint="eastAsia" w:ascii="宋体" w:hAnsi="宋体" w:eastAsia="宋体" w:cs="宋体"/>
      <w:b/>
      <w:color w:val="000000"/>
      <w:sz w:val="20"/>
      <w:szCs w:val="20"/>
      <w:u w:val="none"/>
    </w:rPr>
  </w:style>
  <w:style w:type="character" w:customStyle="1" w:styleId="191">
    <w:name w:val="表正文 Char2"/>
    <w:autoRedefine/>
    <w:qFormat/>
    <w:uiPriority w:val="0"/>
    <w:rPr>
      <w:rFonts w:ascii="Times New Roman" w:hAnsi="Times New Roman" w:eastAsia="宋体" w:cs="Times New Roman"/>
      <w:szCs w:val="24"/>
    </w:rPr>
  </w:style>
  <w:style w:type="character" w:customStyle="1" w:styleId="192">
    <w:name w:val="引用 字符"/>
    <w:link w:val="193"/>
    <w:autoRedefine/>
    <w:qFormat/>
    <w:uiPriority w:val="0"/>
    <w:rPr>
      <w:rFonts w:ascii="Calibri" w:hAnsi="Calibri" w:eastAsia="宋体"/>
      <w:i/>
      <w:iCs/>
      <w:color w:val="000000"/>
      <w:lang w:val="en-US" w:eastAsia="zh-CN" w:bidi="ar-SA"/>
    </w:rPr>
  </w:style>
  <w:style w:type="paragraph" w:styleId="193">
    <w:name w:val="Quote"/>
    <w:basedOn w:val="1"/>
    <w:next w:val="1"/>
    <w:link w:val="192"/>
    <w:autoRedefine/>
    <w:qFormat/>
    <w:uiPriority w:val="0"/>
    <w:rPr>
      <w:rFonts w:ascii="Calibri" w:hAnsi="Calibri"/>
      <w:i/>
      <w:iCs/>
      <w:color w:val="000000"/>
      <w:kern w:val="0"/>
      <w:sz w:val="20"/>
      <w:szCs w:val="20"/>
    </w:rPr>
  </w:style>
  <w:style w:type="character" w:customStyle="1" w:styleId="194">
    <w:name w:val="纯文本 字符"/>
    <w:link w:val="31"/>
    <w:autoRedefine/>
    <w:qFormat/>
    <w:uiPriority w:val="0"/>
    <w:rPr>
      <w:rFonts w:ascii="宋体" w:hAnsi="Courier New" w:eastAsia="宋体"/>
      <w:b/>
      <w:sz w:val="21"/>
      <w:szCs w:val="21"/>
      <w:lang w:val="en-US" w:eastAsia="zh-CN" w:bidi="ar-SA"/>
    </w:rPr>
  </w:style>
  <w:style w:type="character" w:customStyle="1" w:styleId="195">
    <w:name w:val="Char Char19"/>
    <w:autoRedefine/>
    <w:qFormat/>
    <w:uiPriority w:val="0"/>
    <w:rPr>
      <w:rFonts w:ascii="Cambria" w:hAnsi="Cambria"/>
      <w:b/>
      <w:bCs/>
      <w:kern w:val="2"/>
      <w:sz w:val="32"/>
      <w:szCs w:val="32"/>
    </w:rPr>
  </w:style>
  <w:style w:type="character" w:customStyle="1" w:styleId="196">
    <w:name w:val="style41"/>
    <w:autoRedefine/>
    <w:qFormat/>
    <w:uiPriority w:val="0"/>
    <w:rPr>
      <w:color w:val="auto"/>
    </w:rPr>
  </w:style>
  <w:style w:type="character" w:customStyle="1" w:styleId="197">
    <w:name w:val="Char Char201"/>
    <w:autoRedefine/>
    <w:qFormat/>
    <w:uiPriority w:val="0"/>
    <w:rPr>
      <w:rFonts w:ascii="Cambria" w:hAnsi="Cambria" w:eastAsia="宋体" w:cs="Times New Roman"/>
      <w:b/>
      <w:bCs/>
      <w:sz w:val="32"/>
      <w:szCs w:val="32"/>
    </w:rPr>
  </w:style>
  <w:style w:type="character" w:customStyle="1" w:styleId="198">
    <w:name w:val="正文首行缩进 字符"/>
    <w:link w:val="53"/>
    <w:autoRedefine/>
    <w:qFormat/>
    <w:uiPriority w:val="0"/>
    <w:rPr>
      <w:rFonts w:eastAsia="宋体"/>
      <w:lang w:val="en-US" w:eastAsia="zh-CN" w:bidi="ar-SA"/>
    </w:rPr>
  </w:style>
  <w:style w:type="character" w:customStyle="1" w:styleId="199">
    <w:name w:val="smalltxt1"/>
    <w:autoRedefine/>
    <w:qFormat/>
    <w:uiPriority w:val="0"/>
    <w:rPr>
      <w:rFonts w:hint="default" w:ascii="ˎ̥" w:hAnsi="ˎ̥"/>
      <w:sz w:val="24"/>
      <w:szCs w:val="24"/>
    </w:rPr>
  </w:style>
  <w:style w:type="character" w:customStyle="1" w:styleId="200">
    <w:name w:val="正文文本 2 字符"/>
    <w:basedOn w:val="56"/>
    <w:link w:val="49"/>
    <w:autoRedefine/>
    <w:qFormat/>
    <w:uiPriority w:val="0"/>
  </w:style>
  <w:style w:type="paragraph" w:customStyle="1" w:styleId="20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2">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3">
    <w:name w:val="表内文字"/>
    <w:basedOn w:val="1"/>
    <w:autoRedefine/>
    <w:qFormat/>
    <w:uiPriority w:val="0"/>
    <w:pPr>
      <w:spacing w:line="240" w:lineRule="atLeast"/>
      <w:jc w:val="center"/>
    </w:pPr>
    <w:rPr>
      <w:rFonts w:ascii="Arial" w:hAnsi="Arial" w:cs="Arial"/>
      <w:b/>
      <w:bCs/>
    </w:rPr>
  </w:style>
  <w:style w:type="paragraph" w:customStyle="1" w:styleId="204">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5">
    <w:name w:val="Char Char Char Char Char Char Char"/>
    <w:basedOn w:val="1"/>
    <w:autoRedefine/>
    <w:qFormat/>
    <w:uiPriority w:val="0"/>
    <w:rPr>
      <w:rFonts w:ascii="仿宋_GB2312" w:eastAsia="仿宋_GB2312"/>
      <w:b/>
      <w:sz w:val="32"/>
      <w:szCs w:val="32"/>
    </w:rPr>
  </w:style>
  <w:style w:type="paragraph" w:customStyle="1" w:styleId="20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7">
    <w:name w:val="列出段落1"/>
    <w:basedOn w:val="1"/>
    <w:next w:val="1"/>
    <w:autoRedefine/>
    <w:qFormat/>
    <w:uiPriority w:val="0"/>
    <w:pPr>
      <w:ind w:firstLine="420" w:firstLineChars="200"/>
    </w:pPr>
    <w:rPr>
      <w:szCs w:val="20"/>
    </w:rPr>
  </w:style>
  <w:style w:type="paragraph" w:customStyle="1" w:styleId="208">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10">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1">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4">
    <w:name w:val="NICMAN Body Text"/>
    <w:basedOn w:val="1"/>
    <w:next w:val="23"/>
    <w:autoRedefine/>
    <w:qFormat/>
    <w:uiPriority w:val="0"/>
    <w:pPr>
      <w:autoSpaceDE w:val="0"/>
      <w:autoSpaceDN w:val="0"/>
      <w:adjustRightInd w:val="0"/>
      <w:spacing w:after="120"/>
      <w:jc w:val="left"/>
    </w:pPr>
    <w:rPr>
      <w:kern w:val="0"/>
      <w:sz w:val="20"/>
      <w:szCs w:val="20"/>
    </w:rPr>
  </w:style>
  <w:style w:type="paragraph" w:customStyle="1" w:styleId="215">
    <w:name w:val="Char Char Char Char Char Char Char Char Char Char Char Char Char"/>
    <w:basedOn w:val="1"/>
    <w:autoRedefine/>
    <w:qFormat/>
    <w:uiPriority w:val="0"/>
    <w:rPr>
      <w:rFonts w:ascii="Tahoma" w:hAnsi="Tahoma"/>
      <w:sz w:val="24"/>
      <w:szCs w:val="20"/>
    </w:rPr>
  </w:style>
  <w:style w:type="paragraph" w:customStyle="1" w:styleId="216">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7">
    <w:name w:val="正文缩进1"/>
    <w:basedOn w:val="1"/>
    <w:next w:val="24"/>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8">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9">
    <w:name w:val="Char Char Char Char1"/>
    <w:basedOn w:val="19"/>
    <w:autoRedefine/>
    <w:qFormat/>
    <w:uiPriority w:val="0"/>
    <w:rPr>
      <w:rFonts w:ascii="Tahoma" w:hAnsi="Tahoma"/>
      <w:sz w:val="24"/>
    </w:rPr>
  </w:style>
  <w:style w:type="paragraph" w:customStyle="1" w:styleId="220">
    <w:name w:val="正文 首行缩进:  2 字符 Char"/>
    <w:basedOn w:val="1"/>
    <w:autoRedefine/>
    <w:qFormat/>
    <w:uiPriority w:val="0"/>
    <w:pPr>
      <w:spacing w:line="360" w:lineRule="auto"/>
      <w:ind w:firstLine="480"/>
    </w:pPr>
    <w:rPr>
      <w:rFonts w:cs="宋体"/>
      <w:sz w:val="24"/>
      <w:szCs w:val="20"/>
    </w:rPr>
  </w:style>
  <w:style w:type="paragraph" w:customStyle="1" w:styleId="221">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5">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6">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7">
    <w:name w:val="二级条标题"/>
    <w:basedOn w:val="208"/>
    <w:next w:val="1"/>
    <w:autoRedefine/>
    <w:qFormat/>
    <w:uiPriority w:val="0"/>
    <w:pPr>
      <w:tabs>
        <w:tab w:val="left" w:pos="4309"/>
        <w:tab w:val="clear" w:pos="3889"/>
      </w:tabs>
      <w:ind w:left="4309"/>
      <w:outlineLvl w:val="3"/>
    </w:pPr>
  </w:style>
  <w:style w:type="paragraph" w:customStyle="1" w:styleId="228">
    <w:name w:val="正文－恩普"/>
    <w:basedOn w:val="12"/>
    <w:autoRedefine/>
    <w:qFormat/>
    <w:uiPriority w:val="0"/>
    <w:pPr>
      <w:adjustRightInd/>
      <w:spacing w:line="360" w:lineRule="auto"/>
      <w:ind w:firstLine="200" w:firstLineChars="200"/>
      <w:textAlignment w:val="auto"/>
    </w:pPr>
    <w:rPr>
      <w:kern w:val="2"/>
      <w:sz w:val="24"/>
      <w:szCs w:val="24"/>
    </w:rPr>
  </w:style>
  <w:style w:type="paragraph" w:customStyle="1" w:styleId="229">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30">
    <w:name w:val="正文（首行缩进）"/>
    <w:basedOn w:val="24"/>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1">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2">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3">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4">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5">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6">
    <w:name w:val="三级条标题"/>
    <w:basedOn w:val="227"/>
    <w:next w:val="1"/>
    <w:autoRedefine/>
    <w:qFormat/>
    <w:uiPriority w:val="0"/>
    <w:pPr>
      <w:tabs>
        <w:tab w:val="left" w:pos="4729"/>
        <w:tab w:val="clear" w:pos="4309"/>
      </w:tabs>
      <w:ind w:left="4729"/>
      <w:outlineLvl w:val="4"/>
    </w:pPr>
  </w:style>
  <w:style w:type="paragraph" w:customStyle="1" w:styleId="237">
    <w:name w:val="Test2"/>
    <w:basedOn w:val="6"/>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8">
    <w:name w:val="默认段落字体 Para Char Char Char Char Char Char Char"/>
    <w:basedOn w:val="1"/>
    <w:autoRedefine/>
    <w:qFormat/>
    <w:uiPriority w:val="0"/>
  </w:style>
  <w:style w:type="paragraph" w:customStyle="1" w:styleId="239">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4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1">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2">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3">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4">
    <w:name w:val="列表段落"/>
    <w:basedOn w:val="1"/>
    <w:autoRedefine/>
    <w:qFormat/>
    <w:uiPriority w:val="0"/>
    <w:pPr>
      <w:ind w:firstLine="420" w:firstLineChars="200"/>
    </w:pPr>
    <w:rPr>
      <w:rFonts w:ascii="Calibri" w:hAnsi="Calibri"/>
      <w:szCs w:val="22"/>
    </w:rPr>
  </w:style>
  <w:style w:type="paragraph" w:customStyle="1" w:styleId="245">
    <w:name w:val="五级条标题"/>
    <w:basedOn w:val="246"/>
    <w:next w:val="1"/>
    <w:autoRedefine/>
    <w:qFormat/>
    <w:uiPriority w:val="0"/>
    <w:pPr>
      <w:tabs>
        <w:tab w:val="left" w:pos="5149"/>
        <w:tab w:val="left" w:pos="5569"/>
      </w:tabs>
      <w:ind w:left="5569"/>
      <w:outlineLvl w:val="6"/>
    </w:pPr>
  </w:style>
  <w:style w:type="paragraph" w:customStyle="1" w:styleId="246">
    <w:name w:val="四级条标题"/>
    <w:basedOn w:val="236"/>
    <w:next w:val="1"/>
    <w:autoRedefine/>
    <w:qFormat/>
    <w:uiPriority w:val="0"/>
    <w:pPr>
      <w:tabs>
        <w:tab w:val="left" w:pos="5149"/>
        <w:tab w:val="clear" w:pos="4729"/>
      </w:tabs>
      <w:ind w:left="5149"/>
      <w:outlineLvl w:val="5"/>
    </w:pPr>
  </w:style>
  <w:style w:type="paragraph" w:customStyle="1" w:styleId="247">
    <w:name w:val="正文-宋体四号"/>
    <w:basedOn w:val="1"/>
    <w:autoRedefine/>
    <w:qFormat/>
    <w:uiPriority w:val="0"/>
    <w:pPr>
      <w:spacing w:line="360" w:lineRule="auto"/>
      <w:ind w:firstLine="560" w:firstLineChars="200"/>
    </w:pPr>
    <w:rPr>
      <w:rFonts w:cs="宋体"/>
      <w:sz w:val="28"/>
      <w:szCs w:val="20"/>
    </w:rPr>
  </w:style>
  <w:style w:type="paragraph" w:customStyle="1" w:styleId="248">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9">
    <w:name w:val="Char2"/>
    <w:basedOn w:val="1"/>
    <w:autoRedefine/>
    <w:qFormat/>
    <w:uiPriority w:val="0"/>
  </w:style>
  <w:style w:type="paragraph" w:customStyle="1" w:styleId="250">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1">
    <w:name w:val="样式5"/>
    <w:basedOn w:val="12"/>
    <w:autoRedefine/>
    <w:qFormat/>
    <w:uiPriority w:val="0"/>
    <w:pPr>
      <w:adjustRightInd/>
      <w:spacing w:line="360" w:lineRule="auto"/>
      <w:ind w:firstLine="200" w:firstLineChars="200"/>
      <w:textAlignment w:val="auto"/>
    </w:pPr>
    <w:rPr>
      <w:sz w:val="28"/>
      <w:szCs w:val="21"/>
    </w:rPr>
  </w:style>
  <w:style w:type="paragraph" w:customStyle="1" w:styleId="252">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3">
    <w:name w:val="Char Char Char Char Char Char Char Char Char Char Char Char Char1"/>
    <w:basedOn w:val="1"/>
    <w:autoRedefine/>
    <w:qFormat/>
    <w:uiPriority w:val="0"/>
  </w:style>
  <w:style w:type="paragraph" w:customStyle="1" w:styleId="254">
    <w:name w:val="样式 标题 1Level 1Level 11h1II+IHeading1H1-Heading 1Header 1..."/>
    <w:basedOn w:val="5"/>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5">
    <w:name w:val="样式 标题 3 + 黑色 段前: 5 磅 段后: 5 磅 行距: 1.5 倍行距"/>
    <w:basedOn w:val="1"/>
    <w:autoRedefine/>
    <w:qFormat/>
    <w:uiPriority w:val="0"/>
    <w:pPr>
      <w:ind w:left="855" w:hanging="855"/>
    </w:pPr>
    <w:rPr>
      <w:sz w:val="24"/>
      <w:szCs w:val="20"/>
    </w:rPr>
  </w:style>
  <w:style w:type="paragraph" w:customStyle="1" w:styleId="256">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7">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9">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0">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1">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2">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3">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7">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8">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9">
    <w:name w:val="TOC 标题1"/>
    <w:basedOn w:val="5"/>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70">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1">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2">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3">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4">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5">
    <w:name w:val="简单回函地址"/>
    <w:basedOn w:val="1"/>
    <w:autoRedefine/>
    <w:qFormat/>
    <w:uiPriority w:val="0"/>
  </w:style>
  <w:style w:type="paragraph" w:customStyle="1" w:styleId="276">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7">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8">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9">
    <w:name w:val="1 Char"/>
    <w:basedOn w:val="12"/>
    <w:autoRedefine/>
    <w:qFormat/>
    <w:uiPriority w:val="0"/>
    <w:pPr>
      <w:adjustRightInd/>
      <w:spacing w:line="360" w:lineRule="auto"/>
      <w:ind w:firstLine="200" w:firstLineChars="200"/>
      <w:textAlignment w:val="auto"/>
    </w:pPr>
    <w:rPr>
      <w:kern w:val="2"/>
    </w:rPr>
  </w:style>
  <w:style w:type="paragraph" w:customStyle="1" w:styleId="280">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1">
    <w:name w:val="TOC 标题2"/>
    <w:basedOn w:val="5"/>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2">
    <w:name w:val="Char Char"/>
    <w:basedOn w:val="1"/>
    <w:autoRedefine/>
    <w:qFormat/>
    <w:uiPriority w:val="0"/>
    <w:rPr>
      <w:rFonts w:ascii="仿宋_GB2312" w:eastAsia="仿宋_GB2312"/>
      <w:b/>
      <w:sz w:val="32"/>
      <w:szCs w:val="32"/>
    </w:rPr>
  </w:style>
  <w:style w:type="paragraph" w:customStyle="1" w:styleId="283">
    <w:name w:val="l正文"/>
    <w:basedOn w:val="1"/>
    <w:autoRedefine/>
    <w:qFormat/>
    <w:uiPriority w:val="0"/>
    <w:pPr>
      <w:spacing w:line="360" w:lineRule="auto"/>
      <w:ind w:firstLine="200" w:firstLineChars="200"/>
    </w:pPr>
    <w:rPr>
      <w:rFonts w:ascii="宋体" w:hAnsi="宋体"/>
      <w:sz w:val="24"/>
    </w:rPr>
  </w:style>
  <w:style w:type="paragraph" w:customStyle="1" w:styleId="284">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6">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7">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8">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9">
    <w:name w:val="Char Char Char Char Char Char Char1"/>
    <w:basedOn w:val="1"/>
    <w:autoRedefine/>
    <w:qFormat/>
    <w:uiPriority w:val="0"/>
    <w:rPr>
      <w:rFonts w:ascii="仿宋_GB2312" w:eastAsia="仿宋_GB2312"/>
      <w:b/>
      <w:sz w:val="32"/>
      <w:szCs w:val="32"/>
    </w:rPr>
  </w:style>
  <w:style w:type="paragraph" w:customStyle="1" w:styleId="290">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1">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2">
    <w:name w:val="标题2"/>
    <w:basedOn w:val="6"/>
    <w:autoRedefine/>
    <w:qFormat/>
    <w:uiPriority w:val="0"/>
    <w:pPr>
      <w:tabs>
        <w:tab w:val="left" w:pos="709"/>
      </w:tabs>
    </w:pPr>
    <w:rPr>
      <w:rFonts w:ascii="宋体" w:hAnsi="宋体"/>
      <w:sz w:val="36"/>
      <w:szCs w:val="36"/>
    </w:rPr>
  </w:style>
  <w:style w:type="paragraph" w:customStyle="1" w:styleId="293">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5">
    <w:name w:val="Char1"/>
    <w:basedOn w:val="1"/>
    <w:autoRedefine/>
    <w:qFormat/>
    <w:uiPriority w:val="0"/>
    <w:rPr>
      <w:rFonts w:ascii="仿宋_GB2312" w:eastAsia="仿宋_GB2312"/>
      <w:b/>
      <w:sz w:val="32"/>
      <w:szCs w:val="32"/>
    </w:rPr>
  </w:style>
  <w:style w:type="paragraph" w:customStyle="1" w:styleId="296">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7">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8">
    <w:name w:val="保留正文"/>
    <w:basedOn w:val="23"/>
    <w:autoRedefine/>
    <w:qFormat/>
    <w:uiPriority w:val="0"/>
    <w:pPr>
      <w:keepNext/>
      <w:spacing w:after="160"/>
    </w:pPr>
    <w:rPr>
      <w:szCs w:val="20"/>
    </w:rPr>
  </w:style>
  <w:style w:type="paragraph" w:customStyle="1" w:styleId="299">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0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2">
    <w:name w:val="Char"/>
    <w:basedOn w:val="1"/>
    <w:autoRedefine/>
    <w:qFormat/>
    <w:uiPriority w:val="0"/>
    <w:rPr>
      <w:rFonts w:ascii="仿宋_GB2312" w:eastAsia="仿宋_GB2312"/>
      <w:b/>
      <w:sz w:val="32"/>
      <w:szCs w:val="32"/>
    </w:rPr>
  </w:style>
  <w:style w:type="paragraph" w:customStyle="1" w:styleId="303">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4">
    <w:name w:val="正文文字表格居中"/>
    <w:basedOn w:val="1"/>
    <w:next w:val="49"/>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5">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6">
    <w:name w:val="Char1 Char Char Char Char Char Char"/>
    <w:basedOn w:val="1"/>
    <w:autoRedefine/>
    <w:qFormat/>
    <w:uiPriority w:val="0"/>
    <w:rPr>
      <w:rFonts w:ascii="宋体" w:hAnsi="宋体"/>
      <w:color w:val="000000"/>
      <w:sz w:val="24"/>
    </w:rPr>
  </w:style>
  <w:style w:type="paragraph" w:customStyle="1" w:styleId="307">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8">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10">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2">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3">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4">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5">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6">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7">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8">
    <w:name w:val="样式 标题 3 + 黑体 小四 非加粗"/>
    <w:basedOn w:val="7"/>
    <w:autoRedefine/>
    <w:qFormat/>
    <w:uiPriority w:val="0"/>
    <w:pPr>
      <w:spacing w:before="260" w:after="260" w:line="413" w:lineRule="auto"/>
    </w:pPr>
    <w:rPr>
      <w:rFonts w:ascii="黑体" w:hAnsi="黑体"/>
      <w:b w:val="0"/>
      <w:kern w:val="0"/>
      <w:sz w:val="24"/>
      <w:szCs w:val="32"/>
    </w:rPr>
  </w:style>
  <w:style w:type="paragraph" w:customStyle="1" w:styleId="319">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1">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2">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3">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4">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5">
    <w:name w:val="列出段落2"/>
    <w:basedOn w:val="1"/>
    <w:autoRedefine/>
    <w:qFormat/>
    <w:uiPriority w:val="0"/>
    <w:pPr>
      <w:ind w:firstLine="420" w:firstLineChars="200"/>
    </w:pPr>
  </w:style>
  <w:style w:type="paragraph" w:customStyle="1" w:styleId="326">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7">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8">
    <w:name w:val="p0"/>
    <w:basedOn w:val="1"/>
    <w:autoRedefine/>
    <w:qFormat/>
    <w:uiPriority w:val="0"/>
    <w:pPr>
      <w:widowControl/>
    </w:pPr>
    <w:rPr>
      <w:kern w:val="0"/>
      <w:szCs w:val="21"/>
    </w:rPr>
  </w:style>
  <w:style w:type="paragraph" w:customStyle="1" w:styleId="329">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30">
    <w:name w:val="TableGrid"/>
    <w:autoRedefine/>
    <w:qFormat/>
    <w:uiPriority w:val="0"/>
    <w:tblPr>
      <w:tblCellMar>
        <w:top w:w="0" w:type="dxa"/>
        <w:left w:w="0" w:type="dxa"/>
        <w:bottom w:w="0" w:type="dxa"/>
        <w:right w:w="0" w:type="dxa"/>
      </w:tblCellMar>
    </w:tblPr>
  </w:style>
  <w:style w:type="paragraph" w:styleId="331">
    <w:name w:val="List Paragraph"/>
    <w:basedOn w:val="1"/>
    <w:link w:val="345"/>
    <w:autoRedefine/>
    <w:qFormat/>
    <w:uiPriority w:val="34"/>
    <w:pPr>
      <w:ind w:firstLine="420" w:firstLineChars="200"/>
    </w:pPr>
  </w:style>
  <w:style w:type="paragraph" w:customStyle="1" w:styleId="332">
    <w:name w:val="正文段"/>
    <w:basedOn w:val="1"/>
    <w:autoRedefine/>
    <w:qFormat/>
    <w:uiPriority w:val="0"/>
    <w:pPr>
      <w:widowControl/>
      <w:snapToGrid w:val="0"/>
      <w:spacing w:afterLines="50"/>
      <w:ind w:firstLine="200" w:firstLineChars="200"/>
    </w:pPr>
    <w:rPr>
      <w:sz w:val="24"/>
      <w:szCs w:val="20"/>
    </w:rPr>
  </w:style>
  <w:style w:type="paragraph" w:customStyle="1" w:styleId="333">
    <w:name w:val="_Style 3"/>
    <w:basedOn w:val="1"/>
    <w:next w:val="1"/>
    <w:autoRedefine/>
    <w:qFormat/>
    <w:uiPriority w:val="34"/>
    <w:pPr>
      <w:spacing w:line="360" w:lineRule="auto"/>
      <w:ind w:firstLine="420" w:firstLineChars="200"/>
    </w:pPr>
  </w:style>
  <w:style w:type="paragraph" w:customStyle="1" w:styleId="334">
    <w:name w:val="_Style 2"/>
    <w:basedOn w:val="1"/>
    <w:next w:val="1"/>
    <w:autoRedefine/>
    <w:qFormat/>
    <w:uiPriority w:val="0"/>
    <w:pPr>
      <w:pBdr>
        <w:bottom w:val="single" w:color="auto" w:sz="6" w:space="1"/>
      </w:pBdr>
      <w:jc w:val="center"/>
    </w:pPr>
    <w:rPr>
      <w:rFonts w:ascii="Arial"/>
      <w:vanish/>
      <w:sz w:val="16"/>
    </w:rPr>
  </w:style>
  <w:style w:type="character" w:customStyle="1" w:styleId="335">
    <w:name w:val="font31"/>
    <w:basedOn w:val="56"/>
    <w:autoRedefine/>
    <w:qFormat/>
    <w:uiPriority w:val="0"/>
    <w:rPr>
      <w:rFonts w:hint="eastAsia" w:ascii="宋体" w:hAnsi="宋体" w:eastAsia="宋体" w:cs="宋体"/>
      <w:color w:val="000000"/>
      <w:sz w:val="24"/>
      <w:szCs w:val="24"/>
      <w:u w:val="single"/>
    </w:rPr>
  </w:style>
  <w:style w:type="character" w:customStyle="1" w:styleId="336">
    <w:name w:val="font01"/>
    <w:basedOn w:val="56"/>
    <w:autoRedefine/>
    <w:qFormat/>
    <w:uiPriority w:val="0"/>
    <w:rPr>
      <w:rFonts w:ascii="Arial" w:hAnsi="Arial" w:cs="Arial"/>
      <w:color w:val="000000"/>
      <w:sz w:val="18"/>
      <w:szCs w:val="18"/>
      <w:u w:val="none"/>
    </w:rPr>
  </w:style>
  <w:style w:type="paragraph" w:customStyle="1" w:styleId="337">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8">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39">
    <w:name w:val="font61"/>
    <w:basedOn w:val="56"/>
    <w:autoRedefine/>
    <w:qFormat/>
    <w:uiPriority w:val="0"/>
    <w:rPr>
      <w:rFonts w:hint="eastAsia" w:ascii="宋体" w:hAnsi="宋体" w:eastAsia="宋体" w:cs="宋体"/>
      <w:color w:val="000000"/>
      <w:sz w:val="20"/>
      <w:szCs w:val="20"/>
      <w:u w:val="none"/>
    </w:rPr>
  </w:style>
  <w:style w:type="character" w:customStyle="1" w:styleId="340">
    <w:name w:val="font81"/>
    <w:basedOn w:val="56"/>
    <w:autoRedefine/>
    <w:qFormat/>
    <w:uiPriority w:val="0"/>
    <w:rPr>
      <w:rFonts w:ascii="Calibri" w:hAnsi="Calibri" w:cs="Calibri"/>
      <w:color w:val="000000"/>
      <w:sz w:val="20"/>
      <w:szCs w:val="20"/>
      <w:u w:val="none"/>
    </w:rPr>
  </w:style>
  <w:style w:type="character" w:customStyle="1" w:styleId="341">
    <w:name w:val="font71"/>
    <w:basedOn w:val="56"/>
    <w:autoRedefine/>
    <w:qFormat/>
    <w:uiPriority w:val="0"/>
    <w:rPr>
      <w:rFonts w:hint="eastAsia" w:ascii="宋体" w:hAnsi="宋体" w:eastAsia="宋体" w:cs="宋体"/>
      <w:color w:val="000000"/>
      <w:sz w:val="22"/>
      <w:szCs w:val="22"/>
      <w:u w:val="none"/>
    </w:rPr>
  </w:style>
  <w:style w:type="paragraph" w:customStyle="1" w:styleId="342">
    <w:name w:val="01 正文-首行缩进2字符"/>
    <w:basedOn w:val="1"/>
    <w:autoRedefine/>
    <w:qFormat/>
    <w:uiPriority w:val="0"/>
    <w:pPr>
      <w:spacing w:beforeLines="50" w:afterLines="50"/>
      <w:ind w:firstLine="200" w:firstLineChars="200"/>
    </w:pPr>
    <w:rPr>
      <w:rFonts w:ascii="Arial" w:hAnsi="Arial"/>
      <w:color w:val="000000"/>
    </w:rPr>
  </w:style>
  <w:style w:type="table" w:customStyle="1" w:styleId="343">
    <w:name w:val="网格型1"/>
    <w:basedOn w:val="5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4">
    <w:name w:val="Char3 Char Char Char1"/>
    <w:basedOn w:val="1"/>
    <w:autoRedefine/>
    <w:qFormat/>
    <w:uiPriority w:val="0"/>
  </w:style>
  <w:style w:type="character" w:customStyle="1" w:styleId="345">
    <w:name w:val="列出段落 字符"/>
    <w:link w:val="331"/>
    <w:autoRedefine/>
    <w:qFormat/>
    <w:uiPriority w:val="34"/>
    <w:rPr>
      <w:kern w:val="2"/>
      <w:sz w:val="21"/>
      <w:szCs w:val="24"/>
    </w:rPr>
  </w:style>
  <w:style w:type="character" w:customStyle="1" w:styleId="346">
    <w:name w:val="交叉引用"/>
    <w:basedOn w:val="56"/>
    <w:autoRedefine/>
    <w:qFormat/>
    <w:uiPriority w:val="1"/>
    <w:rPr>
      <w:color w:val="0000FF"/>
      <w:u w:val="single"/>
    </w:rPr>
  </w:style>
  <w:style w:type="paragraph" w:customStyle="1" w:styleId="347">
    <w:name w:val="*正文"/>
    <w:basedOn w:val="1"/>
    <w:autoRedefine/>
    <w:qFormat/>
    <w:uiPriority w:val="0"/>
    <w:pPr>
      <w:spacing w:line="360" w:lineRule="auto"/>
      <w:jc w:val="left"/>
    </w:pPr>
    <w:rPr>
      <w:rFonts w:ascii="宋体" w:hAnsi="宋体" w:eastAsia="宋体"/>
      <w:szCs w:val="21"/>
    </w:rPr>
  </w:style>
  <w:style w:type="paragraph" w:customStyle="1" w:styleId="348">
    <w:name w:val="222222"/>
    <w:basedOn w:val="1"/>
    <w:autoRedefine/>
    <w:qFormat/>
    <w:uiPriority w:val="0"/>
    <w:pPr>
      <w:spacing w:line="240" w:lineRule="auto"/>
    </w:pPr>
    <w:rPr>
      <w:rFonts w:ascii="宋体" w:hAnsi="宋体" w:eastAsia="宋体" w:cs="Times New Roman"/>
      <w:sz w:val="32"/>
    </w:rPr>
  </w:style>
  <w:style w:type="paragraph" w:customStyle="1" w:styleId="349">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4"/>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66</Pages>
  <Words>15002</Words>
  <Characters>15676</Characters>
  <Lines>251</Lines>
  <Paragraphs>70</Paragraphs>
  <TotalTime>328</TotalTime>
  <ScaleCrop>false</ScaleCrop>
  <LinksUpToDate>false</LinksUpToDate>
  <CharactersWithSpaces>16052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2020-10-13T06:50:00Z</dcterms:created>
  <dc:creator>zyq</dc:creator>
  <cp:lastModifiedBy>历程招标</cp:lastModifiedBy>
  <cp:lastPrinted>2025-11-25T03:04:00Z</cp:lastPrinted>
  <dcterms:modified xsi:type="dcterms:W3CDTF">2026-02-11T02:00:37Z</dcterms:modified>
  <dc:title>招标文件目录</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BC1BA64C697642BF92F420CC9F67FF35</vt:lpwstr>
  </property>
  <property fmtid="{D5CDD505-2E9C-101B-9397-08002B2CF9AE}" pid="4" name="KSOTemplateDocerSaveRecord">
    <vt:lpwstr>eyJoZGlkIjoiZGYyYjc0MjQ3MDVjYjJkMDFhZjlkZDA2OTg4YWRlZmQiLCJ1c2VySWQiOiIxNDgxMzEyODcxIn0=</vt:lpwstr>
  </property>
</Properties>
</file>