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clear" w:pos="840"/>
        </w:tabs>
        <w:adjustRightInd/>
        <w:snapToGrid/>
        <w:spacing w:before="120" w:after="120" w:line="360" w:lineRule="auto"/>
        <w:jc w:val="center"/>
        <w:rPr>
          <w:rFonts w:hint="default" w:ascii="宋体" w:hAnsi="宋体" w:eastAsia="宋体" w:cs="宋体"/>
          <w:b/>
          <w:bCs w:val="0"/>
          <w:sz w:val="44"/>
          <w:szCs w:val="44"/>
          <w:lang w:val="en-US"/>
        </w:rPr>
      </w:pPr>
      <w:bookmarkStart w:id="0" w:name="_Toc451522337"/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</w:rPr>
        <w:t>温州市中医院</w:t>
      </w:r>
      <w:bookmarkStart w:id="1" w:name="OLE_LINK1"/>
      <w:r>
        <w:rPr>
          <w:rFonts w:hint="eastAsia" w:hAnsi="宋体" w:cs="宋体"/>
          <w:b/>
          <w:bCs w:val="0"/>
          <w:color w:val="000000"/>
          <w:sz w:val="36"/>
          <w:szCs w:val="36"/>
          <w:lang w:val="en-US" w:eastAsia="zh-CN"/>
        </w:rPr>
        <w:t>“2026年迎新春年货节”供应商遴选</w:t>
      </w:r>
      <w:bookmarkEnd w:id="0"/>
      <w:bookmarkEnd w:id="1"/>
      <w:r>
        <w:rPr>
          <w:rFonts w:hint="eastAsia" w:ascii="宋体" w:hAnsi="宋体" w:eastAsia="宋体" w:cs="宋体"/>
          <w:b/>
          <w:bCs w:val="0"/>
          <w:color w:val="000000"/>
          <w:sz w:val="36"/>
          <w:szCs w:val="36"/>
          <w:lang w:val="en-US" w:eastAsia="zh-CN"/>
        </w:rPr>
        <w:t>文件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一、项目概况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bookmarkStart w:id="2" w:name="OLE_LINK8"/>
      <w:r>
        <w:rPr>
          <w:rFonts w:hint="eastAsia" w:ascii="宋体" w:hAnsi="宋体" w:cs="宋体"/>
          <w:sz w:val="24"/>
          <w:szCs w:val="24"/>
          <w:lang w:val="en-US" w:eastAsia="zh-CN"/>
        </w:rPr>
        <w:t>“2026年迎新春年货节”供应商遴选</w:t>
      </w:r>
    </w:p>
    <w:bookmarkEnd w:id="2"/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采购方式：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院内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公开遴选（非政府采购）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采购单位:温州市中医院</w:t>
      </w:r>
    </w:p>
    <w:p>
      <w:pPr>
        <w:spacing w:line="360" w:lineRule="auto"/>
        <w:rPr>
          <w:rFonts w:hint="default" w:ascii="宋体" w:hAnsi="宋体" w:eastAsia="宋体" w:cs="宋体"/>
          <w:b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val="en-US" w:eastAsia="zh-CN"/>
        </w:rPr>
        <w:t>二</w:t>
      </w:r>
      <w:r>
        <w:rPr>
          <w:rFonts w:hint="eastAsia" w:ascii="宋体" w:hAnsi="宋体" w:cs="宋体"/>
          <w:b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</w:rPr>
        <w:t>采购</w:t>
      </w:r>
      <w:r>
        <w:rPr>
          <w:rFonts w:hint="eastAsia" w:ascii="宋体" w:hAnsi="宋体" w:cs="宋体"/>
          <w:b/>
          <w:color w:val="000000" w:themeColor="text1"/>
          <w:sz w:val="28"/>
          <w:szCs w:val="28"/>
        </w:rPr>
        <w:t>内容</w:t>
      </w:r>
      <w:r>
        <w:rPr>
          <w:rFonts w:hint="eastAsia" w:ascii="宋体" w:hAnsi="宋体" w:cs="宋体"/>
          <w:b/>
          <w:color w:val="000000" w:themeColor="text1"/>
          <w:sz w:val="28"/>
          <w:szCs w:val="28"/>
          <w:lang w:val="en-US" w:eastAsia="zh-CN"/>
        </w:rPr>
        <w:t>及要求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uto"/>
        <w:ind w:left="0" w:leftChars="0" w:right="0" w:rightChars="0" w:firstLine="482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1、服务地点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：温州市中医院党建公园北侧道路上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一期与二期之间）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uto"/>
        <w:ind w:right="0" w:rightChars="0" w:firstLine="482" w:firstLineChars="200"/>
        <w:rPr>
          <w:rFonts w:hint="default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2、服务</w:t>
      </w: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需求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：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遴选供应商总数不超过12家，涵盖以下7类商品，每类商品具体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入围供应商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数量根据报名及评审情况确定，但总数不超过限定，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具体如下：</w:t>
      </w:r>
    </w:p>
    <w:p>
      <w:pPr>
        <w:pStyle w:val="4"/>
        <w:numPr>
          <w:ilvl w:val="3"/>
          <w:numId w:val="0"/>
        </w:numPr>
        <w:spacing w:line="36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1）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食用农产品类：包括新鲜蔬菜、水果、肉类等，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入围供应商不超过2家；</w:t>
      </w:r>
    </w:p>
    <w:p>
      <w:pPr>
        <w:pStyle w:val="4"/>
        <w:numPr>
          <w:ilvl w:val="3"/>
          <w:numId w:val="0"/>
        </w:numPr>
        <w:spacing w:line="360" w:lineRule="auto"/>
        <w:ind w:firstLine="480" w:firstLineChars="200"/>
        <w:rPr>
          <w:rFonts w:hint="default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2）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水产品类：包括海鲜、淡水鱼等，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入围供应商不超过1家；</w:t>
      </w:r>
    </w:p>
    <w:p>
      <w:pPr>
        <w:pStyle w:val="4"/>
        <w:numPr>
          <w:ilvl w:val="3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3）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生活日用品：包括日化用品、家居清洁用品等，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入围供应商不超过2家；</w:t>
      </w:r>
    </w:p>
    <w:p>
      <w:pPr>
        <w:pStyle w:val="4"/>
        <w:numPr>
          <w:ilvl w:val="3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4）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针纺织用品：包括床单、被套、毛巾等，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入围供应商不超过1家；</w:t>
      </w:r>
    </w:p>
    <w:p>
      <w:pPr>
        <w:pStyle w:val="4"/>
        <w:numPr>
          <w:ilvl w:val="3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5）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青、藏等对接帮扶类农产品：特色农产品，助力对口帮扶地区，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入围供应商不超过2家；</w:t>
      </w:r>
    </w:p>
    <w:p>
      <w:pPr>
        <w:pStyle w:val="4"/>
        <w:numPr>
          <w:ilvl w:val="3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6）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食品类：包括地方特产、零食、生鲜、参茸滋补品等，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入围供应商不超过3家；</w:t>
      </w:r>
    </w:p>
    <w:p>
      <w:pPr>
        <w:pStyle w:val="4"/>
        <w:numPr>
          <w:ilvl w:val="3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7）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数码产品类：包括小家电、智能设备等，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入围供应商不超过1家；</w:t>
      </w:r>
    </w:p>
    <w:p>
      <w:pPr>
        <w:pStyle w:val="4"/>
        <w:numPr>
          <w:ilvl w:val="3"/>
          <w:numId w:val="0"/>
        </w:numPr>
        <w:spacing w:line="360" w:lineRule="auto"/>
        <w:ind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服务期限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：202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年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月2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日—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月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30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日（共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天），供应商需全程驻场提供销售及售后服务。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Autospacing="0" w:afterAutospacing="0" w:line="360" w:lineRule="auto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8"/>
          <w:szCs w:val="28"/>
          <w:shd w:val="clear" w:fill="FFFFFF"/>
        </w:rPr>
        <w:t>供应商资格要求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1、能够独立承担法律责任；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   2、具有履行合同所必需的设备和专业技术能力；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   3、具有良好的商业信誉和健全的财务会计制度；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0" w:firstLineChars="0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   4、有依法缴纳税收和社会保障资金的良好记录；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0" w:firstLineChars="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   5、法律，行政法规规定的其他条件；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360" w:lineRule="auto"/>
        <w:ind w:right="0" w:rightChars="0" w:firstLine="480" w:firstLineChars="200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val="en-US" w:eastAsia="zh-CN"/>
        </w:rPr>
        <w:t>6、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近三年内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（从202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年1月1日开始计）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在经营活动中无违法、违规记录的证明文件（信用中国网站（www.creditchina.gov.cn）、中国政府采购网（www.ccgp.gov.cn）、）等政府相关平台公布为准，提供相关截图并加盖公章）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eastAsia="zh-CN"/>
        </w:rPr>
        <w:t>。</w:t>
      </w: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 w:eastAsia="zh-CN"/>
        </w:rPr>
        <w:t>、主要商务要求</w:t>
      </w:r>
    </w:p>
    <w:p>
      <w:pPr>
        <w:spacing w:line="360" w:lineRule="auto"/>
        <w:ind w:firstLine="482" w:firstLineChars="200"/>
        <w:rPr>
          <w:rFonts w:hint="eastAsia" w:ascii="宋体" w:hAnsi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▲</w:t>
      </w:r>
      <w:r>
        <w:rPr>
          <w:rFonts w:hint="default" w:ascii="宋体" w:hAnsi="宋体" w:eastAsia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1、</w:t>
      </w:r>
      <w:r>
        <w:rPr>
          <w:rFonts w:hint="eastAsia" w:ascii="宋体" w:hAnsi="宋体"/>
          <w:b/>
          <w:bCs/>
          <w:color w:val="000000"/>
          <w:sz w:val="24"/>
          <w:szCs w:val="24"/>
          <w:highlight w:val="none"/>
          <w:u w:val="single"/>
          <w:lang w:val="en-US" w:eastAsia="zh-CN"/>
        </w:rPr>
        <w:t>提供报价清单</w:t>
      </w:r>
    </w:p>
    <w:p>
      <w:pPr>
        <w:spacing w:line="360" w:lineRule="auto"/>
        <w:ind w:firstLine="960" w:firstLineChars="400"/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（1）含产品名称、品牌、规格型号、单价等详细信息。</w:t>
      </w:r>
    </w:p>
    <w:p>
      <w:pPr>
        <w:spacing w:line="360" w:lineRule="auto"/>
        <w:ind w:firstLine="960" w:firstLineChars="400"/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（2）报价一览表。</w:t>
      </w:r>
    </w:p>
    <w:p>
      <w:pPr>
        <w:spacing w:line="360" w:lineRule="auto"/>
        <w:ind w:firstLine="960" w:firstLineChars="400"/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highlight w:val="none"/>
          <w:u w:val="none"/>
          <w:lang w:val="en-US" w:eastAsia="zh-CN"/>
        </w:rPr>
        <w:t>（3）全部报价均为税后价，投标总价应包括本项目整个服务期所需的一切费用。</w:t>
      </w:r>
    </w:p>
    <w:p>
      <w:pPr>
        <w:numPr>
          <w:ilvl w:val="0"/>
          <w:numId w:val="0"/>
        </w:numPr>
        <w:spacing w:line="360" w:lineRule="auto"/>
        <w:ind w:firstLine="482" w:firstLineChars="200"/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2、</w:t>
      </w:r>
      <w:r>
        <w:rPr>
          <w:rFonts w:hint="default" w:ascii="宋体" w:hAnsi="宋体" w:eastAsia="宋体"/>
          <w:b/>
          <w:bCs/>
          <w:color w:val="000000"/>
          <w:sz w:val="24"/>
          <w:szCs w:val="24"/>
          <w:lang w:val="en-US" w:eastAsia="zh-CN"/>
        </w:rPr>
        <w:t>付款方式：</w:t>
      </w:r>
    </w:p>
    <w:p>
      <w:pPr>
        <w:numPr>
          <w:ilvl w:val="0"/>
          <w:numId w:val="0"/>
        </w:numPr>
        <w:spacing w:line="360" w:lineRule="auto"/>
        <w:ind w:firstLine="960" w:firstLineChars="4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根据实际用量按实结算（供货数量×中标单价）。</w:t>
      </w:r>
    </w:p>
    <w:p>
      <w:pPr>
        <w:numPr>
          <w:ilvl w:val="0"/>
          <w:numId w:val="0"/>
        </w:numPr>
        <w:spacing w:line="360" w:lineRule="auto"/>
        <w:ind w:firstLine="960" w:firstLineChars="4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注：</w:t>
      </w:r>
      <w:r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  <w:t>结算方式包括：工会提货券结算、食堂饭卡结算、现金结算。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360" w:lineRule="auto"/>
        <w:ind w:right="0" w:rightChars="0" w:firstLine="482" w:firstLineChars="20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Style w:val="20"/>
          <w:rFonts w:hint="eastAsia" w:ascii="宋体" w:hAnsi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3、</w:t>
      </w:r>
      <w:r>
        <w:rPr>
          <w:rStyle w:val="20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服务能力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510" w:leftChars="0" w:right="0" w:rightChars="0" w:firstLine="1440" w:firstLineChars="60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1）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温州市有固定仓储，承诺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服务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期间每日到货率≥95%，缺货需2小时内补货。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510" w:leftChars="0" w:right="0" w:rightChars="0" w:firstLine="1440" w:firstLineChars="60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2）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相关搭棚、背景牌、氛围布置等费用均由各供应商分摊支付。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u w:val="single"/>
          <w:shd w:val="clear" w:fill="FFFFFF"/>
          <w:lang w:val="en-US" w:eastAsia="zh-CN"/>
        </w:rPr>
        <w:t>▲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质量与价格保证：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510" w:leftChars="0" w:right="0" w:rightChars="0" w:firstLine="1440" w:firstLineChars="60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1）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各供应商需保证物品质量，不得超过市场价格，明示折扣价格。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-510" w:leftChars="0" w:right="0" w:rightChars="0" w:firstLine="1440" w:firstLineChars="60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eastAsia="zh-CN"/>
        </w:rPr>
        <w:t>（</w:t>
      </w:r>
      <w:r>
        <w:rPr>
          <w:rFonts w:hint="eastAsia" w:ascii="宋体" w:hAnsi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2）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每家供应商需提供营业执照、签署价格质量保证书。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2" w:firstLineChars="200"/>
        <w:rPr>
          <w:rFonts w:hint="default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5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、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供应商承诺的其他优惠条款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both"/>
        <w:rPr>
          <w:rFonts w:hint="default" w:ascii="宋体" w:hAnsi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bookmarkStart w:id="3" w:name="_GoBack"/>
      <w:bookmarkEnd w:id="3"/>
    </w:p>
    <w:p>
      <w:pPr>
        <w:spacing w:line="360" w:lineRule="auto"/>
        <w:rPr>
          <w:rFonts w:hint="default" w:eastAsia="宋体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报价目录清单</w:t>
      </w:r>
    </w:p>
    <w:p>
      <w:pPr>
        <w:pStyle w:val="4"/>
        <w:spacing w:line="360" w:lineRule="auto"/>
        <w:jc w:val="center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</w:p>
    <w:p>
      <w:pPr>
        <w:pStyle w:val="4"/>
        <w:spacing w:line="360" w:lineRule="auto"/>
        <w:jc w:val="center"/>
        <w:rPr>
          <w:rFonts w:hint="eastAsia" w:ascii="新宋体" w:hAnsi="新宋体" w:eastAsia="新宋体" w:cs="新宋体"/>
          <w:b w:val="0"/>
          <w:bCs/>
          <w:color w:val="auto"/>
          <w:sz w:val="22"/>
          <w:highlight w:val="none"/>
        </w:rPr>
      </w:pPr>
      <w:r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（一）报价一览表</w:t>
      </w:r>
    </w:p>
    <w:p>
      <w:pPr>
        <w:spacing w:line="360" w:lineRule="auto"/>
        <w:ind w:firstLine="440" w:firstLineChars="200"/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18"/>
          <w:highlight w:val="none"/>
        </w:rPr>
        <w:t xml:space="preserve">                       </w:t>
      </w:r>
    </w:p>
    <w:tbl>
      <w:tblPr>
        <w:tblStyle w:val="17"/>
        <w:tblW w:w="11235" w:type="dxa"/>
        <w:tblInd w:w="-84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560"/>
        <w:gridCol w:w="1380"/>
        <w:gridCol w:w="1380"/>
        <w:gridCol w:w="1125"/>
        <w:gridCol w:w="990"/>
        <w:gridCol w:w="1425"/>
        <w:gridCol w:w="825"/>
        <w:gridCol w:w="1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原单价（元）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扣率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…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72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总计价（元）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说明：</w:t>
      </w:r>
    </w:p>
    <w:p>
      <w:pPr>
        <w:spacing w:line="360" w:lineRule="auto"/>
        <w:ind w:firstLine="442" w:firstLineChars="200"/>
        <w:rPr>
          <w:rFonts w:hint="eastAsia" w:ascii="宋体" w:hAnsi="宋体" w:eastAsia="宋体" w:cs="宋体"/>
          <w:b/>
          <w:color w:val="auto"/>
          <w:sz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、全部报价均为税后价。</w:t>
      </w:r>
    </w:p>
    <w:p>
      <w:pPr>
        <w:pStyle w:val="2"/>
        <w:spacing w:line="360" w:lineRule="auto"/>
        <w:ind w:firstLine="442" w:firstLineChars="20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val="en-US" w:eastAsia="zh-CN"/>
        </w:rPr>
        <w:t>2、</w:t>
      </w:r>
      <w:r>
        <w:rPr>
          <w:rFonts w:hint="eastAsia"/>
          <w:sz w:val="22"/>
          <w:szCs w:val="22"/>
        </w:rPr>
        <w:t>投标总价应包括本项目整个服务期所需的一切设备、材料、软硬件、人工、工具、设备、保险、交通、利润、税金（包含须由投标人承担的各种税费）、其它需投标人承担的费用及潜在可能涉及的一切费用。投标人应认真计算可能发生的各相关费用并计入投标报价内，在项目实施过程中不得藉此要求增加任何费用。如上述没有提及但该项目仍需要的内容，请投标人自行考虑一并计入投标报价中（未计入的，视为投标人的优惠）</w:t>
      </w:r>
    </w:p>
    <w:p>
      <w:pPr>
        <w:pStyle w:val="2"/>
        <w:spacing w:line="360" w:lineRule="auto"/>
        <w:ind w:firstLine="442" w:firstLineChars="200"/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</w:rPr>
        <w:t>、不提供此表格将被视为没有实质性响应文件</w:t>
      </w:r>
      <w:r>
        <w:rPr>
          <w:rFonts w:hint="eastAsia" w:ascii="宋体" w:hAnsi="宋体" w:eastAsia="宋体" w:cs="宋体"/>
          <w:b/>
          <w:color w:val="auto"/>
          <w:sz w:val="22"/>
          <w:highlight w:val="none"/>
          <w:lang w:eastAsia="zh-CN"/>
        </w:rPr>
        <w:t>。</w:t>
      </w:r>
    </w:p>
    <w:p>
      <w:pPr>
        <w:spacing w:line="360" w:lineRule="auto"/>
        <w:ind w:firstLine="4400" w:firstLineChars="20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供应商全称（盖章）：</w:t>
      </w:r>
    </w:p>
    <w:p>
      <w:pPr>
        <w:spacing w:line="360" w:lineRule="auto"/>
        <w:ind w:firstLine="4400" w:firstLineChars="2000"/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供应商代表（签字）：</w:t>
      </w:r>
    </w:p>
    <w:p>
      <w:pPr>
        <w:spacing w:line="360" w:lineRule="auto"/>
        <w:ind w:firstLine="4400" w:firstLineChars="2000"/>
        <w:rPr>
          <w:rFonts w:hint="default" w:ascii="宋体" w:hAnsi="宋体" w:eastAsia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none"/>
        </w:rPr>
        <w:t xml:space="preserve">   日  期：   </w:t>
      </w: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</w:pPr>
    </w:p>
    <w:p>
      <w:pPr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b/>
          <w:bCs/>
          <w:color w:val="000000"/>
          <w:sz w:val="28"/>
          <w:szCs w:val="28"/>
        </w:rPr>
        <w:t>、</w:t>
      </w:r>
      <w:r>
        <w:rPr>
          <w:rFonts w:hint="eastAsia" w:ascii="宋体" w:hAnsi="宋体"/>
          <w:b/>
          <w:bCs/>
          <w:color w:val="000000"/>
          <w:sz w:val="28"/>
          <w:szCs w:val="28"/>
          <w:lang w:val="en-US" w:eastAsia="zh-CN"/>
        </w:rPr>
        <w:t>评分细则</w:t>
      </w:r>
    </w:p>
    <w:p>
      <w:pPr>
        <w:spacing w:line="360" w:lineRule="auto"/>
        <w:ind w:firstLine="457" w:firstLineChars="196"/>
        <w:rPr>
          <w:rStyle w:val="20"/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（0-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  <w:t>100</w:t>
      </w:r>
      <w:r>
        <w:rPr>
          <w:rFonts w:hint="eastAsia" w:asciiTheme="minorEastAsia" w:hAnsiTheme="minorEastAsia" w:eastAsiaTheme="minorEastAsia" w:cstheme="minorEastAsia"/>
          <w:b/>
          <w:bCs/>
          <w:spacing w:val="-4"/>
          <w:sz w:val="24"/>
          <w:szCs w:val="24"/>
        </w:rPr>
        <w:t>分）</w:t>
      </w:r>
    </w:p>
    <w:tbl>
      <w:tblPr>
        <w:tblStyle w:val="18"/>
        <w:tblW w:w="10075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995"/>
        <w:gridCol w:w="6045"/>
        <w:gridCol w:w="1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评分内容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评审</w:t>
            </w: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细则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供应商资质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根据供应商提供的资质材料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及企业综合实力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进行打分。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A档：30-20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B档：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-10分；C档：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-0分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/>
                <w:spacing w:val="0"/>
                <w:sz w:val="22"/>
                <w:szCs w:val="22"/>
                <w:shd w:val="clear" w:fill="FFFFFF"/>
              </w:rPr>
              <w:t>品类丰富度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spacing w:line="360" w:lineRule="auto"/>
              <w:ind w:left="105" w:leftChars="50" w:right="10" w:rightChars="5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根据供应商提供的品类进行打分。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A档：30-20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B档：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-10分；C档：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-0分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/>
                <w:spacing w:val="0"/>
                <w:sz w:val="22"/>
                <w:szCs w:val="22"/>
                <w:shd w:val="clear" w:fill="FFFFFF"/>
              </w:rPr>
              <w:t>价格优势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根据供应商提供的价格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/>
                <w:spacing w:val="0"/>
                <w:sz w:val="22"/>
                <w:szCs w:val="22"/>
                <w:shd w:val="clear" w:fill="FFFFFF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进行打分。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A档：20-14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</w:rPr>
              <w:t>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B档：1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-7分；C档：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-0分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D0D0D"/>
                <w:spacing w:val="0"/>
                <w:sz w:val="22"/>
                <w:szCs w:val="22"/>
                <w:shd w:val="clear" w:fill="FFFFFF"/>
              </w:rPr>
              <w:t>质量保障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根据供应商提供的质检报告或品牌授权书等进行打分。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（0—10分）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 w:color="auto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shd w:val="clear" w:color="auto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其他优惠承诺</w:t>
            </w:r>
          </w:p>
        </w:tc>
        <w:tc>
          <w:tcPr>
            <w:tcW w:w="6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none"/>
                <w:shd w:val="clear" w:color="auto" w:fill="auto"/>
                <w:lang w:val="en-US" w:eastAsia="zh-CN"/>
              </w:rPr>
              <w:t>根据供应商提供的优惠承诺进行综合比较打分（0-10分）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分</w:t>
            </w:r>
          </w:p>
        </w:tc>
      </w:tr>
    </w:tbl>
    <w:p>
      <w:pPr>
        <w:pStyle w:val="10"/>
        <w:spacing w:line="360" w:lineRule="auto"/>
        <w:ind w:left="0" w:leftChars="0" w:firstLine="0" w:firstLineChars="0"/>
        <w:rPr>
          <w:rFonts w:hint="default" w:asciiTheme="minorEastAsia" w:hAnsiTheme="minorEastAsia" w:eastAsiaTheme="minorEastAsia" w:cstheme="minorEastAsia"/>
          <w:b/>
          <w:bCs/>
          <w:spacing w:val="-4"/>
          <w:sz w:val="24"/>
          <w:szCs w:val="24"/>
          <w:lang w:val="en-US" w:eastAsia="zh-CN"/>
        </w:rPr>
      </w:pPr>
    </w:p>
    <w:p>
      <w:pPr>
        <w:spacing w:line="360" w:lineRule="auto"/>
        <w:rPr>
          <w:rFonts w:hint="eastAsia" w:ascii="新宋体" w:hAnsi="新宋体" w:eastAsia="新宋体" w:cs="新宋体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>
      <w:pPr>
        <w:pStyle w:val="4"/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</w:p>
    <w:p>
      <w:pPr>
        <w:spacing w:line="360" w:lineRule="auto"/>
        <w:rPr>
          <w:rFonts w:hint="eastAsia"/>
          <w:lang w:val="en-US" w:eastAsia="zh-CN"/>
        </w:rPr>
      </w:pPr>
    </w:p>
    <w:p>
      <w:pPr>
        <w:pStyle w:val="10"/>
        <w:spacing w:line="360" w:lineRule="auto"/>
        <w:ind w:left="0" w:leftChars="0" w:firstLine="0" w:firstLineChars="0"/>
        <w:rPr>
          <w:rFonts w:hint="eastAsia"/>
        </w:rPr>
      </w:pPr>
    </w:p>
    <w:p>
      <w:pPr>
        <w:pStyle w:val="10"/>
        <w:spacing w:line="360" w:lineRule="auto"/>
        <w:rPr>
          <w:rFonts w:hint="eastAsia"/>
        </w:rPr>
      </w:pPr>
    </w:p>
    <w:p>
      <w:pPr>
        <w:pStyle w:val="10"/>
        <w:spacing w:line="360" w:lineRule="auto"/>
        <w:rPr>
          <w:rFonts w:hint="eastAsia"/>
        </w:rPr>
      </w:pPr>
    </w:p>
    <w:p>
      <w:pPr>
        <w:pStyle w:val="10"/>
        <w:spacing w:line="360" w:lineRule="auto"/>
        <w:rPr>
          <w:rFonts w:hint="eastAsia"/>
        </w:rPr>
      </w:pPr>
    </w:p>
    <w:p>
      <w:pPr>
        <w:pStyle w:val="10"/>
        <w:spacing w:line="360" w:lineRule="auto"/>
        <w:rPr>
          <w:rFonts w:hint="eastAsia"/>
        </w:rPr>
      </w:pPr>
    </w:p>
    <w:p>
      <w:pPr>
        <w:pStyle w:val="10"/>
        <w:spacing w:line="360" w:lineRule="auto"/>
        <w:ind w:left="0" w:leftChars="0" w:firstLine="0" w:firstLineChars="0"/>
        <w:rPr>
          <w:rFonts w:hint="eastAsia"/>
        </w:rPr>
      </w:pPr>
    </w:p>
    <w:p>
      <w:pPr>
        <w:widowControl w:val="0"/>
        <w:numPr>
          <w:ilvl w:val="0"/>
          <w:numId w:val="0"/>
        </w:numPr>
        <w:spacing w:line="360" w:lineRule="auto"/>
        <w:jc w:val="left"/>
        <w:rPr>
          <w:sz w:val="24"/>
        </w:rPr>
      </w:pPr>
    </w:p>
    <w:p>
      <w:pPr>
        <w:spacing w:line="360" w:lineRule="auto"/>
        <w:rPr>
          <w:rFonts w:hint="eastAsia"/>
        </w:rPr>
      </w:pPr>
    </w:p>
    <w:sectPr>
      <w:footerReference r:id="rId3" w:type="default"/>
      <w:pgSz w:w="11906" w:h="16838"/>
      <w:pgMar w:top="850" w:right="1236" w:bottom="85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>
                <w:pPr>
                  <w:pStyle w:val="12"/>
                  <w:jc w:val="center"/>
                </w:pPr>
                <w:r>
                  <w:fldChar w:fldCharType="begin"/>
                </w:r>
                <w:r>
                  <w:instrText xml:space="preserve">PAGE   \* MERGEFORMAT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40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97C9E"/>
    <w:multiLevelType w:val="multilevel"/>
    <w:tmpl w:val="5D497C9E"/>
    <w:lvl w:ilvl="0" w:tentative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hint="default" w:ascii="Times New Roman" w:hAnsi="Times New Roman" w:eastAsia="黑体"/>
        <w:b/>
        <w:i w:val="0"/>
        <w:sz w:val="32"/>
        <w:szCs w:val="32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IzN2FlZGQyNmExMDc1YTc1OWIxYmFlNmE1NTFhMTUifQ=="/>
  </w:docVars>
  <w:rsids>
    <w:rsidRoot w:val="442D7AA8"/>
    <w:rsid w:val="000838A3"/>
    <w:rsid w:val="0029760C"/>
    <w:rsid w:val="003D41C7"/>
    <w:rsid w:val="003E091A"/>
    <w:rsid w:val="00537F7B"/>
    <w:rsid w:val="005D6C7D"/>
    <w:rsid w:val="0077449E"/>
    <w:rsid w:val="009C732C"/>
    <w:rsid w:val="00A81427"/>
    <w:rsid w:val="00BD504C"/>
    <w:rsid w:val="00DB7EDC"/>
    <w:rsid w:val="00FA6B75"/>
    <w:rsid w:val="03BC4EA5"/>
    <w:rsid w:val="03C84B20"/>
    <w:rsid w:val="04B15D87"/>
    <w:rsid w:val="05F84806"/>
    <w:rsid w:val="061E2864"/>
    <w:rsid w:val="064061DE"/>
    <w:rsid w:val="076646E5"/>
    <w:rsid w:val="084B5379"/>
    <w:rsid w:val="09CB578A"/>
    <w:rsid w:val="0AB11180"/>
    <w:rsid w:val="0F427144"/>
    <w:rsid w:val="0F9C6A6C"/>
    <w:rsid w:val="1124087B"/>
    <w:rsid w:val="15F0193F"/>
    <w:rsid w:val="16586A57"/>
    <w:rsid w:val="16EF2001"/>
    <w:rsid w:val="17B96491"/>
    <w:rsid w:val="18274052"/>
    <w:rsid w:val="19A0443E"/>
    <w:rsid w:val="1B951E05"/>
    <w:rsid w:val="1CA644AD"/>
    <w:rsid w:val="1ED3428B"/>
    <w:rsid w:val="203F5CE6"/>
    <w:rsid w:val="204B32BB"/>
    <w:rsid w:val="2195168A"/>
    <w:rsid w:val="252A6495"/>
    <w:rsid w:val="25900E53"/>
    <w:rsid w:val="26614AE7"/>
    <w:rsid w:val="26A36964"/>
    <w:rsid w:val="26D9654C"/>
    <w:rsid w:val="2A061B01"/>
    <w:rsid w:val="2A6B7798"/>
    <w:rsid w:val="2A6D24D2"/>
    <w:rsid w:val="2C0B329E"/>
    <w:rsid w:val="2DCF6290"/>
    <w:rsid w:val="2EE23DA1"/>
    <w:rsid w:val="31C16B04"/>
    <w:rsid w:val="32E87DD1"/>
    <w:rsid w:val="33F15215"/>
    <w:rsid w:val="35584BB1"/>
    <w:rsid w:val="368048EA"/>
    <w:rsid w:val="36F20F59"/>
    <w:rsid w:val="36FF0897"/>
    <w:rsid w:val="38473A9D"/>
    <w:rsid w:val="38620F4A"/>
    <w:rsid w:val="3A5C534F"/>
    <w:rsid w:val="3AA307AA"/>
    <w:rsid w:val="3D4A148F"/>
    <w:rsid w:val="3D766728"/>
    <w:rsid w:val="3F351791"/>
    <w:rsid w:val="42417305"/>
    <w:rsid w:val="43F47C2B"/>
    <w:rsid w:val="442D7AA8"/>
    <w:rsid w:val="45043178"/>
    <w:rsid w:val="45B222C8"/>
    <w:rsid w:val="46AB0BAA"/>
    <w:rsid w:val="4AB364B3"/>
    <w:rsid w:val="4B2C08F7"/>
    <w:rsid w:val="4B86017E"/>
    <w:rsid w:val="4BB26B7D"/>
    <w:rsid w:val="4F835253"/>
    <w:rsid w:val="50014B90"/>
    <w:rsid w:val="50430A48"/>
    <w:rsid w:val="51776B88"/>
    <w:rsid w:val="52957526"/>
    <w:rsid w:val="539C47DE"/>
    <w:rsid w:val="550B72FE"/>
    <w:rsid w:val="57A36574"/>
    <w:rsid w:val="58D72375"/>
    <w:rsid w:val="5A1D1FAE"/>
    <w:rsid w:val="5B543051"/>
    <w:rsid w:val="5D2B41A3"/>
    <w:rsid w:val="5DAF6DF6"/>
    <w:rsid w:val="5EEC01A1"/>
    <w:rsid w:val="61165EE3"/>
    <w:rsid w:val="61E865CA"/>
    <w:rsid w:val="63750765"/>
    <w:rsid w:val="64607667"/>
    <w:rsid w:val="64F466B7"/>
    <w:rsid w:val="654C0859"/>
    <w:rsid w:val="658A4855"/>
    <w:rsid w:val="65B0017A"/>
    <w:rsid w:val="677734BF"/>
    <w:rsid w:val="68EA35C9"/>
    <w:rsid w:val="6AD77E43"/>
    <w:rsid w:val="6DFA1504"/>
    <w:rsid w:val="6FA3415F"/>
    <w:rsid w:val="712E3A4E"/>
    <w:rsid w:val="71BA3A22"/>
    <w:rsid w:val="71CD3E62"/>
    <w:rsid w:val="724D0AFE"/>
    <w:rsid w:val="72E83474"/>
    <w:rsid w:val="72F62F44"/>
    <w:rsid w:val="75A35A24"/>
    <w:rsid w:val="78362761"/>
    <w:rsid w:val="78BC52C2"/>
    <w:rsid w:val="79F966D5"/>
    <w:rsid w:val="7D531607"/>
    <w:rsid w:val="7DBF4FA6"/>
    <w:rsid w:val="7E036272"/>
    <w:rsid w:val="7E325778"/>
    <w:rsid w:val="7E7A2C7B"/>
    <w:rsid w:val="7EEE556E"/>
    <w:rsid w:val="7EFA0DDF"/>
    <w:rsid w:val="7F0817C6"/>
    <w:rsid w:val="7FAE61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autoRedefine/>
    <w:qFormat/>
    <w:uiPriority w:val="9"/>
    <w:pPr>
      <w:keepNext/>
      <w:keepLines/>
      <w:tabs>
        <w:tab w:val="left" w:pos="840"/>
      </w:tabs>
      <w:adjustRightInd w:val="0"/>
      <w:snapToGrid w:val="0"/>
      <w:spacing w:line="360" w:lineRule="auto"/>
      <w:outlineLvl w:val="0"/>
    </w:pPr>
    <w:rPr>
      <w:rFonts w:ascii="宋体"/>
      <w:b/>
      <w:kern w:val="44"/>
      <w:sz w:val="24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line="540" w:lineRule="atLeast"/>
      <w:outlineLvl w:val="3"/>
    </w:pPr>
    <w:rPr>
      <w:sz w:val="28"/>
      <w:szCs w:val="28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autoRedefine/>
    <w:qFormat/>
    <w:uiPriority w:val="0"/>
    <w:pPr>
      <w:ind w:firstLine="420"/>
    </w:pPr>
    <w:rPr>
      <w:szCs w:val="20"/>
    </w:rPr>
  </w:style>
  <w:style w:type="paragraph" w:styleId="6">
    <w:name w:val="Body Text"/>
    <w:basedOn w:val="1"/>
    <w:next w:val="7"/>
    <w:autoRedefine/>
    <w:qFormat/>
    <w:uiPriority w:val="0"/>
    <w:pPr>
      <w:spacing w:after="120" w:afterLines="0"/>
    </w:pPr>
  </w:style>
  <w:style w:type="paragraph" w:styleId="7">
    <w:name w:val="Body Text First Indent"/>
    <w:basedOn w:val="6"/>
    <w:next w:val="8"/>
    <w:autoRedefine/>
    <w:qFormat/>
    <w:uiPriority w:val="0"/>
    <w:pPr>
      <w:ind w:firstLine="420" w:firstLineChars="100"/>
    </w:pPr>
    <w:rPr>
      <w:b/>
      <w:bCs/>
      <w:szCs w:val="24"/>
    </w:rPr>
  </w:style>
  <w:style w:type="paragraph" w:styleId="8">
    <w:name w:val="toc 6"/>
    <w:basedOn w:val="1"/>
    <w:next w:val="1"/>
    <w:autoRedefine/>
    <w:qFormat/>
    <w:uiPriority w:val="0"/>
    <w:pPr>
      <w:ind w:left="2100" w:leftChars="1000"/>
    </w:pPr>
  </w:style>
  <w:style w:type="paragraph" w:styleId="9">
    <w:name w:val="Body Text Indent"/>
    <w:basedOn w:val="1"/>
    <w:next w:val="10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  <w14:ligatures w14:val="none"/>
    </w:rPr>
  </w:style>
  <w:style w:type="paragraph" w:styleId="10">
    <w:name w:val="Body Text First Indent 2"/>
    <w:basedOn w:val="9"/>
    <w:autoRedefine/>
    <w:qFormat/>
    <w:uiPriority w:val="0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11">
    <w:name w:val="Plain Text"/>
    <w:basedOn w:val="1"/>
    <w:autoRedefine/>
    <w:qFormat/>
    <w:uiPriority w:val="0"/>
    <w:pPr>
      <w:spacing w:beforeLines="50" w:afterLines="50" w:line="400" w:lineRule="exact"/>
    </w:pPr>
    <w:rPr>
      <w:rFonts w:ascii="宋体" w:hAnsi="Courier New"/>
      <w:sz w:val="24"/>
    </w:rPr>
  </w:style>
  <w:style w:type="paragraph" w:styleId="12">
    <w:name w:val="footer"/>
    <w:basedOn w:val="1"/>
    <w:link w:val="2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spacing w:before="120" w:after="120" w:line="360" w:lineRule="auto"/>
      <w:jc w:val="left"/>
    </w:pPr>
    <w:rPr>
      <w:b/>
      <w:bCs/>
      <w:caps/>
      <w:sz w:val="24"/>
      <w:szCs w:val="20"/>
    </w:rPr>
  </w:style>
  <w:style w:type="paragraph" w:styleId="1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basedOn w:val="1"/>
    <w:next w:val="1"/>
    <w:autoRedefine/>
    <w:qFormat/>
    <w:uiPriority w:val="0"/>
    <w:pPr>
      <w:jc w:val="center"/>
    </w:pPr>
    <w:rPr>
      <w:rFonts w:ascii="Arial" w:hAnsi="Arial" w:eastAsia="宋体"/>
      <w:b/>
      <w:kern w:val="0"/>
      <w:sz w:val="36"/>
      <w:szCs w:val="20"/>
      <w:lang w:eastAsia="en-US"/>
      <w14:ligatures w14:val="none"/>
    </w:rPr>
  </w:style>
  <w:style w:type="table" w:styleId="18">
    <w:name w:val="Table Grid"/>
    <w:autoRedefine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autoRedefine/>
    <w:qFormat/>
    <w:uiPriority w:val="22"/>
    <w:rPr>
      <w:b/>
    </w:rPr>
  </w:style>
  <w:style w:type="character" w:styleId="21">
    <w:name w:val="page number"/>
    <w:autoRedefine/>
    <w:qFormat/>
    <w:uiPriority w:val="0"/>
  </w:style>
  <w:style w:type="paragraph" w:customStyle="1" w:styleId="22">
    <w:name w:val="BodyText1I"/>
    <w:basedOn w:val="23"/>
    <w:autoRedefine/>
    <w:qFormat/>
    <w:uiPriority w:val="0"/>
    <w:pPr>
      <w:ind w:firstLine="420" w:firstLineChars="100"/>
    </w:pPr>
  </w:style>
  <w:style w:type="paragraph" w:customStyle="1" w:styleId="23">
    <w:name w:val="BodyText"/>
    <w:basedOn w:val="1"/>
    <w:autoRedefine/>
    <w:qFormat/>
    <w:uiPriority w:val="0"/>
    <w:pPr>
      <w:spacing w:after="120"/>
    </w:pPr>
  </w:style>
  <w:style w:type="paragraph" w:customStyle="1" w:styleId="24">
    <w:name w:val="表格文字"/>
    <w:basedOn w:val="1"/>
    <w:next w:val="6"/>
    <w:autoRedefine/>
    <w:qFormat/>
    <w:uiPriority w:val="0"/>
    <w:pPr>
      <w:autoSpaceDE w:val="0"/>
      <w:autoSpaceDN w:val="0"/>
      <w:adjustRightInd w:val="0"/>
      <w:spacing w:line="420" w:lineRule="atLeast"/>
      <w:jc w:val="left"/>
      <w:textAlignment w:val="baseline"/>
    </w:pPr>
    <w:rPr>
      <w:rFonts w:hAnsi="宋体" w:cs="宋体"/>
      <w:kern w:val="0"/>
      <w:sz w:val="22"/>
      <w:lang w:val="zh-CN" w:bidi="zh-CN"/>
    </w:rPr>
  </w:style>
  <w:style w:type="character" w:customStyle="1" w:styleId="25">
    <w:name w:val="页眉 Char"/>
    <w:basedOn w:val="19"/>
    <w:link w:val="13"/>
    <w:autoRedefine/>
    <w:qFormat/>
    <w:uiPriority w:val="0"/>
    <w:rPr>
      <w:kern w:val="2"/>
      <w:sz w:val="18"/>
      <w:szCs w:val="18"/>
    </w:rPr>
  </w:style>
  <w:style w:type="character" w:customStyle="1" w:styleId="26">
    <w:name w:val="页脚 Char"/>
    <w:basedOn w:val="19"/>
    <w:link w:val="12"/>
    <w:autoRedefine/>
    <w:qFormat/>
    <w:uiPriority w:val="0"/>
    <w:rPr>
      <w:kern w:val="2"/>
      <w:sz w:val="18"/>
      <w:szCs w:val="18"/>
    </w:rPr>
  </w:style>
  <w:style w:type="paragraph" w:styleId="27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列出段落1"/>
    <w:basedOn w:val="1"/>
    <w:autoRedefine/>
    <w:qFormat/>
    <w:uiPriority w:val="0"/>
    <w:pPr>
      <w:widowControl/>
      <w:spacing w:after="160" w:line="360" w:lineRule="auto"/>
      <w:ind w:left="720"/>
      <w:contextualSpacing/>
      <w:jc w:val="left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2033</Words>
  <Characters>2299</Characters>
  <Lines>17</Lines>
  <Paragraphs>4</Paragraphs>
  <TotalTime>14</TotalTime>
  <ScaleCrop>false</ScaleCrop>
  <LinksUpToDate>false</LinksUpToDate>
  <CharactersWithSpaces>2342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2019-08-15T01:42:00Z</dcterms:created>
  <dc:creator>小米</dc:creator>
  <cp:lastModifiedBy>市渔业应急处置指挥中心</cp:lastModifiedBy>
  <dcterms:modified xsi:type="dcterms:W3CDTF">2026-01-16T06:16:04Z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BDC350B777C44DFDACB8FBB696258D1E</vt:lpwstr>
  </property>
</Properties>
</file>