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clear" w:pos="840"/>
        </w:tabs>
        <w:adjustRightInd/>
        <w:snapToGrid/>
        <w:spacing w:before="120" w:after="120" w:line="300" w:lineRule="exact"/>
        <w:jc w:val="center"/>
        <w:rPr>
          <w:rFonts w:hint="eastAsia"/>
          <w:b/>
          <w:bCs/>
          <w:sz w:val="40"/>
          <w:szCs w:val="40"/>
        </w:rPr>
      </w:pPr>
      <w:bookmarkStart w:id="0" w:name="_Toc451522337"/>
      <w:r>
        <w:rPr>
          <w:rFonts w:hint="eastAsia" w:ascii="宋体" w:hAnsi="宋体" w:eastAsia="宋体" w:cs="宋体"/>
          <w:color w:val="000000"/>
          <w:sz w:val="40"/>
          <w:szCs w:val="40"/>
        </w:rPr>
        <w:t>温州市中医院</w:t>
      </w:r>
      <w:bookmarkEnd w:id="0"/>
      <w:r>
        <w:rPr>
          <w:rFonts w:hint="eastAsia" w:hAnsi="宋体" w:cs="宋体"/>
          <w:color w:val="000000"/>
          <w:sz w:val="40"/>
          <w:szCs w:val="40"/>
          <w:lang w:val="en-US" w:eastAsia="zh-CN"/>
        </w:rPr>
        <w:t>投影仪采购</w:t>
      </w:r>
      <w:r>
        <w:rPr>
          <w:rFonts w:hint="eastAsia" w:ascii="宋体" w:hAnsi="宋体" w:eastAsia="宋体" w:cs="宋体"/>
          <w:color w:val="000000"/>
          <w:sz w:val="40"/>
          <w:szCs w:val="40"/>
          <w:lang w:val="en-US" w:eastAsia="zh-CN"/>
        </w:rPr>
        <w:t>文件</w:t>
      </w:r>
    </w:p>
    <w:p>
      <w:pPr>
        <w:spacing w:line="360" w:lineRule="auto"/>
        <w:rPr>
          <w:rFonts w:hint="eastAsia"/>
          <w:b/>
          <w:bCs/>
          <w:sz w:val="28"/>
          <w:szCs w:val="28"/>
        </w:rPr>
      </w:pPr>
      <w:r>
        <w:rPr>
          <w:rFonts w:hint="eastAsia"/>
          <w:b/>
          <w:bCs/>
          <w:sz w:val="28"/>
          <w:szCs w:val="28"/>
        </w:rPr>
        <w:t>一、项目概况</w:t>
      </w:r>
    </w:p>
    <w:p>
      <w:pPr>
        <w:spacing w:line="360" w:lineRule="auto"/>
        <w:ind w:firstLine="480" w:firstLineChars="200"/>
        <w:rPr>
          <w:rFonts w:hint="eastAsia" w:ascii="宋体" w:hAnsi="宋体" w:eastAsia="宋体" w:cs="宋体"/>
          <w:b w:val="0"/>
          <w:bCs w:val="0"/>
          <w:sz w:val="24"/>
          <w:u w:val="none"/>
          <w:lang w:val="en-US" w:eastAsia="zh-CN"/>
        </w:rPr>
      </w:pPr>
      <w:r>
        <w:rPr>
          <w:rFonts w:hint="eastAsia" w:ascii="宋体" w:hAnsi="宋体" w:eastAsia="宋体" w:cs="宋体"/>
          <w:sz w:val="24"/>
          <w:szCs w:val="24"/>
          <w:lang w:val="en-US" w:eastAsia="zh-CN"/>
        </w:rPr>
        <w:t>项目名称</w:t>
      </w:r>
      <w:r>
        <w:rPr>
          <w:rFonts w:hint="eastAsia" w:ascii="宋体" w:hAnsi="宋体" w:eastAsia="宋体" w:cs="宋体"/>
          <w:sz w:val="24"/>
          <w:szCs w:val="24"/>
        </w:rPr>
        <w:t>：</w:t>
      </w:r>
      <w:bookmarkStart w:id="1" w:name="OLE_LINK2"/>
      <w:r>
        <w:rPr>
          <w:rFonts w:hint="eastAsia" w:ascii="宋体" w:hAnsi="宋体" w:eastAsia="宋体" w:cs="宋体"/>
          <w:b w:val="0"/>
          <w:bCs w:val="0"/>
          <w:sz w:val="24"/>
          <w:szCs w:val="24"/>
          <w:lang w:val="en-US" w:eastAsia="zh-Hans"/>
        </w:rPr>
        <w:t>温州市中医院</w:t>
      </w:r>
      <w:bookmarkStart w:id="2" w:name="OLE_LINK1"/>
      <w:r>
        <w:rPr>
          <w:rFonts w:hint="eastAsia" w:ascii="宋体" w:hAnsi="宋体" w:eastAsia="宋体" w:cs="宋体"/>
          <w:b w:val="0"/>
          <w:bCs w:val="0"/>
          <w:sz w:val="24"/>
          <w:u w:val="none"/>
          <w:lang w:val="en-US" w:eastAsia="zh-CN"/>
        </w:rPr>
        <w:t>投影仪采购</w:t>
      </w:r>
      <w:bookmarkEnd w:id="1"/>
      <w:bookmarkEnd w:id="2"/>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采购方式：公开遴选（非政府采购）</w:t>
      </w:r>
    </w:p>
    <w:p>
      <w:pPr>
        <w:pStyle w:val="8"/>
        <w:spacing w:line="360" w:lineRule="auto"/>
        <w:ind w:left="0" w:leftChars="0" w:firstLine="480" w:firstLineChars="200"/>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预算金额：</w:t>
      </w:r>
      <w:r>
        <w:rPr>
          <w:rFonts w:hint="eastAsia" w:ascii="宋体" w:hAnsi="宋体" w:eastAsia="宋体" w:cs="宋体"/>
          <w:b w:val="0"/>
          <w:bCs w:val="0"/>
          <w:sz w:val="24"/>
          <w:szCs w:val="24"/>
          <w:lang w:val="en-US" w:eastAsia="zh-CN"/>
        </w:rPr>
        <w:t>16000元</w:t>
      </w:r>
    </w:p>
    <w:p>
      <w:pPr>
        <w:pStyle w:val="8"/>
        <w:numPr>
          <w:ilvl w:val="0"/>
          <w:numId w:val="2"/>
        </w:numPr>
        <w:spacing w:line="360" w:lineRule="auto"/>
        <w:ind w:firstLine="0" w:firstLineChars="0"/>
        <w:rPr>
          <w:rFonts w:hint="default" w:ascii="宋体" w:hAnsi="宋体" w:eastAsia="宋体" w:cs="宋体"/>
          <w:sz w:val="24"/>
          <w:lang w:val="en-US" w:eastAsia="zh-CN"/>
        </w:rPr>
      </w:pPr>
      <w:r>
        <w:rPr>
          <w:rFonts w:hint="eastAsia" w:ascii="宋体" w:hAnsi="宋体" w:eastAsia="宋体" w:cs="宋体"/>
          <w:b/>
          <w:bCs/>
          <w:sz w:val="28"/>
          <w:szCs w:val="28"/>
          <w:lang w:val="en-US" w:eastAsia="zh-CN"/>
        </w:rPr>
        <w:t>项目内容及要求</w:t>
      </w:r>
      <w:r>
        <w:rPr>
          <w:rFonts w:hint="eastAsia" w:ascii="宋体" w:hAnsi="宋体" w:eastAsia="宋体" w:cs="宋体"/>
          <w:b/>
          <w:bCs/>
          <w:sz w:val="28"/>
          <w:szCs w:val="28"/>
        </w:rPr>
        <w:t>：</w:t>
      </w:r>
    </w:p>
    <w:tbl>
      <w:tblPr>
        <w:tblStyle w:val="15"/>
        <w:tblW w:w="11025" w:type="dxa"/>
        <w:tblInd w:w="-8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098"/>
        <w:gridCol w:w="691"/>
        <w:gridCol w:w="797"/>
        <w:gridCol w:w="4827"/>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42" w:type="dxa"/>
            <w:vAlign w:val="center"/>
          </w:tcPr>
          <w:p>
            <w:pPr>
              <w:spacing w:line="240" w:lineRule="auto"/>
              <w:jc w:val="center"/>
              <w:rPr>
                <w:rFonts w:hint="default"/>
                <w:b/>
                <w:bCs/>
                <w:color w:val="000000" w:themeColor="text1"/>
                <w:u w:val="none"/>
                <w:vertAlign w:val="baseline"/>
                <w:lang w:val="en-US" w:eastAsia="zh-CN"/>
                <w14:textFill>
                  <w14:solidFill>
                    <w14:schemeClr w14:val="tx1"/>
                  </w14:solidFill>
                </w14:textFill>
              </w:rPr>
            </w:pPr>
            <w:bookmarkStart w:id="3" w:name="OLE_LINK24"/>
            <w:r>
              <w:rPr>
                <w:rFonts w:hint="eastAsia"/>
                <w:b/>
                <w:bCs/>
                <w:color w:val="000000" w:themeColor="text1"/>
                <w:u w:val="none"/>
                <w:vertAlign w:val="baseline"/>
                <w:lang w:val="en-US" w:eastAsia="zh-CN"/>
                <w14:textFill>
                  <w14:solidFill>
                    <w14:schemeClr w14:val="tx1"/>
                  </w14:solidFill>
                </w14:textFill>
              </w:rPr>
              <w:t>序号</w:t>
            </w:r>
          </w:p>
        </w:tc>
        <w:tc>
          <w:tcPr>
            <w:tcW w:w="1098" w:type="dxa"/>
            <w:vAlign w:val="center"/>
          </w:tcPr>
          <w:p>
            <w:pPr>
              <w:spacing w:line="240" w:lineRule="auto"/>
              <w:jc w:val="center"/>
              <w:rPr>
                <w:rFonts w:hint="default"/>
                <w:b/>
                <w:bCs/>
                <w:color w:val="000000" w:themeColor="text1"/>
                <w:u w:val="none"/>
                <w:vertAlign w:val="baseline"/>
                <w:lang w:val="en-US" w:eastAsia="zh-CN"/>
                <w14:textFill>
                  <w14:solidFill>
                    <w14:schemeClr w14:val="tx1"/>
                  </w14:solidFill>
                </w14:textFill>
              </w:rPr>
            </w:pPr>
            <w:r>
              <w:rPr>
                <w:rFonts w:hint="eastAsia"/>
                <w:b/>
                <w:bCs/>
                <w:color w:val="000000" w:themeColor="text1"/>
                <w:u w:val="none"/>
                <w:vertAlign w:val="baseline"/>
                <w:lang w:val="en-US" w:eastAsia="zh-CN"/>
                <w14:textFill>
                  <w14:solidFill>
                    <w14:schemeClr w14:val="tx1"/>
                  </w14:solidFill>
                </w14:textFill>
              </w:rPr>
              <w:t>名称</w:t>
            </w:r>
          </w:p>
        </w:tc>
        <w:tc>
          <w:tcPr>
            <w:tcW w:w="691" w:type="dxa"/>
            <w:vAlign w:val="center"/>
          </w:tcPr>
          <w:p>
            <w:pPr>
              <w:spacing w:line="240" w:lineRule="auto"/>
              <w:jc w:val="center"/>
              <w:rPr>
                <w:rFonts w:hint="default"/>
                <w:b/>
                <w:bCs/>
                <w:color w:val="000000" w:themeColor="text1"/>
                <w:u w:val="none"/>
                <w:vertAlign w:val="baseline"/>
                <w:lang w:val="en-US" w:eastAsia="zh-CN"/>
                <w14:textFill>
                  <w14:solidFill>
                    <w14:schemeClr w14:val="tx1"/>
                  </w14:solidFill>
                </w14:textFill>
              </w:rPr>
            </w:pPr>
            <w:r>
              <w:rPr>
                <w:rFonts w:hint="eastAsia"/>
                <w:b/>
                <w:bCs/>
                <w:color w:val="000000" w:themeColor="text1"/>
                <w:u w:val="none"/>
                <w:vertAlign w:val="baseline"/>
                <w:lang w:val="en-US" w:eastAsia="zh-CN"/>
                <w14:textFill>
                  <w14:solidFill>
                    <w14:schemeClr w14:val="tx1"/>
                  </w14:solidFill>
                </w14:textFill>
              </w:rPr>
              <w:t>单位</w:t>
            </w:r>
          </w:p>
        </w:tc>
        <w:tc>
          <w:tcPr>
            <w:tcW w:w="797" w:type="dxa"/>
            <w:vAlign w:val="center"/>
          </w:tcPr>
          <w:p>
            <w:pPr>
              <w:spacing w:line="240" w:lineRule="auto"/>
              <w:jc w:val="center"/>
              <w:rPr>
                <w:rFonts w:hint="default"/>
                <w:b/>
                <w:bCs/>
                <w:color w:val="000000" w:themeColor="text1"/>
                <w:u w:val="none"/>
                <w:vertAlign w:val="baseline"/>
                <w:lang w:val="en-US" w:eastAsia="zh-CN"/>
                <w14:textFill>
                  <w14:solidFill>
                    <w14:schemeClr w14:val="tx1"/>
                  </w14:solidFill>
                </w14:textFill>
              </w:rPr>
            </w:pPr>
            <w:r>
              <w:rPr>
                <w:rFonts w:hint="eastAsia"/>
                <w:b/>
                <w:bCs/>
                <w:color w:val="000000" w:themeColor="text1"/>
                <w:u w:val="none"/>
                <w:vertAlign w:val="baseline"/>
                <w:lang w:val="en-US" w:eastAsia="zh-CN"/>
                <w14:textFill>
                  <w14:solidFill>
                    <w14:schemeClr w14:val="tx1"/>
                  </w14:solidFill>
                </w14:textFill>
              </w:rPr>
              <w:t>数量</w:t>
            </w:r>
          </w:p>
        </w:tc>
        <w:tc>
          <w:tcPr>
            <w:tcW w:w="4827" w:type="dxa"/>
            <w:vAlign w:val="center"/>
          </w:tcPr>
          <w:p>
            <w:pPr>
              <w:spacing w:line="240" w:lineRule="auto"/>
              <w:jc w:val="center"/>
              <w:rPr>
                <w:rFonts w:hint="default"/>
                <w:b/>
                <w:bCs/>
                <w:color w:val="000000" w:themeColor="text1"/>
                <w:u w:val="none"/>
                <w:vertAlign w:val="baseline"/>
                <w:lang w:val="en-US" w:eastAsia="zh-CN"/>
                <w14:textFill>
                  <w14:solidFill>
                    <w14:schemeClr w14:val="tx1"/>
                  </w14:solidFill>
                </w14:textFill>
              </w:rPr>
            </w:pPr>
            <w:r>
              <w:rPr>
                <w:rFonts w:hint="eastAsia"/>
                <w:b/>
                <w:bCs/>
                <w:color w:val="000000" w:themeColor="text1"/>
                <w:u w:val="none"/>
                <w:vertAlign w:val="baseline"/>
                <w:lang w:val="en-US" w:eastAsia="zh-CN"/>
                <w14:textFill>
                  <w14:solidFill>
                    <w14:schemeClr w14:val="tx1"/>
                  </w14:solidFill>
                </w14:textFill>
              </w:rPr>
              <w:t>技术参数</w:t>
            </w:r>
          </w:p>
        </w:tc>
        <w:tc>
          <w:tcPr>
            <w:tcW w:w="2970" w:type="dxa"/>
            <w:vAlign w:val="center"/>
          </w:tcPr>
          <w:p>
            <w:pPr>
              <w:spacing w:line="240" w:lineRule="auto"/>
              <w:jc w:val="center"/>
              <w:rPr>
                <w:rFonts w:hint="default"/>
                <w:b/>
                <w:bCs/>
                <w:color w:val="000000" w:themeColor="text1"/>
                <w:u w:val="none"/>
                <w:vertAlign w:val="baseline"/>
                <w:lang w:val="en-US" w:eastAsia="zh-CN"/>
                <w14:textFill>
                  <w14:solidFill>
                    <w14:schemeClr w14:val="tx1"/>
                  </w14:solidFill>
                </w14:textFill>
              </w:rPr>
            </w:pPr>
            <w:r>
              <w:rPr>
                <w:rFonts w:hint="eastAsia"/>
                <w:b/>
                <w:bCs/>
                <w:color w:val="000000" w:themeColor="text1"/>
                <w:u w:val="none"/>
                <w:vertAlign w:val="baseline"/>
                <w:lang w:val="en-US" w:eastAsia="zh-CN"/>
                <w14:textFill>
                  <w14:solidFill>
                    <w14:schemeClr w14:val="tx1"/>
                  </w14:solidFill>
                </w14:textFill>
              </w:rPr>
              <w:t>参考图片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0" w:hRule="atLeast"/>
        </w:trPr>
        <w:tc>
          <w:tcPr>
            <w:tcW w:w="642" w:type="dxa"/>
            <w:vAlign w:val="center"/>
          </w:tcPr>
          <w:p>
            <w:pPr>
              <w:spacing w:line="240" w:lineRule="auto"/>
              <w:jc w:val="center"/>
              <w:rPr>
                <w:rFonts w:hint="default"/>
                <w:b/>
                <w:bCs/>
                <w:color w:val="000000" w:themeColor="text1"/>
                <w:u w:val="none"/>
                <w:vertAlign w:val="baseline"/>
                <w:lang w:val="en-US" w:eastAsia="zh-CN"/>
                <w14:textFill>
                  <w14:solidFill>
                    <w14:schemeClr w14:val="tx1"/>
                  </w14:solidFill>
                </w14:textFill>
              </w:rPr>
            </w:pPr>
            <w:r>
              <w:rPr>
                <w:rFonts w:hint="eastAsia"/>
                <w:b/>
                <w:bCs/>
                <w:color w:val="000000" w:themeColor="text1"/>
                <w:u w:val="none"/>
                <w:vertAlign w:val="baseline"/>
                <w:lang w:val="en-US" w:eastAsia="zh-CN"/>
                <w14:textFill>
                  <w14:solidFill>
                    <w14:schemeClr w14:val="tx1"/>
                  </w14:solidFill>
                </w14:textFill>
              </w:rPr>
              <w:t>1</w:t>
            </w:r>
          </w:p>
        </w:tc>
        <w:tc>
          <w:tcPr>
            <w:tcW w:w="1098" w:type="dxa"/>
            <w:vAlign w:val="center"/>
          </w:tcPr>
          <w:p>
            <w:pPr>
              <w:spacing w:line="240" w:lineRule="auto"/>
              <w:jc w:val="center"/>
              <w:rPr>
                <w:rFonts w:hint="default"/>
                <w:b/>
                <w:bCs/>
                <w:color w:val="000000" w:themeColor="text1"/>
                <w:u w:val="none"/>
                <w:vertAlign w:val="baseline"/>
                <w:lang w:val="en-US" w:eastAsia="zh-CN"/>
                <w14:textFill>
                  <w14:solidFill>
                    <w14:schemeClr w14:val="tx1"/>
                  </w14:solidFill>
                </w14:textFill>
              </w:rPr>
            </w:pPr>
            <w:r>
              <w:rPr>
                <w:rFonts w:hint="eastAsia"/>
                <w:b/>
                <w:bCs/>
                <w:color w:val="000000" w:themeColor="text1"/>
                <w:u w:val="none"/>
                <w:vertAlign w:val="baseline"/>
                <w:lang w:val="en-US" w:eastAsia="zh-CN"/>
                <w14:textFill>
                  <w14:solidFill>
                    <w14:schemeClr w14:val="tx1"/>
                  </w14:solidFill>
                </w14:textFill>
              </w:rPr>
              <w:t>投影仪</w:t>
            </w:r>
          </w:p>
        </w:tc>
        <w:tc>
          <w:tcPr>
            <w:tcW w:w="691" w:type="dxa"/>
            <w:vAlign w:val="center"/>
          </w:tcPr>
          <w:p>
            <w:pPr>
              <w:spacing w:line="240" w:lineRule="auto"/>
              <w:jc w:val="center"/>
              <w:rPr>
                <w:rFonts w:hint="default"/>
                <w:b/>
                <w:bCs/>
                <w:color w:val="000000" w:themeColor="text1"/>
                <w:u w:val="none"/>
                <w:vertAlign w:val="baseline"/>
                <w:lang w:val="en-US" w:eastAsia="zh-CN"/>
                <w14:textFill>
                  <w14:solidFill>
                    <w14:schemeClr w14:val="tx1"/>
                  </w14:solidFill>
                </w14:textFill>
              </w:rPr>
            </w:pPr>
            <w:r>
              <w:rPr>
                <w:rFonts w:hint="eastAsia"/>
                <w:b/>
                <w:bCs/>
                <w:color w:val="000000" w:themeColor="text1"/>
                <w:u w:val="none"/>
                <w:vertAlign w:val="baseline"/>
                <w:lang w:val="en-US" w:eastAsia="zh-CN"/>
                <w14:textFill>
                  <w14:solidFill>
                    <w14:schemeClr w14:val="tx1"/>
                  </w14:solidFill>
                </w14:textFill>
              </w:rPr>
              <w:t>台</w:t>
            </w:r>
          </w:p>
        </w:tc>
        <w:tc>
          <w:tcPr>
            <w:tcW w:w="797" w:type="dxa"/>
            <w:vAlign w:val="center"/>
          </w:tcPr>
          <w:p>
            <w:pPr>
              <w:spacing w:line="240" w:lineRule="auto"/>
              <w:jc w:val="center"/>
              <w:rPr>
                <w:rFonts w:hint="default"/>
                <w:b/>
                <w:bCs/>
                <w:color w:val="000000" w:themeColor="text1"/>
                <w:u w:val="none"/>
                <w:vertAlign w:val="baseline"/>
                <w:lang w:val="en-US" w:eastAsia="zh-CN"/>
                <w14:textFill>
                  <w14:solidFill>
                    <w14:schemeClr w14:val="tx1"/>
                  </w14:solidFill>
                </w14:textFill>
              </w:rPr>
            </w:pPr>
            <w:r>
              <w:rPr>
                <w:rFonts w:hint="eastAsia"/>
                <w:b/>
                <w:bCs/>
                <w:color w:val="000000" w:themeColor="text1"/>
                <w:u w:val="none"/>
                <w:vertAlign w:val="baseline"/>
                <w:lang w:val="en-US" w:eastAsia="zh-CN"/>
                <w14:textFill>
                  <w14:solidFill>
                    <w14:schemeClr w14:val="tx1"/>
                  </w14:solidFill>
                </w14:textFill>
              </w:rPr>
              <w:t>4</w:t>
            </w:r>
          </w:p>
        </w:tc>
        <w:tc>
          <w:tcPr>
            <w:tcW w:w="4827" w:type="dxa"/>
            <w:vAlign w:val="center"/>
          </w:tcPr>
          <w:p>
            <w:pPr>
              <w:spacing w:line="360" w:lineRule="auto"/>
              <w:jc w:val="left"/>
              <w:rPr>
                <w:rFonts w:hint="eastAsia" w:ascii="宋体" w:hAnsi="宋体" w:eastAsia="宋体" w:cs="宋体"/>
                <w:b/>
                <w:bCs/>
                <w:color w:val="000000" w:themeColor="text1"/>
                <w:u w:val="none"/>
                <w:vertAlign w:val="baseline"/>
                <w:lang w:val="en-US" w:eastAsia="zh-CN"/>
                <w14:textFill>
                  <w14:solidFill>
                    <w14:schemeClr w14:val="tx1"/>
                  </w14:solidFill>
                </w14:textFill>
              </w:rPr>
            </w:pPr>
            <w:r>
              <w:rPr>
                <w:rFonts w:hint="eastAsia"/>
                <w:b/>
                <w:bCs/>
                <w:color w:val="000000" w:themeColor="text1"/>
                <w:u w:val="none"/>
                <w:vertAlign w:val="baseline"/>
                <w:lang w:val="en-US" w:eastAsia="zh-CN"/>
                <w14:textFill>
                  <w14:solidFill>
                    <w14:schemeClr w14:val="tx1"/>
                  </w14:solidFill>
                </w14:textFill>
              </w:rPr>
              <w:t>1、</w:t>
            </w:r>
            <w:r>
              <w:rPr>
                <w:rFonts w:hint="eastAsia" w:ascii="宋体" w:hAnsi="宋体" w:eastAsia="宋体" w:cs="宋体"/>
                <w:b/>
                <w:bCs/>
                <w:color w:val="000000" w:themeColor="text1"/>
                <w:u w:val="none"/>
                <w:vertAlign w:val="baseline"/>
                <w:lang w:val="en-US" w:eastAsia="zh-CN"/>
                <w14:textFill>
                  <w14:solidFill>
                    <w14:schemeClr w14:val="tx1"/>
                  </w14:solidFill>
                </w14:textFill>
              </w:rPr>
              <w:t>尺寸:0.55英寸</w:t>
            </w:r>
          </w:p>
          <w:p>
            <w:pPr>
              <w:spacing w:line="360" w:lineRule="auto"/>
              <w:jc w:val="left"/>
              <w:rPr>
                <w:rFonts w:hint="eastAsia" w:ascii="宋体" w:hAnsi="宋体" w:eastAsia="宋体" w:cs="宋体"/>
                <w:b/>
                <w:bCs/>
                <w:color w:val="000000" w:themeColor="text1"/>
                <w:u w:val="none"/>
                <w:vertAlign w:val="baseline"/>
                <w:lang w:val="en-US" w:eastAsia="zh-CN"/>
                <w14:textFill>
                  <w14:solidFill>
                    <w14:schemeClr w14:val="tx1"/>
                  </w14:solidFill>
                </w14:textFill>
              </w:rPr>
            </w:pPr>
            <w:r>
              <w:rPr>
                <w:rFonts w:hint="eastAsia" w:ascii="宋体" w:hAnsi="宋体" w:eastAsia="宋体" w:cs="宋体"/>
                <w:b/>
                <w:bCs/>
                <w:color w:val="000000" w:themeColor="text1"/>
                <w:u w:val="none"/>
                <w:vertAlign w:val="baseline"/>
                <w:lang w:val="en-US" w:eastAsia="zh-CN"/>
                <w14:textFill>
                  <w14:solidFill>
                    <w14:schemeClr w14:val="tx1"/>
                  </w14:solidFill>
                </w14:textFill>
              </w:rPr>
              <w:t>2、色彩亮度:</w:t>
            </w:r>
            <w:r>
              <w:rPr>
                <w:rFonts w:hint="default" w:ascii="Arial" w:hAnsi="Arial" w:eastAsia="宋体" w:cs="Arial"/>
                <w:b/>
                <w:bCs/>
                <w:color w:val="000000" w:themeColor="text1"/>
                <w:u w:val="none"/>
                <w:vertAlign w:val="baseline"/>
                <w:lang w:val="en-US" w:eastAsia="zh-CN"/>
                <w14:textFill>
                  <w14:solidFill>
                    <w14:schemeClr w14:val="tx1"/>
                  </w14:solidFill>
                </w14:textFill>
              </w:rPr>
              <w:t>≥</w:t>
            </w:r>
            <w:r>
              <w:rPr>
                <w:rFonts w:hint="eastAsia" w:ascii="宋体" w:hAnsi="宋体" w:eastAsia="宋体" w:cs="宋体"/>
                <w:b/>
                <w:bCs/>
                <w:color w:val="000000" w:themeColor="text1"/>
                <w:u w:val="none"/>
                <w:vertAlign w:val="baseline"/>
                <w:lang w:val="en-US" w:eastAsia="zh-CN"/>
                <w14:textFill>
                  <w14:solidFill>
                    <w14:schemeClr w14:val="tx1"/>
                  </w14:solidFill>
                </w14:textFill>
              </w:rPr>
              <w:t>3600流明.</w:t>
            </w:r>
          </w:p>
          <w:p>
            <w:pPr>
              <w:spacing w:line="360" w:lineRule="auto"/>
              <w:jc w:val="left"/>
              <w:rPr>
                <w:rFonts w:hint="eastAsia" w:ascii="宋体" w:hAnsi="宋体" w:eastAsia="宋体" w:cs="宋体"/>
                <w:b/>
                <w:bCs/>
                <w:color w:val="000000" w:themeColor="text1"/>
                <w:u w:val="none"/>
                <w:vertAlign w:val="baseline"/>
                <w:lang w:val="en-US" w:eastAsia="zh-CN"/>
                <w14:textFill>
                  <w14:solidFill>
                    <w14:schemeClr w14:val="tx1"/>
                  </w14:solidFill>
                </w14:textFill>
              </w:rPr>
            </w:pPr>
            <w:r>
              <w:rPr>
                <w:rFonts w:hint="eastAsia" w:ascii="宋体" w:hAnsi="宋体" w:eastAsia="宋体" w:cs="宋体"/>
                <w:b/>
                <w:bCs/>
                <w:color w:val="000000" w:themeColor="text1"/>
                <w:u w:val="none"/>
                <w:vertAlign w:val="baseline"/>
                <w:lang w:val="en-US" w:eastAsia="zh-CN"/>
                <w14:textFill>
                  <w14:solidFill>
                    <w14:schemeClr w14:val="tx1"/>
                  </w14:solidFill>
                </w14:textFill>
              </w:rPr>
              <w:t>3、分辨率：</w:t>
            </w:r>
            <w:r>
              <w:rPr>
                <w:rFonts w:hint="default" w:ascii="Arial" w:hAnsi="Arial" w:eastAsia="宋体" w:cs="Arial"/>
                <w:b/>
                <w:bCs/>
                <w:color w:val="000000" w:themeColor="text1"/>
                <w:u w:val="none"/>
                <w:vertAlign w:val="baseline"/>
                <w:lang w:val="en-US" w:eastAsia="zh-CN"/>
                <w14:textFill>
                  <w14:solidFill>
                    <w14:schemeClr w14:val="tx1"/>
                  </w14:solidFill>
                </w14:textFill>
              </w:rPr>
              <w:t>≥</w:t>
            </w:r>
            <w:r>
              <w:rPr>
                <w:rFonts w:hint="eastAsia" w:ascii="宋体" w:hAnsi="宋体" w:eastAsia="宋体" w:cs="宋体"/>
                <w:b/>
                <w:bCs/>
                <w:color w:val="000000" w:themeColor="text1"/>
                <w:u w:val="none"/>
                <w:vertAlign w:val="baseline"/>
                <w:lang w:val="en-US" w:eastAsia="zh-CN"/>
                <w14:textFill>
                  <w14:solidFill>
                    <w14:schemeClr w14:val="tx1"/>
                  </w14:solidFill>
                </w14:textFill>
              </w:rPr>
              <w:t xml:space="preserve">1024*768 </w:t>
            </w:r>
          </w:p>
          <w:p>
            <w:pPr>
              <w:spacing w:line="360" w:lineRule="auto"/>
              <w:jc w:val="left"/>
              <w:rPr>
                <w:rFonts w:hint="eastAsia" w:ascii="宋体" w:hAnsi="宋体" w:eastAsia="宋体" w:cs="宋体"/>
                <w:b/>
                <w:bCs/>
                <w:color w:val="000000" w:themeColor="text1"/>
                <w:u w:val="none"/>
                <w:vertAlign w:val="baseline"/>
                <w:lang w:val="en-US" w:eastAsia="zh-CN"/>
                <w14:textFill>
                  <w14:solidFill>
                    <w14:schemeClr w14:val="tx1"/>
                  </w14:solidFill>
                </w14:textFill>
              </w:rPr>
            </w:pPr>
            <w:r>
              <w:rPr>
                <w:rFonts w:hint="eastAsia" w:ascii="宋体" w:hAnsi="宋体" w:eastAsia="宋体" w:cs="宋体"/>
                <w:b/>
                <w:bCs/>
                <w:color w:val="000000" w:themeColor="text1"/>
                <w:u w:val="none"/>
                <w:vertAlign w:val="baseline"/>
                <w:lang w:val="en-US" w:eastAsia="zh-CN"/>
                <w14:textFill>
                  <w14:solidFill>
                    <w14:schemeClr w14:val="tx1"/>
                  </w14:solidFill>
                </w14:textFill>
              </w:rPr>
              <w:t>4、水平梯形校正:±30度垂直梯形校正:±30度</w:t>
            </w:r>
          </w:p>
          <w:p>
            <w:pPr>
              <w:spacing w:line="360" w:lineRule="auto"/>
              <w:jc w:val="left"/>
              <w:rPr>
                <w:rFonts w:hint="eastAsia" w:ascii="宋体" w:hAnsi="宋体" w:eastAsia="宋体" w:cs="宋体"/>
                <w:b/>
                <w:bCs/>
                <w:color w:val="000000" w:themeColor="text1"/>
                <w:u w:val="none"/>
                <w:vertAlign w:val="baseline"/>
                <w:lang w:val="en-US" w:eastAsia="zh-CN"/>
                <w14:textFill>
                  <w14:solidFill>
                    <w14:schemeClr w14:val="tx1"/>
                  </w14:solidFill>
                </w14:textFill>
              </w:rPr>
            </w:pPr>
            <w:r>
              <w:rPr>
                <w:rFonts w:hint="eastAsia" w:ascii="宋体" w:hAnsi="宋体" w:eastAsia="宋体" w:cs="宋体"/>
                <w:b/>
                <w:bCs/>
                <w:color w:val="000000" w:themeColor="text1"/>
                <w:u w:val="none"/>
                <w:vertAlign w:val="baseline"/>
                <w:lang w:val="en-US" w:eastAsia="zh-CN"/>
                <w14:textFill>
                  <w14:solidFill>
                    <w14:schemeClr w14:val="tx1"/>
                  </w14:solidFill>
                </w14:textFill>
              </w:rPr>
              <w:t xml:space="preserve">5、投影镜头 :可实现手动光学变焦/手动聚焦 </w:t>
            </w:r>
          </w:p>
          <w:p>
            <w:pPr>
              <w:spacing w:line="360" w:lineRule="auto"/>
              <w:jc w:val="left"/>
              <w:rPr>
                <w:rFonts w:hint="eastAsia" w:ascii="宋体" w:hAnsi="宋体" w:eastAsia="宋体" w:cs="宋体"/>
                <w:b/>
                <w:bCs/>
                <w:color w:val="000000" w:themeColor="text1"/>
                <w:u w:val="none"/>
                <w:vertAlign w:val="baseline"/>
                <w:lang w:val="en-US" w:eastAsia="zh-CN"/>
                <w14:textFill>
                  <w14:solidFill>
                    <w14:schemeClr w14:val="tx1"/>
                  </w14:solidFill>
                </w14:textFill>
              </w:rPr>
            </w:pPr>
            <w:r>
              <w:rPr>
                <w:rFonts w:hint="eastAsia" w:ascii="宋体" w:hAnsi="宋体" w:eastAsia="宋体" w:cs="宋体"/>
                <w:b/>
                <w:bCs/>
                <w:color w:val="000000" w:themeColor="text1"/>
                <w:u w:val="none"/>
                <w:vertAlign w:val="baseline"/>
                <w:lang w:val="en-US" w:eastAsia="zh-CN"/>
                <w14:textFill>
                  <w14:solidFill>
                    <w14:schemeClr w14:val="tx1"/>
                  </w14:solidFill>
                </w14:textFill>
              </w:rPr>
              <w:t xml:space="preserve">6、聚焦:16.9mm-20.28mm变焦比:1-1.2 </w:t>
            </w:r>
          </w:p>
          <w:p>
            <w:pPr>
              <w:spacing w:line="360" w:lineRule="auto"/>
              <w:jc w:val="left"/>
              <w:rPr>
                <w:rFonts w:hint="eastAsia" w:ascii="宋体" w:hAnsi="宋体" w:eastAsia="宋体" w:cs="宋体"/>
                <w:b/>
                <w:bCs/>
                <w:color w:val="000000" w:themeColor="text1"/>
                <w:u w:val="none"/>
                <w:vertAlign w:val="baseline"/>
                <w:lang w:val="en-US" w:eastAsia="zh-CN"/>
                <w14:textFill>
                  <w14:solidFill>
                    <w14:schemeClr w14:val="tx1"/>
                  </w14:solidFill>
                </w14:textFill>
              </w:rPr>
            </w:pPr>
            <w:r>
              <w:rPr>
                <w:rFonts w:hint="eastAsia" w:ascii="宋体" w:hAnsi="宋体" w:eastAsia="宋体" w:cs="宋体"/>
                <w:b/>
                <w:bCs/>
                <w:color w:val="000000" w:themeColor="text1"/>
                <w:u w:val="none"/>
                <w:vertAlign w:val="baseline"/>
                <w:lang w:val="en-US" w:eastAsia="zh-CN"/>
                <w14:textFill>
                  <w14:solidFill>
                    <w14:schemeClr w14:val="tx1"/>
                  </w14:solidFill>
                </w14:textFill>
              </w:rPr>
              <w:t>7、标准模式:</w:t>
            </w:r>
            <w:r>
              <w:rPr>
                <w:rFonts w:hint="default" w:ascii="Arial" w:hAnsi="Arial" w:eastAsia="宋体" w:cs="Arial"/>
                <w:b/>
                <w:bCs/>
                <w:color w:val="000000" w:themeColor="text1"/>
                <w:u w:val="none"/>
                <w:vertAlign w:val="baseline"/>
                <w:lang w:val="en-US" w:eastAsia="zh-CN"/>
                <w14:textFill>
                  <w14:solidFill>
                    <w14:schemeClr w14:val="tx1"/>
                  </w14:solidFill>
                </w14:textFill>
              </w:rPr>
              <w:t>≥</w:t>
            </w:r>
            <w:r>
              <w:rPr>
                <w:rFonts w:hint="eastAsia" w:ascii="宋体" w:hAnsi="宋体" w:eastAsia="宋体" w:cs="宋体"/>
                <w:b/>
                <w:bCs/>
                <w:color w:val="000000" w:themeColor="text1"/>
                <w:u w:val="none"/>
                <w:vertAlign w:val="baseline"/>
                <w:lang w:val="en-US" w:eastAsia="zh-CN"/>
                <w14:textFill>
                  <w14:solidFill>
                    <w14:schemeClr w14:val="tx1"/>
                  </w14:solidFill>
                </w14:textFill>
              </w:rPr>
              <w:t>6000小时 ECO模式:</w:t>
            </w:r>
            <w:r>
              <w:rPr>
                <w:rFonts w:hint="default" w:ascii="Arial" w:hAnsi="Arial" w:eastAsia="宋体" w:cs="Arial"/>
                <w:b/>
                <w:bCs/>
                <w:color w:val="000000" w:themeColor="text1"/>
                <w:u w:val="none"/>
                <w:vertAlign w:val="baseline"/>
                <w:lang w:val="en-US" w:eastAsia="zh-CN"/>
                <w14:textFill>
                  <w14:solidFill>
                    <w14:schemeClr w14:val="tx1"/>
                  </w14:solidFill>
                </w14:textFill>
              </w:rPr>
              <w:t>≥</w:t>
            </w:r>
            <w:r>
              <w:rPr>
                <w:rFonts w:hint="eastAsia" w:ascii="宋体" w:hAnsi="宋体" w:eastAsia="宋体" w:cs="宋体"/>
                <w:b/>
                <w:bCs/>
                <w:color w:val="000000" w:themeColor="text1"/>
                <w:u w:val="none"/>
                <w:vertAlign w:val="baseline"/>
                <w:lang w:val="en-US" w:eastAsia="zh-CN"/>
                <w14:textFill>
                  <w14:solidFill>
                    <w14:schemeClr w14:val="tx1"/>
                  </w14:solidFill>
                </w14:textFill>
              </w:rPr>
              <w:t>12000小时</w:t>
            </w:r>
          </w:p>
          <w:p>
            <w:pPr>
              <w:spacing w:line="360" w:lineRule="auto"/>
              <w:jc w:val="left"/>
              <w:rPr>
                <w:rFonts w:hint="eastAsia" w:ascii="宋体" w:hAnsi="宋体" w:eastAsia="宋体" w:cs="宋体"/>
                <w:b/>
                <w:bCs/>
                <w:color w:val="000000" w:themeColor="text1"/>
                <w:u w:val="none"/>
                <w:vertAlign w:val="baseline"/>
                <w:lang w:val="en-US" w:eastAsia="zh-CN"/>
                <w14:textFill>
                  <w14:solidFill>
                    <w14:schemeClr w14:val="tx1"/>
                  </w14:solidFill>
                </w14:textFill>
              </w:rPr>
            </w:pPr>
            <w:r>
              <w:rPr>
                <w:rFonts w:hint="eastAsia" w:ascii="宋体" w:hAnsi="宋体" w:eastAsia="宋体" w:cs="宋体"/>
                <w:b/>
                <w:bCs/>
                <w:color w:val="000000" w:themeColor="text1"/>
                <w:u w:val="none"/>
                <w:vertAlign w:val="baseline"/>
                <w:lang w:val="en-US" w:eastAsia="zh-CN"/>
                <w14:textFill>
                  <w14:solidFill>
                    <w14:schemeClr w14:val="tx1"/>
                  </w14:solidFill>
                </w14:textFill>
              </w:rPr>
              <w:t xml:space="preserve">8、投影系统:RGB光阀式液晶投影系统 </w:t>
            </w:r>
          </w:p>
          <w:p>
            <w:pPr>
              <w:spacing w:line="360" w:lineRule="auto"/>
              <w:jc w:val="left"/>
              <w:rPr>
                <w:rFonts w:hint="eastAsia" w:ascii="宋体" w:hAnsi="宋体" w:eastAsia="宋体" w:cs="宋体"/>
                <w:b/>
                <w:bCs/>
                <w:color w:val="000000" w:themeColor="text1"/>
                <w:u w:val="none"/>
                <w:vertAlign w:val="baseline"/>
                <w:lang w:val="en-US" w:eastAsia="zh-CN"/>
                <w14:textFill>
                  <w14:solidFill>
                    <w14:schemeClr w14:val="tx1"/>
                  </w14:solidFill>
                </w14:textFill>
              </w:rPr>
            </w:pPr>
            <w:r>
              <w:rPr>
                <w:rFonts w:hint="eastAsia" w:ascii="宋体" w:hAnsi="宋体" w:eastAsia="宋体" w:cs="宋体"/>
                <w:b/>
                <w:bCs/>
                <w:color w:val="000000" w:themeColor="text1"/>
                <w:u w:val="none"/>
                <w:vertAlign w:val="baseline"/>
                <w:lang w:val="en-US" w:eastAsia="zh-CN"/>
                <w14:textFill>
                  <w14:solidFill>
                    <w14:schemeClr w14:val="tx1"/>
                  </w14:solidFill>
                </w14:textFill>
              </w:rPr>
              <w:t>9、纵横比:4:3(XGA)</w:t>
            </w:r>
          </w:p>
          <w:p>
            <w:pPr>
              <w:spacing w:line="360" w:lineRule="auto"/>
              <w:jc w:val="left"/>
              <w:rPr>
                <w:rFonts w:hint="eastAsia" w:ascii="宋体" w:hAnsi="宋体" w:eastAsia="宋体" w:cs="宋体"/>
                <w:b/>
                <w:bCs/>
                <w:color w:val="000000" w:themeColor="text1"/>
                <w:u w:val="none"/>
                <w:vertAlign w:val="baseline"/>
                <w:lang w:val="en-US" w:eastAsia="zh-CN"/>
                <w14:textFill>
                  <w14:solidFill>
                    <w14:schemeClr w14:val="tx1"/>
                  </w14:solidFill>
                </w14:textFill>
              </w:rPr>
            </w:pPr>
            <w:r>
              <w:rPr>
                <w:rFonts w:hint="eastAsia" w:ascii="宋体" w:hAnsi="宋体" w:eastAsia="宋体" w:cs="宋体"/>
                <w:b/>
                <w:bCs/>
                <w:color w:val="000000" w:themeColor="text1"/>
                <w:u w:val="none"/>
                <w:vertAlign w:val="baseline"/>
                <w:lang w:val="en-US" w:eastAsia="zh-CN"/>
                <w14:textFill>
                  <w14:solidFill>
                    <w14:schemeClr w14:val="tx1"/>
                  </w14:solidFill>
                </w14:textFill>
              </w:rPr>
              <w:t>10、投影方式:前投/背投/吊顶</w:t>
            </w:r>
          </w:p>
          <w:p>
            <w:pPr>
              <w:spacing w:line="360" w:lineRule="auto"/>
              <w:jc w:val="left"/>
              <w:rPr>
                <w:rFonts w:hint="eastAsia" w:ascii="宋体" w:hAnsi="宋体" w:eastAsia="宋体" w:cs="宋体"/>
                <w:b/>
                <w:bCs/>
                <w:color w:val="000000" w:themeColor="text1"/>
                <w:u w:val="none"/>
                <w:vertAlign w:val="baseline"/>
                <w:lang w:val="en-US" w:eastAsia="zh-CN"/>
                <w14:textFill>
                  <w14:solidFill>
                    <w14:schemeClr w14:val="tx1"/>
                  </w14:solidFill>
                </w14:textFill>
              </w:rPr>
            </w:pPr>
            <w:r>
              <w:rPr>
                <w:rFonts w:hint="eastAsia" w:ascii="宋体" w:hAnsi="宋体" w:eastAsia="宋体" w:cs="宋体"/>
                <w:b/>
                <w:bCs/>
                <w:color w:val="000000" w:themeColor="text1"/>
                <w:u w:val="none"/>
                <w:vertAlign w:val="baseline"/>
                <w:lang w:val="en-US" w:eastAsia="zh-CN"/>
                <w14:textFill>
                  <w14:solidFill>
                    <w14:schemeClr w14:val="tx1"/>
                  </w14:solidFill>
                </w14:textFill>
              </w:rPr>
              <w:t>11、投影距离:30"to 300" [0.89 to10.95 m]</w:t>
            </w:r>
          </w:p>
          <w:p>
            <w:pPr>
              <w:pStyle w:val="5"/>
              <w:ind w:left="0" w:leftChars="0" w:firstLine="0" w:firstLineChars="0"/>
              <w:rPr>
                <w:rFonts w:hint="default"/>
                <w:color w:val="000000" w:themeColor="text1"/>
                <w:u w:val="none"/>
                <w:lang w:val="en-US" w:eastAsia="zh-CN"/>
                <w14:textFill>
                  <w14:solidFill>
                    <w14:schemeClr w14:val="tx1"/>
                  </w14:solidFill>
                </w14:textFill>
              </w:rPr>
            </w:pPr>
            <w:r>
              <w:rPr>
                <w:rFonts w:hint="eastAsia" w:ascii="宋体" w:hAnsi="宋体" w:eastAsia="宋体" w:cs="宋体"/>
                <w:b/>
                <w:bCs/>
                <w:color w:val="000000" w:themeColor="text1"/>
                <w:u w:val="none"/>
                <w:vertAlign w:val="baseline"/>
                <w:lang w:val="en-US" w:eastAsia="zh-CN"/>
                <w14:textFill>
                  <w14:solidFill>
                    <w14:schemeClr w14:val="tx1"/>
                  </w14:solidFill>
                </w14:textFill>
              </w:rPr>
              <w:t>12、对比度:16000:1</w:t>
            </w:r>
          </w:p>
        </w:tc>
        <w:tc>
          <w:tcPr>
            <w:tcW w:w="2970" w:type="dxa"/>
          </w:tcPr>
          <w:p>
            <w:pPr>
              <w:spacing w:line="240" w:lineRule="auto"/>
              <w:jc w:val="left"/>
            </w:pPr>
          </w:p>
          <w:p>
            <w:pPr>
              <w:spacing w:line="240" w:lineRule="auto"/>
              <w:jc w:val="left"/>
            </w:pPr>
          </w:p>
          <w:p>
            <w:pPr>
              <w:spacing w:line="240" w:lineRule="auto"/>
              <w:jc w:val="left"/>
            </w:pPr>
          </w:p>
          <w:p>
            <w:pPr>
              <w:spacing w:line="240" w:lineRule="auto"/>
              <w:jc w:val="left"/>
            </w:pPr>
          </w:p>
          <w:p>
            <w:pPr>
              <w:spacing w:line="240" w:lineRule="auto"/>
              <w:jc w:val="left"/>
            </w:pPr>
          </w:p>
          <w:p>
            <w:pPr>
              <w:spacing w:line="240" w:lineRule="auto"/>
              <w:jc w:val="left"/>
              <w:rPr>
                <w:rFonts w:hint="eastAsia"/>
                <w:b/>
                <w:bCs/>
                <w:color w:val="000000" w:themeColor="text1"/>
                <w:u w:val="none"/>
                <w:vertAlign w:val="baseline"/>
                <w:lang w:val="en-US" w:eastAsia="zh-CN"/>
                <w14:textFill>
                  <w14:solidFill>
                    <w14:schemeClr w14:val="tx1"/>
                  </w14:solidFill>
                </w14:textFill>
              </w:rPr>
            </w:pPr>
            <w:r>
              <w:drawing>
                <wp:inline distT="0" distB="0" distL="114300" distR="114300">
                  <wp:extent cx="1837690" cy="1146175"/>
                  <wp:effectExtent l="0" t="0" r="10160" b="15875"/>
                  <wp:docPr id="7645" name="图片 2" descr="微信图片_2025042911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5" name="图片 2" descr="微信图片_20250429110032"/>
                          <pic:cNvPicPr>
                            <a:picLocks noChangeAspect="1"/>
                          </pic:cNvPicPr>
                        </pic:nvPicPr>
                        <pic:blipFill>
                          <a:blip r:embed="rId5"/>
                          <a:stretch>
                            <a:fillRect/>
                          </a:stretch>
                        </pic:blipFill>
                        <pic:spPr>
                          <a:xfrm>
                            <a:off x="0" y="0"/>
                            <a:ext cx="1837690" cy="1146175"/>
                          </a:xfrm>
                          <a:prstGeom prst="rect">
                            <a:avLst/>
                          </a:prstGeom>
                          <a:noFill/>
                          <a:ln w="9525">
                            <a:noFill/>
                          </a:ln>
                        </pic:spPr>
                      </pic:pic>
                    </a:graphicData>
                  </a:graphic>
                </wp:inline>
              </w:drawing>
            </w:r>
          </w:p>
        </w:tc>
      </w:tr>
    </w:tbl>
    <w:p>
      <w:pPr>
        <w:spacing w:line="240" w:lineRule="auto"/>
        <w:jc w:val="left"/>
        <w:rPr>
          <w:rFonts w:hint="eastAsia"/>
          <w:b/>
          <w:bCs/>
          <w:color w:val="FF0000"/>
          <w:u w:val="single"/>
          <w:lang w:val="en-US" w:eastAsia="zh-CN"/>
        </w:rPr>
      </w:pPr>
    </w:p>
    <w:p>
      <w:pPr>
        <w:spacing w:before="120" w:beforeLines="50" w:after="120" w:afterLines="50" w:line="360" w:lineRule="auto"/>
        <w:jc w:val="left"/>
        <w:rPr>
          <w:rFonts w:hint="eastAsia" w:ascii="宋体" w:hAnsi="宋体" w:eastAsia="宋体" w:cs="宋体"/>
          <w:b/>
          <w:bCs/>
          <w:color w:val="auto"/>
          <w:sz w:val="21"/>
          <w:szCs w:val="21"/>
          <w:u w:val="single"/>
          <w:lang w:val="en-US" w:eastAsia="zh-CN"/>
        </w:rPr>
      </w:pPr>
      <w:r>
        <w:rPr>
          <w:rFonts w:hint="eastAsia"/>
          <w:b/>
          <w:bCs/>
          <w:color w:val="FF0000"/>
          <w:u w:val="single"/>
          <w:lang w:val="en-US" w:eastAsia="zh-CN"/>
        </w:rPr>
        <w:t>注</w:t>
      </w:r>
      <w:r>
        <w:rPr>
          <w:rFonts w:hint="eastAsia"/>
          <w:b/>
          <w:bCs/>
          <w:color w:val="auto"/>
          <w:u w:val="single"/>
          <w:lang w:val="en-US" w:eastAsia="zh-CN"/>
        </w:rPr>
        <w:t>：</w:t>
      </w:r>
      <w:bookmarkEnd w:id="3"/>
      <w:r>
        <w:rPr>
          <w:rFonts w:hint="eastAsia"/>
          <w:b/>
          <w:bCs/>
          <w:color w:val="auto"/>
          <w:u w:val="single"/>
          <w:lang w:val="en-US" w:eastAsia="zh-CN"/>
        </w:rPr>
        <w:t>1、</w:t>
      </w:r>
      <w:r>
        <w:rPr>
          <w:rFonts w:hint="eastAsia" w:ascii="宋体" w:hAnsi="宋体" w:eastAsia="宋体" w:cs="宋体"/>
          <w:b/>
          <w:bCs/>
          <w:color w:val="auto"/>
          <w:sz w:val="21"/>
          <w:szCs w:val="21"/>
          <w:u w:val="single"/>
          <w:lang w:val="en-US" w:eastAsia="zh-CN"/>
        </w:rPr>
        <w:t>投标人超过预算金额的投标报价将作无效标处理。</w:t>
      </w:r>
    </w:p>
    <w:p>
      <w:pPr>
        <w:pStyle w:val="6"/>
        <w:spacing w:line="360" w:lineRule="auto"/>
        <w:ind w:left="126" w:leftChars="60" w:firstLine="288"/>
        <w:rPr>
          <w:rFonts w:hint="default"/>
          <w:lang w:val="en-US" w:eastAsia="zh-CN"/>
        </w:rPr>
      </w:pPr>
      <w:r>
        <w:rPr>
          <w:rFonts w:hint="eastAsia" w:ascii="宋体" w:hAnsi="宋体" w:eastAsia="宋体" w:cs="宋体"/>
          <w:b/>
          <w:bCs/>
          <w:sz w:val="21"/>
          <w:szCs w:val="21"/>
          <w:lang w:val="en-US" w:eastAsia="zh-CN"/>
        </w:rPr>
        <w:t>2、投标报价</w:t>
      </w:r>
      <w:r>
        <w:rPr>
          <w:rFonts w:hint="eastAsia" w:ascii="宋体" w:hAnsi="宋体" w:eastAsia="宋体" w:cs="宋体"/>
          <w:b/>
          <w:bCs/>
          <w:sz w:val="21"/>
          <w:szCs w:val="21"/>
        </w:rPr>
        <w:t>包含货物到达</w:t>
      </w:r>
      <w:r>
        <w:rPr>
          <w:rFonts w:hint="eastAsia" w:ascii="宋体" w:hAnsi="宋体" w:eastAsia="宋体" w:cs="宋体"/>
          <w:b/>
          <w:bCs/>
          <w:sz w:val="21"/>
          <w:szCs w:val="21"/>
          <w:lang w:eastAsia="zh-CN"/>
        </w:rPr>
        <w:t>甲方</w:t>
      </w:r>
      <w:r>
        <w:rPr>
          <w:rFonts w:hint="eastAsia" w:ascii="宋体" w:hAnsi="宋体" w:eastAsia="宋体" w:cs="宋体"/>
          <w:b/>
          <w:bCs/>
          <w:sz w:val="21"/>
          <w:szCs w:val="21"/>
        </w:rPr>
        <w:t>并能正常使用所需的一切费用，包括但不限于</w:t>
      </w:r>
      <w:r>
        <w:rPr>
          <w:rFonts w:hint="eastAsia" w:ascii="宋体" w:hAnsi="宋体" w:eastAsia="宋体" w:cs="宋体"/>
          <w:b/>
          <w:bCs/>
          <w:sz w:val="21"/>
          <w:szCs w:val="21"/>
          <w:lang w:val="en-US" w:eastAsia="zh-CN"/>
        </w:rPr>
        <w:t>所需配件（如吊架等）、</w:t>
      </w:r>
      <w:r>
        <w:rPr>
          <w:rFonts w:hint="eastAsia" w:ascii="宋体" w:hAnsi="宋体" w:eastAsia="宋体" w:cs="宋体"/>
          <w:b/>
          <w:bCs/>
          <w:sz w:val="21"/>
          <w:szCs w:val="21"/>
        </w:rPr>
        <w:t>包装费、运输费、装卸费、保险费、服务费以及保修费、税费等。</w:t>
      </w:r>
    </w:p>
    <w:p>
      <w:pPr>
        <w:spacing w:before="120" w:beforeLines="50" w:after="120" w:afterLines="50" w:line="360" w:lineRule="auto"/>
        <w:ind w:firstLine="422" w:firstLineChars="200"/>
        <w:jc w:val="left"/>
        <w:rPr>
          <w:rFonts w:hint="default" w:ascii="宋体" w:hAnsi="宋体" w:eastAsia="宋体" w:cs="宋体"/>
          <w:b/>
          <w:bCs/>
          <w:color w:val="auto"/>
          <w:sz w:val="21"/>
          <w:szCs w:val="21"/>
          <w:u w:val="single"/>
          <w:lang w:val="en-US" w:eastAsia="zh-CN"/>
        </w:rPr>
      </w:pPr>
      <w:r>
        <w:rPr>
          <w:rFonts w:hint="eastAsia" w:ascii="宋体" w:hAnsi="宋体" w:eastAsia="宋体" w:cs="宋体"/>
          <w:b/>
          <w:bCs/>
          <w:color w:val="auto"/>
          <w:kern w:val="0"/>
          <w:sz w:val="21"/>
          <w:szCs w:val="21"/>
          <w:u w:val="single"/>
          <w:lang w:val="en-US" w:eastAsia="zh-CN" w:bidi="ar-SA"/>
        </w:rPr>
        <w:t>▲3、</w:t>
      </w:r>
      <w:r>
        <w:rPr>
          <w:rFonts w:hint="eastAsia" w:ascii="宋体" w:hAnsi="宋体" w:eastAsia="宋体" w:cs="宋体"/>
          <w:b/>
          <w:bCs/>
          <w:i w:val="0"/>
          <w:iCs w:val="0"/>
          <w:color w:val="auto"/>
          <w:kern w:val="0"/>
          <w:sz w:val="21"/>
          <w:szCs w:val="21"/>
          <w:u w:val="none"/>
          <w:lang w:val="en-US" w:eastAsia="zh-CN" w:bidi="ar"/>
        </w:rPr>
        <w:t>同一品牌如果有多家报价，只选取报价最低的投标人与其他品牌产品进行遴选。</w:t>
      </w:r>
    </w:p>
    <w:p>
      <w:pPr>
        <w:numPr>
          <w:ilvl w:val="0"/>
          <w:numId w:val="0"/>
        </w:numPr>
        <w:spacing w:before="120" w:beforeLines="50" w:after="120" w:afterLines="50" w:line="360" w:lineRule="auto"/>
        <w:ind w:firstLine="422" w:firstLineChars="200"/>
        <w:jc w:val="left"/>
        <w:rPr>
          <w:rFonts w:hint="eastAsia" w:ascii="宋体" w:hAnsi="宋体" w:eastAsia="宋体" w:cs="宋体"/>
          <w:color w:val="auto"/>
          <w:sz w:val="21"/>
          <w:szCs w:val="21"/>
        </w:rPr>
      </w:pPr>
      <w:r>
        <w:rPr>
          <w:rFonts w:hint="eastAsia" w:ascii="宋体" w:hAnsi="宋体" w:eastAsia="宋体" w:cs="宋体"/>
          <w:b/>
          <w:bCs/>
          <w:color w:val="auto"/>
          <w:kern w:val="0"/>
          <w:sz w:val="21"/>
          <w:szCs w:val="21"/>
          <w:u w:val="single"/>
          <w:lang w:val="en-US" w:eastAsia="zh-CN" w:bidi="ar-SA"/>
        </w:rPr>
        <w:t>▲4、</w:t>
      </w:r>
      <w:r>
        <w:rPr>
          <w:rFonts w:hint="eastAsia" w:ascii="宋体" w:hAnsi="宋体" w:eastAsia="宋体" w:cs="宋体"/>
          <w:b/>
          <w:bCs/>
          <w:color w:val="auto"/>
          <w:kern w:val="0"/>
          <w:sz w:val="21"/>
          <w:szCs w:val="21"/>
          <w:u w:val="single"/>
        </w:rPr>
        <w:t>本次采购</w:t>
      </w:r>
      <w:r>
        <w:rPr>
          <w:rFonts w:hint="eastAsia" w:ascii="宋体" w:hAnsi="宋体" w:eastAsia="宋体" w:cs="宋体"/>
          <w:b/>
          <w:bCs/>
          <w:color w:val="auto"/>
          <w:kern w:val="0"/>
          <w:sz w:val="21"/>
          <w:szCs w:val="21"/>
          <w:u w:val="single"/>
          <w:lang w:val="en-US" w:eastAsia="zh-CN"/>
        </w:rPr>
        <w:t>的货物属于“浙江省政府集中采购目录”，需</w:t>
      </w:r>
      <w:r>
        <w:rPr>
          <w:rFonts w:hint="eastAsia" w:ascii="宋体" w:hAnsi="宋体" w:eastAsia="宋体" w:cs="宋体"/>
          <w:b/>
          <w:bCs/>
          <w:color w:val="auto"/>
          <w:kern w:val="0"/>
          <w:sz w:val="21"/>
          <w:szCs w:val="21"/>
          <w:u w:val="single"/>
        </w:rPr>
        <w:t>采用电子交易方式，电子交易平台为“</w:t>
      </w:r>
      <w:r>
        <w:rPr>
          <w:rFonts w:hint="eastAsia" w:ascii="宋体" w:hAnsi="宋体" w:eastAsia="宋体" w:cs="宋体"/>
          <w:b/>
          <w:bCs/>
          <w:color w:val="auto"/>
          <w:kern w:val="0"/>
          <w:sz w:val="21"/>
          <w:szCs w:val="21"/>
          <w:u w:val="single"/>
          <w:lang w:val="en-US" w:eastAsia="zh-CN"/>
        </w:rPr>
        <w:t>政</w:t>
      </w:r>
      <w:r>
        <w:rPr>
          <w:rFonts w:hint="eastAsia" w:ascii="宋体" w:hAnsi="宋体" w:eastAsia="宋体" w:cs="宋体"/>
          <w:b/>
          <w:bCs/>
          <w:color w:val="auto"/>
          <w:kern w:val="0"/>
          <w:sz w:val="21"/>
          <w:szCs w:val="21"/>
          <w:u w:val="single"/>
        </w:rPr>
        <w:t>采云平台（https://www.zcygov.cn/）”。</w:t>
      </w:r>
    </w:p>
    <w:p>
      <w:pPr>
        <w:pStyle w:val="5"/>
        <w:rPr>
          <w:rFonts w:hint="default"/>
          <w:lang w:val="en-US" w:eastAsia="zh-CN"/>
        </w:rPr>
      </w:pPr>
      <w:r>
        <w:rPr>
          <w:rFonts w:hint="eastAsia" w:ascii="宋体" w:hAnsi="宋体" w:eastAsia="宋体" w:cs="宋体"/>
          <w:b/>
          <w:bCs/>
          <w:color w:val="auto"/>
          <w:kern w:val="0"/>
          <w:sz w:val="21"/>
          <w:szCs w:val="21"/>
          <w:u w:val="single"/>
          <w:lang w:val="en-US" w:eastAsia="zh-CN" w:bidi="ar-SA"/>
        </w:rPr>
        <w:t>▲5、为实质性项目，不响应视为无效投标</w:t>
      </w:r>
    </w:p>
    <w:p>
      <w:pPr>
        <w:pStyle w:val="5"/>
        <w:rPr>
          <w:rFonts w:hint="eastAsia"/>
        </w:rPr>
        <w:sectPr>
          <w:footerReference r:id="rId3" w:type="default"/>
          <w:pgSz w:w="11907" w:h="16840"/>
          <w:pgMar w:top="1304" w:right="1531" w:bottom="1247" w:left="1531" w:header="851" w:footer="992" w:gutter="0"/>
          <w:pgNumType w:fmt="numberInDash" w:start="1"/>
          <w:cols w:space="720" w:num="1"/>
          <w:docGrid w:linePitch="312" w:charSpace="0"/>
        </w:sectPr>
      </w:pPr>
    </w:p>
    <w:p>
      <w:pPr>
        <w:spacing w:line="360" w:lineRule="auto"/>
        <w:rPr>
          <w:rFonts w:hint="eastAsia" w:ascii="宋体" w:hAnsi="宋体"/>
          <w:b/>
          <w:bCs/>
          <w:color w:val="auto"/>
          <w:sz w:val="28"/>
          <w:szCs w:val="28"/>
        </w:rPr>
      </w:pPr>
      <w:r>
        <w:rPr>
          <w:rFonts w:hint="eastAsia" w:ascii="宋体" w:hAnsi="宋体"/>
          <w:b/>
          <w:bCs/>
          <w:color w:val="auto"/>
          <w:sz w:val="28"/>
          <w:szCs w:val="28"/>
          <w:lang w:val="en-US" w:eastAsia="zh-CN"/>
        </w:rPr>
        <w:t>三</w:t>
      </w:r>
      <w:r>
        <w:rPr>
          <w:rFonts w:hint="eastAsia" w:ascii="宋体" w:hAnsi="宋体"/>
          <w:b/>
          <w:bCs/>
          <w:color w:val="auto"/>
          <w:sz w:val="28"/>
          <w:szCs w:val="28"/>
        </w:rPr>
        <w:t>、主要商务要求</w:t>
      </w:r>
    </w:p>
    <w:p>
      <w:pPr>
        <w:pStyle w:val="8"/>
        <w:numPr>
          <w:ilvl w:val="0"/>
          <w:numId w:val="0"/>
        </w:numPr>
        <w:spacing w:line="360" w:lineRule="auto"/>
        <w:ind w:firstLine="482" w:firstLineChars="200"/>
        <w:rPr>
          <w:rFonts w:hint="default" w:ascii="宋体" w:hAnsi="宋体" w:eastAsia="宋体" w:cs="宋体"/>
          <w:color w:val="auto"/>
          <w:sz w:val="24"/>
          <w:lang w:val="en-US" w:eastAsia="zh-CN"/>
        </w:rPr>
      </w:pPr>
      <w:r>
        <w:rPr>
          <w:rFonts w:hint="eastAsia" w:ascii="宋体" w:hAnsi="宋体"/>
          <w:b/>
          <w:bCs/>
          <w:color w:val="auto"/>
          <w:sz w:val="24"/>
          <w:szCs w:val="24"/>
          <w:lang w:val="en-US" w:eastAsia="zh-CN"/>
        </w:rPr>
        <w:t>1</w:t>
      </w:r>
      <w:r>
        <w:rPr>
          <w:rFonts w:hint="eastAsia" w:ascii="宋体" w:hAnsi="宋体"/>
          <w:b/>
          <w:bCs/>
          <w:color w:val="auto"/>
          <w:sz w:val="24"/>
          <w:szCs w:val="24"/>
        </w:rPr>
        <w:t>、付款方式：</w:t>
      </w:r>
      <w:r>
        <w:rPr>
          <w:rFonts w:hint="default" w:ascii="宋体" w:hAnsi="宋体" w:eastAsia="宋体" w:cs="宋体"/>
          <w:color w:val="auto"/>
          <w:sz w:val="24"/>
          <w:lang w:val="en-US" w:eastAsia="zh-CN"/>
        </w:rPr>
        <w:t>全部货物交付完毕并经最终验收合格后，</w:t>
      </w:r>
      <w:r>
        <w:rPr>
          <w:rFonts w:hint="eastAsia" w:ascii="宋体" w:hAnsi="宋体" w:eastAsia="宋体" w:cs="宋体"/>
          <w:color w:val="auto"/>
          <w:sz w:val="24"/>
          <w:lang w:val="en-US" w:eastAsia="zh-CN"/>
        </w:rPr>
        <w:t>由</w:t>
      </w:r>
      <w:r>
        <w:rPr>
          <w:rFonts w:hint="default" w:ascii="宋体" w:hAnsi="宋体" w:eastAsia="宋体" w:cs="宋体"/>
          <w:color w:val="auto"/>
          <w:sz w:val="24"/>
          <w:lang w:val="en-US" w:eastAsia="zh-CN"/>
        </w:rPr>
        <w:t>乙方</w:t>
      </w:r>
      <w:r>
        <w:rPr>
          <w:rFonts w:hint="eastAsia" w:ascii="宋体" w:hAnsi="宋体" w:eastAsia="宋体" w:cs="宋体"/>
          <w:color w:val="auto"/>
          <w:sz w:val="24"/>
          <w:lang w:val="en-US" w:eastAsia="zh-CN"/>
        </w:rPr>
        <w:t>联系</w:t>
      </w:r>
      <w:r>
        <w:rPr>
          <w:rFonts w:hint="default" w:ascii="宋体" w:hAnsi="宋体" w:eastAsia="宋体" w:cs="宋体"/>
          <w:color w:val="auto"/>
          <w:sz w:val="24"/>
          <w:lang w:val="en-US" w:eastAsia="zh-CN"/>
        </w:rPr>
        <w:t>甲方</w:t>
      </w:r>
      <w:r>
        <w:rPr>
          <w:rFonts w:hint="eastAsia" w:ascii="宋体" w:hAnsi="宋体" w:eastAsia="宋体" w:cs="宋体"/>
          <w:color w:val="auto"/>
          <w:sz w:val="24"/>
          <w:lang w:val="en-US" w:eastAsia="zh-CN"/>
        </w:rPr>
        <w:t>采购中心开票入库（</w:t>
      </w:r>
      <w:r>
        <w:rPr>
          <w:rFonts w:hint="default" w:ascii="宋体" w:hAnsi="宋体" w:eastAsia="宋体" w:cs="宋体"/>
          <w:color w:val="auto"/>
          <w:sz w:val="24"/>
          <w:lang w:val="en-US" w:eastAsia="zh-CN"/>
        </w:rPr>
        <w:t>开具</w:t>
      </w:r>
      <w:r>
        <w:rPr>
          <w:rFonts w:hint="eastAsia" w:ascii="宋体" w:hAnsi="宋体" w:eastAsia="宋体" w:cs="宋体"/>
          <w:color w:val="auto"/>
          <w:sz w:val="24"/>
          <w:lang w:val="en-US" w:eastAsia="zh-CN"/>
        </w:rPr>
        <w:t>与</w:t>
      </w:r>
      <w:r>
        <w:rPr>
          <w:rFonts w:hint="default" w:ascii="宋体" w:hAnsi="宋体" w:eastAsia="宋体" w:cs="宋体"/>
          <w:color w:val="auto"/>
          <w:sz w:val="24"/>
          <w:lang w:val="en-US" w:eastAsia="zh-CN"/>
        </w:rPr>
        <w:t>合同同等金额</w:t>
      </w:r>
      <w:r>
        <w:rPr>
          <w:rFonts w:hint="eastAsia" w:ascii="宋体" w:hAnsi="宋体" w:eastAsia="宋体" w:cs="宋体"/>
          <w:color w:val="auto"/>
          <w:sz w:val="24"/>
          <w:lang w:val="en-US" w:eastAsia="zh-CN"/>
        </w:rPr>
        <w:t>的</w:t>
      </w:r>
      <w:r>
        <w:rPr>
          <w:rFonts w:hint="default" w:ascii="宋体" w:hAnsi="宋体" w:eastAsia="宋体" w:cs="宋体"/>
          <w:color w:val="auto"/>
          <w:sz w:val="24"/>
          <w:lang w:val="en-US" w:eastAsia="zh-CN"/>
        </w:rPr>
        <w:t>发票</w:t>
      </w:r>
      <w:r>
        <w:rPr>
          <w:rFonts w:hint="eastAsia" w:ascii="宋体" w:hAnsi="宋体" w:eastAsia="宋体" w:cs="宋体"/>
          <w:color w:val="auto"/>
          <w:sz w:val="24"/>
          <w:lang w:val="en-US" w:eastAsia="zh-CN"/>
        </w:rPr>
        <w:t>）</w:t>
      </w:r>
      <w:r>
        <w:rPr>
          <w:rFonts w:hint="default" w:ascii="宋体" w:hAnsi="宋体" w:eastAsia="宋体" w:cs="宋体"/>
          <w:color w:val="auto"/>
          <w:sz w:val="24"/>
          <w:lang w:val="en-US" w:eastAsia="zh-CN"/>
        </w:rPr>
        <w:t>，甲方在收到发票后</w:t>
      </w:r>
      <w:r>
        <w:rPr>
          <w:rFonts w:hint="eastAsia" w:hAnsi="宋体" w:cs="宋体"/>
          <w:color w:val="auto"/>
          <w:sz w:val="24"/>
          <w:lang w:val="en-US" w:eastAsia="zh-CN"/>
        </w:rPr>
        <w:t>3</w:t>
      </w:r>
      <w:r>
        <w:rPr>
          <w:rFonts w:hint="eastAsia" w:ascii="宋体" w:hAnsi="宋体" w:eastAsia="宋体" w:cs="宋体"/>
          <w:color w:val="auto"/>
          <w:sz w:val="24"/>
          <w:lang w:val="en-US" w:eastAsia="zh-CN"/>
        </w:rPr>
        <w:t>个</w:t>
      </w:r>
      <w:r>
        <w:rPr>
          <w:rFonts w:hint="eastAsia" w:hAnsi="宋体" w:cs="宋体"/>
          <w:color w:val="auto"/>
          <w:sz w:val="24"/>
          <w:lang w:val="en-US" w:eastAsia="zh-CN"/>
        </w:rPr>
        <w:t>月</w:t>
      </w:r>
      <w:r>
        <w:rPr>
          <w:rFonts w:hint="default" w:ascii="宋体" w:hAnsi="宋体" w:eastAsia="宋体" w:cs="宋体"/>
          <w:color w:val="auto"/>
          <w:sz w:val="24"/>
          <w:lang w:val="en-US" w:eastAsia="zh-CN"/>
        </w:rPr>
        <w:t>内向乙方支付全部合同价款。</w:t>
      </w:r>
    </w:p>
    <w:p>
      <w:pPr>
        <w:pStyle w:val="8"/>
        <w:numPr>
          <w:ilvl w:val="0"/>
          <w:numId w:val="0"/>
        </w:numPr>
        <w:spacing w:line="360" w:lineRule="auto"/>
        <w:ind w:firstLine="482" w:firstLineChars="200"/>
        <w:rPr>
          <w:rFonts w:hint="eastAsia" w:ascii="宋体" w:hAnsi="宋体"/>
          <w:b w:val="0"/>
          <w:bCs w:val="0"/>
          <w:color w:val="000000"/>
          <w:sz w:val="24"/>
          <w:szCs w:val="24"/>
        </w:rPr>
      </w:pPr>
      <w:r>
        <w:rPr>
          <w:rFonts w:hint="eastAsia" w:ascii="宋体" w:hAnsi="宋体"/>
          <w:b/>
          <w:bCs/>
          <w:color w:val="auto"/>
          <w:sz w:val="24"/>
          <w:szCs w:val="24"/>
          <w:lang w:val="en-US" w:eastAsia="zh-CN"/>
        </w:rPr>
        <w:t>2</w:t>
      </w:r>
      <w:r>
        <w:rPr>
          <w:rFonts w:hint="eastAsia" w:ascii="宋体" w:hAnsi="宋体"/>
          <w:b/>
          <w:bCs/>
          <w:color w:val="auto"/>
          <w:sz w:val="24"/>
          <w:szCs w:val="24"/>
        </w:rPr>
        <w:t>、</w:t>
      </w:r>
      <w:r>
        <w:rPr>
          <w:rFonts w:hint="eastAsia" w:ascii="宋体" w:hAnsi="宋体" w:eastAsia="宋体" w:cs="宋体"/>
          <w:b/>
          <w:bCs/>
          <w:color w:val="auto"/>
          <w:sz w:val="24"/>
          <w:szCs w:val="24"/>
          <w:lang w:val="en-US" w:eastAsia="zh-CN"/>
        </w:rPr>
        <w:t>交货期：接到采购人发货通知后</w:t>
      </w:r>
      <w:r>
        <w:rPr>
          <w:rFonts w:hint="eastAsia" w:ascii="宋体" w:hAnsi="宋体" w:eastAsia="宋体" w:cs="宋体"/>
          <w:b/>
          <w:bCs/>
          <w:color w:val="auto"/>
          <w:sz w:val="24"/>
          <w:szCs w:val="24"/>
          <w:u w:val="single"/>
          <w:lang w:val="en-US" w:eastAsia="zh-CN"/>
        </w:rPr>
        <w:t>5个工作日</w:t>
      </w:r>
      <w:r>
        <w:rPr>
          <w:rFonts w:hint="eastAsia" w:ascii="宋体" w:hAnsi="宋体" w:eastAsia="宋体" w:cs="宋体"/>
          <w:b/>
          <w:bCs/>
          <w:color w:val="auto"/>
          <w:sz w:val="24"/>
          <w:szCs w:val="24"/>
          <w:lang w:val="en-US" w:eastAsia="zh-CN"/>
        </w:rPr>
        <w:t>内到达指定地点。</w:t>
      </w:r>
      <w:r>
        <w:rPr>
          <w:rFonts w:hint="eastAsia" w:ascii="宋体" w:hAnsi="宋体"/>
          <w:b w:val="0"/>
          <w:bCs w:val="0"/>
          <w:color w:val="auto"/>
          <w:sz w:val="24"/>
          <w:szCs w:val="24"/>
        </w:rPr>
        <w:t xml:space="preserve">    </w:t>
      </w:r>
      <w:r>
        <w:rPr>
          <w:rFonts w:hint="eastAsia" w:ascii="宋体" w:hAnsi="宋体"/>
          <w:b w:val="0"/>
          <w:bCs w:val="0"/>
          <w:color w:val="000000"/>
          <w:sz w:val="24"/>
          <w:szCs w:val="24"/>
        </w:rPr>
        <w:t xml:space="preserve">    </w:t>
      </w:r>
    </w:p>
    <w:p>
      <w:pPr>
        <w:spacing w:line="360" w:lineRule="auto"/>
        <w:ind w:firstLine="482" w:firstLineChars="200"/>
        <w:rPr>
          <w:rFonts w:hint="eastAsia" w:ascii="宋体" w:hAnsi="宋体"/>
          <w:b w:val="0"/>
          <w:bCs w:val="0"/>
          <w:color w:val="000000"/>
          <w:sz w:val="24"/>
          <w:szCs w:val="24"/>
        </w:rPr>
      </w:pPr>
      <w:r>
        <w:rPr>
          <w:rFonts w:hint="eastAsia" w:ascii="宋体" w:hAnsi="宋体"/>
          <w:b/>
          <w:bCs/>
          <w:color w:val="000000"/>
          <w:sz w:val="24"/>
          <w:szCs w:val="24"/>
          <w:lang w:val="en-US" w:eastAsia="zh-CN"/>
        </w:rPr>
        <w:t>3</w:t>
      </w:r>
      <w:r>
        <w:rPr>
          <w:rFonts w:hint="eastAsia" w:ascii="宋体" w:hAnsi="宋体"/>
          <w:b/>
          <w:bCs/>
          <w:color w:val="000000"/>
          <w:sz w:val="24"/>
          <w:szCs w:val="24"/>
        </w:rPr>
        <w:t>、到货地点：</w:t>
      </w:r>
      <w:r>
        <w:rPr>
          <w:rFonts w:hint="eastAsia" w:ascii="宋体" w:hAnsi="宋体"/>
          <w:b w:val="0"/>
          <w:bCs w:val="0"/>
          <w:color w:val="000000"/>
          <w:sz w:val="24"/>
          <w:szCs w:val="24"/>
        </w:rPr>
        <w:t>温州市中医院指定地点。</w:t>
      </w:r>
    </w:p>
    <w:p>
      <w:pPr>
        <w:spacing w:line="360" w:lineRule="auto"/>
        <w:ind w:firstLine="482" w:firstLineChars="200"/>
        <w:rPr>
          <w:rFonts w:hint="eastAsia" w:ascii="宋体" w:hAnsi="宋体"/>
          <w:b/>
          <w:bCs/>
          <w:color w:val="000000"/>
          <w:sz w:val="24"/>
          <w:szCs w:val="24"/>
        </w:rPr>
      </w:pPr>
      <w:r>
        <w:rPr>
          <w:rFonts w:hint="eastAsia" w:ascii="宋体" w:hAnsi="宋体"/>
          <w:b/>
          <w:bCs/>
          <w:color w:val="000000"/>
          <w:sz w:val="24"/>
          <w:szCs w:val="24"/>
          <w:lang w:val="en-US" w:eastAsia="zh-CN"/>
        </w:rPr>
        <w:t>4</w:t>
      </w:r>
      <w:r>
        <w:rPr>
          <w:rFonts w:hint="eastAsia" w:ascii="宋体" w:hAnsi="宋体"/>
          <w:b/>
          <w:bCs/>
          <w:color w:val="000000"/>
          <w:sz w:val="24"/>
          <w:szCs w:val="24"/>
        </w:rPr>
        <w:t>、质保期</w:t>
      </w:r>
    </w:p>
    <w:p>
      <w:pPr>
        <w:spacing w:line="360" w:lineRule="auto"/>
        <w:ind w:firstLine="480" w:firstLineChars="200"/>
        <w:rPr>
          <w:rFonts w:hint="eastAsia" w:ascii="宋体" w:hAnsi="宋体" w:eastAsia="宋体" w:cs="宋体"/>
          <w:i w:val="0"/>
          <w:iCs w:val="0"/>
          <w:color w:val="000000"/>
          <w:kern w:val="0"/>
          <w:sz w:val="24"/>
          <w:szCs w:val="24"/>
          <w:u w:val="none"/>
          <w:lang w:val="en-US" w:eastAsia="zh-CN" w:bidi="ar"/>
        </w:rPr>
      </w:pPr>
      <w:r>
        <w:rPr>
          <w:rFonts w:hint="eastAsia" w:ascii="宋体" w:hAnsi="宋体"/>
          <w:b w:val="0"/>
          <w:bCs w:val="0"/>
          <w:color w:val="000000"/>
          <w:sz w:val="24"/>
          <w:szCs w:val="24"/>
          <w:lang w:val="en-US" w:eastAsia="zh-CN"/>
        </w:rPr>
        <w:t>(1)</w:t>
      </w:r>
      <w:r>
        <w:rPr>
          <w:rFonts w:hint="eastAsia" w:ascii="宋体" w:hAnsi="宋体"/>
          <w:b w:val="0"/>
          <w:bCs w:val="0"/>
          <w:color w:val="000000"/>
          <w:sz w:val="24"/>
          <w:szCs w:val="24"/>
        </w:rPr>
        <w:t>免费质保期</w:t>
      </w:r>
      <w:r>
        <w:rPr>
          <w:rFonts w:hint="eastAsia" w:ascii="宋体" w:hAnsi="宋体"/>
          <w:b w:val="0"/>
          <w:bCs w:val="0"/>
          <w:color w:val="000000"/>
          <w:sz w:val="24"/>
          <w:szCs w:val="24"/>
          <w:lang w:val="en-US" w:eastAsia="zh-CN"/>
        </w:rPr>
        <w:t>≥5</w:t>
      </w:r>
      <w:r>
        <w:rPr>
          <w:rFonts w:hint="eastAsia" w:ascii="宋体" w:hAnsi="宋体"/>
          <w:b w:val="0"/>
          <w:bCs w:val="0"/>
          <w:color w:val="000000"/>
          <w:sz w:val="24"/>
          <w:szCs w:val="24"/>
        </w:rPr>
        <w:t>年，</w:t>
      </w:r>
      <w:r>
        <w:rPr>
          <w:rFonts w:hint="eastAsia"/>
          <w:b/>
          <w:bCs/>
          <w:sz w:val="24"/>
          <w:szCs w:val="24"/>
          <w:u w:val="single"/>
        </w:rPr>
        <w:t>（自交货验收合格之日起计）</w:t>
      </w:r>
      <w:r>
        <w:rPr>
          <w:rFonts w:hint="eastAsia"/>
          <w:b/>
          <w:bCs/>
          <w:sz w:val="24"/>
          <w:szCs w:val="24"/>
          <w:u w:val="single"/>
          <w:lang w:eastAsia="zh-CN"/>
        </w:rPr>
        <w:t>。</w:t>
      </w:r>
      <w:r>
        <w:rPr>
          <w:rFonts w:hint="eastAsia" w:ascii="宋体" w:hAnsi="宋体" w:eastAsia="宋体" w:cs="宋体"/>
          <w:i w:val="0"/>
          <w:iCs w:val="0"/>
          <w:color w:val="000000"/>
          <w:kern w:val="0"/>
          <w:sz w:val="24"/>
          <w:szCs w:val="24"/>
          <w:u w:val="none"/>
          <w:lang w:val="en-US" w:eastAsia="zh-CN" w:bidi="ar"/>
        </w:rPr>
        <w:t>提供生产厂商质保，中标后提供生产厂商质保证明原件。提供二年及以上完全免费的生产厂商售后服务：包括生产厂商400电话支持、所有部件的生产厂商备件、不晚于第二工作日生产厂商售后服务工程师上门，生产厂商VIP客户服务，生产厂商24×7专线服务，所有设备用户名与客户单位名称对应并生产日期晚于招标日期，送货到用户指定地点</w:t>
      </w:r>
    </w:p>
    <w:p>
      <w:pPr>
        <w:spacing w:line="360" w:lineRule="auto"/>
        <w:ind w:firstLine="480" w:firstLineChars="200"/>
        <w:rPr>
          <w:rFonts w:hint="eastAsia" w:ascii="宋体" w:hAnsi="宋体" w:eastAsia="宋体" w:cs="宋体"/>
          <w:i w:val="0"/>
          <w:iCs w:val="0"/>
          <w:color w:val="000000"/>
          <w:kern w:val="0"/>
          <w:sz w:val="24"/>
          <w:szCs w:val="24"/>
          <w:u w:val="none"/>
          <w:lang w:val="en-US" w:eastAsia="zh-CN" w:bidi="ar"/>
        </w:rPr>
      </w:pPr>
      <w:r>
        <w:rPr>
          <w:rFonts w:hint="eastAsia" w:ascii="宋体" w:hAnsi="宋体"/>
          <w:b w:val="0"/>
          <w:bCs w:val="0"/>
          <w:color w:val="000000"/>
          <w:sz w:val="24"/>
          <w:szCs w:val="24"/>
          <w:lang w:val="en-US" w:eastAsia="zh-CN"/>
        </w:rPr>
        <w:t xml:space="preserve">(2) </w:t>
      </w:r>
      <w:r>
        <w:rPr>
          <w:rFonts w:hint="eastAsia" w:ascii="宋体" w:hAnsi="宋体" w:eastAsia="宋体" w:cs="宋体"/>
          <w:i w:val="0"/>
          <w:iCs w:val="0"/>
          <w:color w:val="000000"/>
          <w:kern w:val="0"/>
          <w:sz w:val="24"/>
          <w:szCs w:val="24"/>
          <w:u w:val="none"/>
          <w:lang w:val="en-US" w:eastAsia="zh-CN" w:bidi="ar"/>
        </w:rPr>
        <w:t>为了保障技术服务的及时性和质量，中标人自营技术服务团队，协调和补充售后服务。</w:t>
      </w:r>
    </w:p>
    <w:p>
      <w:pPr>
        <w:spacing w:line="360" w:lineRule="auto"/>
        <w:ind w:firstLine="480" w:firstLineChars="200"/>
        <w:rPr>
          <w:rFonts w:hint="eastAsia" w:ascii="宋体" w:hAnsi="宋体"/>
          <w:b w:val="0"/>
          <w:bCs w:val="0"/>
          <w:color w:val="000000"/>
          <w:sz w:val="24"/>
          <w:szCs w:val="24"/>
        </w:rPr>
      </w:pPr>
      <w:r>
        <w:rPr>
          <w:rFonts w:hint="eastAsia" w:ascii="宋体" w:hAnsi="宋体"/>
          <w:b w:val="0"/>
          <w:bCs w:val="0"/>
          <w:color w:val="000000"/>
          <w:sz w:val="24"/>
          <w:szCs w:val="24"/>
          <w:lang w:val="en-US" w:eastAsia="zh-CN"/>
        </w:rPr>
        <w:t xml:space="preserve">(3) </w:t>
      </w:r>
      <w:r>
        <w:rPr>
          <w:rFonts w:hint="eastAsia" w:ascii="宋体" w:hAnsi="宋体"/>
          <w:b w:val="0"/>
          <w:bCs w:val="0"/>
          <w:color w:val="000000"/>
          <w:sz w:val="24"/>
          <w:szCs w:val="24"/>
        </w:rPr>
        <w:t>质保期内，由于产品自身原因出现问题，由中标人免费更换，并达到合同约定的质量要求，中标人应该在收到院方更换通知24小时内解决处理。</w:t>
      </w:r>
    </w:p>
    <w:p>
      <w:pPr>
        <w:pStyle w:val="8"/>
        <w:numPr>
          <w:ilvl w:val="0"/>
          <w:numId w:val="0"/>
        </w:numPr>
        <w:spacing w:line="360" w:lineRule="auto"/>
        <w:ind w:leftChars="0" w:firstLine="482" w:firstLineChars="200"/>
        <w:rPr>
          <w:rFonts w:hint="eastAsia" w:ascii="宋体" w:hAnsi="宋体"/>
          <w:b w:val="0"/>
          <w:bCs w:val="0"/>
          <w:color w:val="000000"/>
          <w:sz w:val="24"/>
          <w:szCs w:val="24"/>
        </w:rPr>
      </w:pPr>
      <w:r>
        <w:rPr>
          <w:rFonts w:hint="eastAsia"/>
          <w:b/>
          <w:bCs/>
          <w:sz w:val="24"/>
          <w:szCs w:val="24"/>
          <w:lang w:val="en-US" w:eastAsia="zh-CN"/>
        </w:rPr>
        <w:t>5、质量保证及售后服务</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（1）所供应的商品是最新生产的符合国家技术规格和质量标准的出厂原装合格产品。</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（2）在质保期内因货物本身发生质量问题的，供应商应负责免费更换。对达不到质量要求者，根据实际情况，经双方协商，可按以下办法处理：</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【1】更换：由乙方承担所发生的全部费用。</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【2】贬值处理：由甲乙双方合议定价。</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【3】退货处理：乙方应退还甲方支付的合同款，同时应承担该货物的直接费用（运输、保险、检验、货款利息及银行手续费等）。</w:t>
      </w:r>
    </w:p>
    <w:p>
      <w:pPr>
        <w:pStyle w:val="8"/>
        <w:numPr>
          <w:ilvl w:val="0"/>
          <w:numId w:val="3"/>
        </w:numPr>
        <w:spacing w:line="360" w:lineRule="auto"/>
        <w:ind w:leftChars="200"/>
        <w:rPr>
          <w:rFonts w:hint="eastAsia"/>
          <w:sz w:val="24"/>
          <w:szCs w:val="24"/>
          <w:lang w:val="en-US" w:eastAsia="zh-CN"/>
        </w:rPr>
      </w:pPr>
      <w:r>
        <w:rPr>
          <w:rFonts w:hint="eastAsia"/>
          <w:sz w:val="24"/>
          <w:szCs w:val="24"/>
          <w:lang w:val="en-US" w:eastAsia="zh-CN"/>
        </w:rPr>
        <w:t>在质保期内，乙方应对货物出现的质量及安全问题负责处理解决并承担一切费用。</w:t>
      </w:r>
    </w:p>
    <w:p>
      <w:pPr>
        <w:pStyle w:val="8"/>
        <w:numPr>
          <w:ilvl w:val="0"/>
          <w:numId w:val="0"/>
        </w:numPr>
        <w:spacing w:line="360" w:lineRule="auto"/>
        <w:rPr>
          <w:rFonts w:hint="eastAsia"/>
          <w:sz w:val="24"/>
          <w:szCs w:val="24"/>
          <w:lang w:val="en-US" w:eastAsia="zh-CN"/>
        </w:rPr>
      </w:pPr>
    </w:p>
    <w:p>
      <w:pPr>
        <w:overflowPunct w:val="0"/>
        <w:spacing w:line="360" w:lineRule="auto"/>
        <w:rPr>
          <w:rFonts w:hint="eastAsia" w:ascii="宋体" w:hAnsi="宋体" w:cs="黑体"/>
          <w:b/>
          <w:bCs/>
          <w:color w:val="auto"/>
          <w:sz w:val="28"/>
          <w:szCs w:val="28"/>
        </w:rPr>
      </w:pPr>
      <w:r>
        <w:rPr>
          <w:rFonts w:hint="eastAsia" w:ascii="宋体" w:hAnsi="宋体" w:cs="黑体"/>
          <w:b/>
          <w:bCs/>
          <w:color w:val="auto"/>
          <w:sz w:val="28"/>
          <w:szCs w:val="28"/>
          <w:lang w:val="en-US" w:eastAsia="zh-CN"/>
        </w:rPr>
        <w:t>四</w:t>
      </w:r>
      <w:r>
        <w:rPr>
          <w:rFonts w:hint="eastAsia" w:ascii="宋体" w:hAnsi="宋体" w:cs="黑体"/>
          <w:b/>
          <w:bCs/>
          <w:color w:val="auto"/>
          <w:sz w:val="28"/>
          <w:szCs w:val="28"/>
        </w:rPr>
        <w:t>、定标方法</w:t>
      </w:r>
    </w:p>
    <w:p>
      <w:pPr>
        <w:pStyle w:val="5"/>
        <w:spacing w:line="360" w:lineRule="auto"/>
        <w:rPr>
          <w:rFonts w:hint="eastAsia"/>
          <w:color w:val="auto"/>
          <w:sz w:val="24"/>
          <w:szCs w:val="24"/>
        </w:rPr>
      </w:pPr>
      <w:r>
        <w:rPr>
          <w:rFonts w:hint="eastAsia"/>
          <w:color w:val="auto"/>
          <w:sz w:val="24"/>
          <w:szCs w:val="24"/>
        </w:rPr>
        <w:t>1、确定中标候选人</w:t>
      </w:r>
    </w:p>
    <w:p>
      <w:pPr>
        <w:pStyle w:val="5"/>
        <w:spacing w:line="360" w:lineRule="auto"/>
        <w:rPr>
          <w:rFonts w:hint="eastAsia"/>
          <w:color w:val="auto"/>
          <w:sz w:val="24"/>
          <w:szCs w:val="24"/>
        </w:rPr>
      </w:pPr>
      <w:r>
        <w:rPr>
          <w:rFonts w:hint="eastAsia"/>
          <w:color w:val="auto"/>
          <w:sz w:val="24"/>
          <w:szCs w:val="24"/>
        </w:rPr>
        <w:t>1.1由评标委员会确定中标候选人。</w:t>
      </w:r>
    </w:p>
    <w:p>
      <w:pPr>
        <w:pStyle w:val="5"/>
        <w:spacing w:line="360" w:lineRule="auto"/>
        <w:rPr>
          <w:rFonts w:hint="eastAsia"/>
          <w:color w:val="auto"/>
          <w:sz w:val="24"/>
          <w:szCs w:val="24"/>
        </w:rPr>
      </w:pPr>
      <w:r>
        <w:rPr>
          <w:rFonts w:hint="eastAsia"/>
          <w:color w:val="auto"/>
          <w:sz w:val="24"/>
          <w:szCs w:val="24"/>
        </w:rPr>
        <w:t>1.2评标委员会依据法律、法规及招标文件有关规定按评审后得分（即技术分与商务分之和）由高到低顺序排序，得分前二名的投标人确定为该项目的第一和第二中标候选人（得分相同报价低的排序第一；得分且报价相同的，技术指标优的排序第一）向采购人推荐。</w:t>
      </w:r>
    </w:p>
    <w:p>
      <w:pPr>
        <w:pStyle w:val="5"/>
        <w:spacing w:line="360" w:lineRule="auto"/>
        <w:rPr>
          <w:rFonts w:hint="eastAsia"/>
          <w:color w:val="auto"/>
          <w:sz w:val="24"/>
          <w:szCs w:val="24"/>
        </w:rPr>
      </w:pPr>
      <w:r>
        <w:rPr>
          <w:rFonts w:hint="eastAsia"/>
          <w:color w:val="auto"/>
          <w:sz w:val="24"/>
          <w:szCs w:val="24"/>
        </w:rPr>
        <w:t>2、确定中标人</w:t>
      </w:r>
    </w:p>
    <w:p>
      <w:pPr>
        <w:pStyle w:val="5"/>
        <w:spacing w:line="360" w:lineRule="auto"/>
        <w:rPr>
          <w:rFonts w:hint="eastAsia"/>
          <w:color w:val="auto"/>
          <w:sz w:val="24"/>
          <w:szCs w:val="24"/>
        </w:rPr>
      </w:pPr>
      <w:r>
        <w:rPr>
          <w:rFonts w:hint="eastAsia"/>
          <w:color w:val="auto"/>
          <w:sz w:val="24"/>
          <w:szCs w:val="24"/>
        </w:rPr>
        <w:t>2.1采购人按照评标报告中推荐的中标候选供应商顺序确定中标人；也可以事先授权评标委员会按照推荐的中标候选供应商顺序直接确定中标人。中标候选人并列的，采取随机抽取的方式确定。</w:t>
      </w:r>
    </w:p>
    <w:p>
      <w:pPr>
        <w:pStyle w:val="5"/>
        <w:spacing w:line="360" w:lineRule="auto"/>
        <w:rPr>
          <w:rFonts w:hint="eastAsia"/>
          <w:color w:val="auto"/>
          <w:sz w:val="24"/>
          <w:szCs w:val="24"/>
        </w:rPr>
      </w:pPr>
      <w:r>
        <w:rPr>
          <w:rFonts w:hint="eastAsia"/>
          <w:color w:val="auto"/>
          <w:sz w:val="24"/>
          <w:szCs w:val="24"/>
        </w:rPr>
        <w:t>2.2如中标人放弃中标、或未能在规定时间内与采购单位签订合同的；或者经质疑，采购人审查后，确因排名第一的候选人在本次采购活动中存在违法违规行为或其他原因使质疑成立的，采购人可以视情况直接确定排名第二的候选人为中标人或重新组织招标。</w:t>
      </w:r>
    </w:p>
    <w:p>
      <w:pPr>
        <w:pStyle w:val="5"/>
        <w:spacing w:line="360" w:lineRule="auto"/>
        <w:rPr>
          <w:rFonts w:hint="eastAsia"/>
          <w:color w:val="auto"/>
        </w:rPr>
      </w:pPr>
      <w:r>
        <w:rPr>
          <w:rFonts w:hint="eastAsia"/>
          <w:color w:val="auto"/>
          <w:sz w:val="24"/>
          <w:szCs w:val="24"/>
        </w:rPr>
        <w:t>3、中标人确定后，采购人将在温州市中医院官网公告中标结果。</w:t>
      </w:r>
    </w:p>
    <w:p>
      <w:pPr>
        <w:pStyle w:val="8"/>
        <w:numPr>
          <w:ilvl w:val="0"/>
          <w:numId w:val="0"/>
        </w:numPr>
        <w:spacing w:line="360" w:lineRule="auto"/>
        <w:ind w:leftChars="400"/>
        <w:rPr>
          <w:rFonts w:hint="eastAsia"/>
          <w:sz w:val="24"/>
          <w:szCs w:val="24"/>
          <w:lang w:val="en-US" w:eastAsia="zh-CN"/>
        </w:rPr>
      </w:pPr>
    </w:p>
    <w:p>
      <w:pPr>
        <w:pStyle w:val="8"/>
        <w:numPr>
          <w:ilvl w:val="0"/>
          <w:numId w:val="0"/>
        </w:numPr>
        <w:spacing w:line="360" w:lineRule="auto"/>
        <w:rPr>
          <w:rFonts w:hint="eastAsia"/>
          <w:sz w:val="24"/>
          <w:szCs w:val="24"/>
          <w:lang w:val="en-US" w:eastAsia="zh-CN"/>
        </w:rPr>
      </w:pPr>
    </w:p>
    <w:p>
      <w:pPr>
        <w:numPr>
          <w:ilvl w:val="0"/>
          <w:numId w:val="4"/>
        </w:numPr>
        <w:spacing w:line="360" w:lineRule="auto"/>
        <w:rPr>
          <w:rFonts w:hint="eastAsia" w:ascii="宋体" w:hAnsi="宋体"/>
          <w:b/>
          <w:bCs/>
          <w:color w:val="000000"/>
          <w:sz w:val="28"/>
          <w:szCs w:val="28"/>
          <w:lang w:val="en-US" w:eastAsia="zh-CN"/>
        </w:rPr>
      </w:pPr>
      <w:r>
        <w:rPr>
          <w:rFonts w:hint="eastAsia" w:ascii="宋体" w:hAnsi="宋体"/>
          <w:b/>
          <w:bCs/>
          <w:color w:val="000000"/>
          <w:sz w:val="28"/>
          <w:szCs w:val="28"/>
          <w:lang w:val="en-US" w:eastAsia="zh-CN"/>
        </w:rPr>
        <w:t>评分细则</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1、技术分的评定（</w:t>
      </w:r>
      <w:r>
        <w:rPr>
          <w:rFonts w:hint="eastAsia" w:ascii="宋体" w:hAnsi="宋体" w:cs="宋体"/>
          <w:color w:val="auto"/>
          <w:sz w:val="24"/>
          <w:lang w:val="en-US" w:eastAsia="zh-CN"/>
        </w:rPr>
        <w:t>7</w:t>
      </w:r>
      <w:r>
        <w:rPr>
          <w:rFonts w:hint="eastAsia" w:ascii="宋体" w:hAnsi="宋体" w:cs="宋体"/>
          <w:color w:val="auto"/>
          <w:sz w:val="24"/>
        </w:rPr>
        <w:t>0分)（权值</w:t>
      </w:r>
      <w:r>
        <w:rPr>
          <w:rFonts w:hint="eastAsia" w:ascii="宋体" w:hAnsi="宋体" w:cs="宋体"/>
          <w:color w:val="auto"/>
          <w:sz w:val="24"/>
          <w:lang w:val="en-US" w:eastAsia="zh-CN"/>
        </w:rPr>
        <w:t>7</w:t>
      </w:r>
      <w:r>
        <w:rPr>
          <w:rFonts w:hint="eastAsia" w:ascii="宋体" w:hAnsi="宋体" w:cs="宋体"/>
          <w:color w:val="auto"/>
          <w:sz w:val="24"/>
        </w:rPr>
        <w:t>0%）</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分得分（小数点后按四舍五入保留2位）。</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2、商务标（报价）</w:t>
      </w:r>
      <w:r>
        <w:rPr>
          <w:rFonts w:hint="eastAsia" w:ascii="宋体" w:hAnsi="宋体" w:cs="宋体"/>
          <w:color w:val="auto"/>
          <w:sz w:val="24"/>
          <w:lang w:val="en-US" w:eastAsia="zh-CN"/>
        </w:rPr>
        <w:t>3</w:t>
      </w:r>
      <w:r>
        <w:rPr>
          <w:rFonts w:hint="eastAsia" w:ascii="宋体" w:hAnsi="宋体" w:cs="宋体"/>
          <w:color w:val="auto"/>
          <w:sz w:val="24"/>
        </w:rPr>
        <w:t>0分（权值</w:t>
      </w:r>
      <w:r>
        <w:rPr>
          <w:rFonts w:hint="eastAsia" w:ascii="宋体" w:hAnsi="宋体" w:cs="宋体"/>
          <w:color w:val="auto"/>
          <w:sz w:val="24"/>
          <w:lang w:val="en-US" w:eastAsia="zh-CN"/>
        </w:rPr>
        <w:t>3</w:t>
      </w:r>
      <w:r>
        <w:rPr>
          <w:rFonts w:hint="eastAsia" w:ascii="宋体" w:hAnsi="宋体" w:cs="宋体"/>
          <w:color w:val="auto"/>
          <w:sz w:val="24"/>
        </w:rPr>
        <w:t>0%）</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满足招标文件要求且报价最低的报价为评审基准价，其余投标人报价与该基准价对比，计算出商务报价评分值（保留小数2位）：</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1）有效投标人的报价等于评审基准价时其报价分为满分</w:t>
      </w:r>
      <w:r>
        <w:rPr>
          <w:rFonts w:hint="eastAsia" w:ascii="宋体" w:hAnsi="宋体" w:cs="宋体"/>
          <w:color w:val="auto"/>
          <w:sz w:val="24"/>
          <w:lang w:val="en-US" w:eastAsia="zh-CN"/>
        </w:rPr>
        <w:t>3</w:t>
      </w:r>
      <w:r>
        <w:rPr>
          <w:rFonts w:hint="eastAsia" w:ascii="宋体" w:hAnsi="宋体" w:cs="宋体"/>
          <w:color w:val="auto"/>
          <w:sz w:val="24"/>
        </w:rPr>
        <w:t>0分；</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2）其他投标人的价格分按以下公式计算：</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报价得分=（评分基准价/投标人投标报价）× 价格权值 ×100（保留小数2位）</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3、有效投标人的综合得分为技术分和商务（报价）分的总和。</w:t>
      </w:r>
    </w:p>
    <w:p>
      <w:pPr>
        <w:spacing w:line="360" w:lineRule="auto"/>
        <w:ind w:firstLine="480" w:firstLineChars="200"/>
        <w:rPr>
          <w:color w:val="auto"/>
        </w:rPr>
      </w:pPr>
      <w:r>
        <w:rPr>
          <w:rFonts w:hint="eastAsia" w:ascii="宋体" w:hAnsi="宋体" w:cs="宋体"/>
          <w:color w:val="auto"/>
          <w:sz w:val="24"/>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
        <w:rPr>
          <w:color w:val="auto"/>
          <w:sz w:val="28"/>
          <w:szCs w:val="28"/>
        </w:rPr>
      </w:pPr>
      <w:r>
        <w:rPr>
          <w:rFonts w:hint="eastAsia"/>
          <w:color w:val="auto"/>
          <w:sz w:val="28"/>
          <w:szCs w:val="28"/>
          <w:lang w:val="en-US" w:eastAsia="zh-CN"/>
        </w:rPr>
        <w:t>六</w:t>
      </w:r>
      <w:r>
        <w:rPr>
          <w:rFonts w:hint="eastAsia"/>
          <w:color w:val="auto"/>
          <w:sz w:val="28"/>
          <w:szCs w:val="28"/>
        </w:rPr>
        <w:t>、附件</w:t>
      </w:r>
    </w:p>
    <w:p>
      <w:pPr>
        <w:pStyle w:val="5"/>
        <w:numPr>
          <w:ilvl w:val="0"/>
          <w:numId w:val="0"/>
        </w:numPr>
        <w:rPr>
          <w:rFonts w:hint="default"/>
          <w:lang w:val="en-US" w:eastAsia="zh-CN"/>
        </w:rPr>
      </w:pPr>
    </w:p>
    <w:p>
      <w:pPr>
        <w:numPr>
          <w:ilvl w:val="0"/>
          <w:numId w:val="5"/>
        </w:numPr>
        <w:spacing w:line="360" w:lineRule="auto"/>
        <w:ind w:firstLine="466" w:firstLineChars="200"/>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bCs/>
          <w:spacing w:val="-4"/>
          <w:sz w:val="24"/>
          <w:szCs w:val="24"/>
        </w:rPr>
        <w:t>商务技术分（0-</w:t>
      </w:r>
      <w:r>
        <w:rPr>
          <w:rFonts w:hint="eastAsia" w:asciiTheme="minorEastAsia" w:hAnsiTheme="minorEastAsia" w:cstheme="minorEastAsia"/>
          <w:b/>
          <w:bCs/>
          <w:spacing w:val="-4"/>
          <w:sz w:val="24"/>
          <w:szCs w:val="24"/>
          <w:lang w:val="en-US" w:eastAsia="zh-CN"/>
        </w:rPr>
        <w:t>7</w:t>
      </w:r>
      <w:r>
        <w:rPr>
          <w:rFonts w:hint="eastAsia" w:asciiTheme="minorEastAsia" w:hAnsiTheme="minorEastAsia" w:eastAsiaTheme="minorEastAsia" w:cstheme="minorEastAsia"/>
          <w:b/>
          <w:bCs/>
          <w:spacing w:val="-4"/>
          <w:sz w:val="24"/>
          <w:szCs w:val="24"/>
          <w:lang w:val="en-US" w:eastAsia="zh-CN"/>
        </w:rPr>
        <w:t>0</w:t>
      </w:r>
      <w:r>
        <w:rPr>
          <w:rFonts w:hint="eastAsia" w:asciiTheme="minorEastAsia" w:hAnsiTheme="minorEastAsia" w:eastAsiaTheme="minorEastAsia" w:cstheme="minorEastAsia"/>
          <w:b/>
          <w:bCs/>
          <w:spacing w:val="-4"/>
          <w:sz w:val="24"/>
          <w:szCs w:val="24"/>
        </w:rPr>
        <w:t>分）</w:t>
      </w:r>
    </w:p>
    <w:tbl>
      <w:tblPr>
        <w:tblStyle w:val="14"/>
        <w:tblW w:w="949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50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73" w:hRule="atLeast"/>
          <w:jc w:val="center"/>
        </w:trPr>
        <w:tc>
          <w:tcPr>
            <w:tcW w:w="788"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2639"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评定项目</w:t>
            </w:r>
          </w:p>
        </w:tc>
        <w:tc>
          <w:tcPr>
            <w:tcW w:w="99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分值</w:t>
            </w:r>
          </w:p>
        </w:tc>
        <w:tc>
          <w:tcPr>
            <w:tcW w:w="5069" w:type="dxa"/>
            <w:noWrap w:val="0"/>
            <w:vAlign w:val="center"/>
          </w:tcPr>
          <w:p>
            <w:pPr>
              <w:ind w:left="105" w:leftChars="50" w:right="10" w:rightChars="5"/>
              <w:jc w:val="center"/>
              <w:rPr>
                <w:rFonts w:hint="eastAsia" w:ascii="宋体" w:hAnsi="宋体" w:eastAsia="宋体" w:cs="宋体"/>
                <w:sz w:val="24"/>
                <w:szCs w:val="24"/>
              </w:rPr>
            </w:pPr>
            <w:r>
              <w:rPr>
                <w:rFonts w:hint="eastAsia" w:ascii="宋体" w:hAnsi="宋体" w:eastAsia="宋体" w:cs="宋体"/>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290" w:hRule="atLeast"/>
          <w:jc w:val="center"/>
        </w:trPr>
        <w:tc>
          <w:tcPr>
            <w:tcW w:w="788"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2639"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对应于</w:t>
            </w:r>
            <w:r>
              <w:rPr>
                <w:rFonts w:hint="eastAsia" w:ascii="宋体" w:hAnsi="宋体" w:cs="宋体"/>
                <w:sz w:val="24"/>
                <w:szCs w:val="24"/>
                <w:lang w:val="en-US" w:eastAsia="zh-CN"/>
              </w:rPr>
              <w:t>采购</w:t>
            </w:r>
            <w:r>
              <w:rPr>
                <w:rFonts w:hint="eastAsia" w:ascii="宋体" w:hAnsi="宋体" w:eastAsia="宋体" w:cs="宋体"/>
                <w:sz w:val="24"/>
                <w:szCs w:val="24"/>
              </w:rPr>
              <w:t>文件</w:t>
            </w:r>
            <w:r>
              <w:rPr>
                <w:rFonts w:hint="eastAsia" w:ascii="宋体" w:hAnsi="宋体" w:cs="宋体"/>
                <w:sz w:val="24"/>
                <w:szCs w:val="24"/>
                <w:lang w:val="en-US" w:eastAsia="zh-CN"/>
              </w:rPr>
              <w:t>产品</w:t>
            </w:r>
            <w:r>
              <w:rPr>
                <w:rFonts w:hint="eastAsia" w:ascii="宋体" w:hAnsi="宋体" w:eastAsia="宋体" w:cs="宋体"/>
                <w:sz w:val="24"/>
                <w:szCs w:val="24"/>
              </w:rPr>
              <w:t>技术规格及配置的偏离度</w:t>
            </w:r>
          </w:p>
        </w:tc>
        <w:tc>
          <w:tcPr>
            <w:tcW w:w="997" w:type="dxa"/>
            <w:noWrap w:val="0"/>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36</w:t>
            </w:r>
          </w:p>
        </w:tc>
        <w:tc>
          <w:tcPr>
            <w:tcW w:w="5069" w:type="dxa"/>
            <w:noWrap w:val="0"/>
            <w:vAlign w:val="center"/>
          </w:tcPr>
          <w:p>
            <w:pPr>
              <w:ind w:left="105" w:leftChars="50" w:right="10" w:rightChars="5"/>
              <w:rPr>
                <w:rFonts w:hint="eastAsia" w:ascii="宋体" w:hAnsi="宋体" w:eastAsia="宋体" w:cs="宋体"/>
                <w:sz w:val="24"/>
                <w:szCs w:val="24"/>
              </w:rPr>
            </w:pPr>
            <w:r>
              <w:rPr>
                <w:rFonts w:hint="default" w:ascii="Times New Roman" w:hAnsi="Times New Roman" w:eastAsia="新宋体" w:cs="Times New Roman"/>
                <w:color w:val="auto"/>
                <w:sz w:val="22"/>
                <w:szCs w:val="22"/>
                <w:highlight w:val="none"/>
              </w:rPr>
              <w:t>与</w:t>
            </w:r>
            <w:r>
              <w:rPr>
                <w:rFonts w:hint="eastAsia" w:ascii="Times New Roman" w:hAnsi="Times New Roman" w:eastAsia="新宋体" w:cs="Times New Roman"/>
                <w:color w:val="auto"/>
                <w:sz w:val="22"/>
                <w:szCs w:val="22"/>
                <w:highlight w:val="none"/>
                <w:lang w:val="en-US" w:eastAsia="zh-CN"/>
              </w:rPr>
              <w:t>采购</w:t>
            </w:r>
            <w:r>
              <w:rPr>
                <w:rFonts w:hint="default" w:ascii="Times New Roman" w:hAnsi="Times New Roman" w:eastAsia="新宋体" w:cs="Times New Roman"/>
                <w:color w:val="auto"/>
                <w:sz w:val="22"/>
                <w:szCs w:val="22"/>
                <w:highlight w:val="none"/>
              </w:rPr>
              <w:t>文件</w:t>
            </w:r>
            <w:r>
              <w:rPr>
                <w:rFonts w:hint="eastAsia" w:ascii="Times New Roman" w:hAnsi="Times New Roman" w:eastAsia="新宋体" w:cs="Times New Roman"/>
                <w:color w:val="auto"/>
                <w:sz w:val="22"/>
                <w:szCs w:val="22"/>
                <w:highlight w:val="none"/>
                <w:lang w:eastAsia="zh-CN"/>
              </w:rPr>
              <w:t>中</w:t>
            </w:r>
            <w:r>
              <w:rPr>
                <w:rFonts w:hint="eastAsia" w:ascii="Times New Roman" w:hAnsi="Times New Roman" w:eastAsia="新宋体" w:cs="Times New Roman"/>
                <w:color w:val="auto"/>
                <w:sz w:val="22"/>
                <w:szCs w:val="22"/>
                <w:highlight w:val="none"/>
                <w:lang w:val="en-US" w:eastAsia="zh-CN"/>
              </w:rPr>
              <w:t>产品</w:t>
            </w:r>
            <w:r>
              <w:rPr>
                <w:rFonts w:hint="default" w:ascii="Times New Roman" w:hAnsi="Times New Roman" w:eastAsia="新宋体" w:cs="Times New Roman"/>
                <w:color w:val="auto"/>
                <w:sz w:val="22"/>
                <w:szCs w:val="22"/>
                <w:highlight w:val="none"/>
              </w:rPr>
              <w:t>技术规格及配置、商务要求对比，一项指标负偏离扣</w:t>
            </w:r>
            <w:r>
              <w:rPr>
                <w:rFonts w:hint="eastAsia" w:ascii="Times New Roman" w:hAnsi="Times New Roman" w:eastAsia="新宋体" w:cs="Times New Roman"/>
                <w:color w:val="auto"/>
                <w:sz w:val="22"/>
                <w:szCs w:val="22"/>
                <w:highlight w:val="none"/>
                <w:lang w:val="en-US" w:eastAsia="zh-CN"/>
              </w:rPr>
              <w:t>3</w:t>
            </w:r>
            <w:r>
              <w:rPr>
                <w:rFonts w:hint="default" w:ascii="Times New Roman" w:hAnsi="Times New Roman" w:eastAsia="新宋体" w:cs="Times New Roman"/>
                <w:color w:val="auto"/>
                <w:sz w:val="22"/>
                <w:szCs w:val="22"/>
                <w:highlight w:val="none"/>
              </w:rPr>
              <w:t>分，扣完为止</w:t>
            </w:r>
            <w:r>
              <w:rPr>
                <w:rFonts w:hint="default" w:ascii="Times New Roman" w:hAnsi="Times New Roman" w:eastAsia="新宋体" w:cs="Times New Roman"/>
                <w:color w:val="auto"/>
                <w:sz w:val="22"/>
                <w:szCs w:val="22"/>
                <w:highlight w:val="none"/>
                <w:lang w:eastAsia="zh-CN"/>
              </w:rPr>
              <w:t>。</w:t>
            </w:r>
            <w:bookmarkStart w:id="4" w:name="_GoBack"/>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94" w:hRule="atLeast"/>
          <w:jc w:val="center"/>
        </w:trPr>
        <w:tc>
          <w:tcPr>
            <w:tcW w:w="788" w:type="dxa"/>
            <w:noWrap w:val="0"/>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2</w:t>
            </w:r>
          </w:p>
        </w:tc>
        <w:tc>
          <w:tcPr>
            <w:tcW w:w="2639"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投标</w:t>
            </w:r>
            <w:r>
              <w:rPr>
                <w:rFonts w:hint="eastAsia" w:ascii="宋体" w:hAnsi="宋体" w:cs="宋体"/>
                <w:sz w:val="24"/>
                <w:szCs w:val="24"/>
                <w:lang w:val="en-US" w:eastAsia="zh-CN"/>
              </w:rPr>
              <w:t>产品</w:t>
            </w:r>
            <w:r>
              <w:rPr>
                <w:rFonts w:hint="eastAsia" w:ascii="宋体" w:hAnsi="宋体" w:eastAsia="宋体" w:cs="宋体"/>
                <w:sz w:val="24"/>
                <w:szCs w:val="24"/>
              </w:rPr>
              <w:t>的档次</w:t>
            </w:r>
          </w:p>
        </w:tc>
        <w:tc>
          <w:tcPr>
            <w:tcW w:w="997" w:type="dxa"/>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5</w:t>
            </w:r>
          </w:p>
        </w:tc>
        <w:tc>
          <w:tcPr>
            <w:tcW w:w="5069" w:type="dxa"/>
            <w:noWrap w:val="0"/>
            <w:vAlign w:val="center"/>
          </w:tcPr>
          <w:p>
            <w:pPr>
              <w:ind w:left="105" w:leftChars="50" w:right="10" w:rightChars="5"/>
              <w:rPr>
                <w:rFonts w:hint="eastAsia" w:ascii="宋体" w:hAnsi="宋体" w:eastAsia="宋体" w:cs="宋体"/>
                <w:sz w:val="24"/>
                <w:szCs w:val="24"/>
              </w:rPr>
            </w:pPr>
            <w:r>
              <w:rPr>
                <w:rFonts w:hint="eastAsia" w:ascii="宋体" w:hAnsi="宋体" w:eastAsia="宋体" w:cs="宋体"/>
                <w:sz w:val="24"/>
                <w:szCs w:val="24"/>
              </w:rPr>
              <w:t>投标</w:t>
            </w:r>
            <w:r>
              <w:rPr>
                <w:rFonts w:hint="eastAsia" w:ascii="宋体" w:hAnsi="宋体" w:cs="宋体"/>
                <w:sz w:val="24"/>
                <w:szCs w:val="24"/>
                <w:lang w:val="en-US" w:eastAsia="zh-CN"/>
              </w:rPr>
              <w:t>产品</w:t>
            </w:r>
            <w:r>
              <w:rPr>
                <w:rFonts w:hint="eastAsia" w:ascii="宋体" w:hAnsi="宋体" w:eastAsia="宋体" w:cs="宋体"/>
                <w:sz w:val="24"/>
                <w:szCs w:val="24"/>
              </w:rPr>
              <w:t>在产品系列中属高档产品的，得</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5</w:t>
            </w:r>
            <w:r>
              <w:rPr>
                <w:rFonts w:hint="eastAsia" w:ascii="宋体" w:hAnsi="宋体" w:eastAsia="宋体" w:cs="宋体"/>
                <w:sz w:val="24"/>
                <w:szCs w:val="24"/>
              </w:rPr>
              <w:t>分；属中等档次产品的，得</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10</w:t>
            </w:r>
            <w:r>
              <w:rPr>
                <w:rFonts w:hint="eastAsia" w:ascii="宋体" w:hAnsi="宋体" w:eastAsia="宋体" w:cs="宋体"/>
                <w:sz w:val="24"/>
                <w:szCs w:val="24"/>
              </w:rPr>
              <w:t>分；属低档产品的，得</w:t>
            </w:r>
            <w:r>
              <w:rPr>
                <w:rFonts w:hint="eastAsia" w:ascii="宋体" w:hAnsi="宋体" w:eastAsia="宋体" w:cs="宋体"/>
                <w:sz w:val="24"/>
                <w:szCs w:val="24"/>
                <w:lang w:val="en-US" w:eastAsia="zh-CN"/>
              </w:rPr>
              <w:t>0-</w:t>
            </w:r>
            <w:r>
              <w:rPr>
                <w:rFonts w:hint="eastAsia" w:ascii="宋体" w:hAnsi="宋体" w:cs="宋体"/>
                <w:sz w:val="24"/>
                <w:szCs w:val="24"/>
                <w:lang w:val="en-US" w:eastAsia="zh-CN"/>
              </w:rPr>
              <w:t>5</w:t>
            </w:r>
            <w:r>
              <w:rPr>
                <w:rFonts w:hint="eastAsia" w:ascii="宋体" w:hAnsi="宋体" w:eastAsia="宋体" w:cs="宋体"/>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17" w:hRule="atLeast"/>
          <w:jc w:val="center"/>
        </w:trPr>
        <w:tc>
          <w:tcPr>
            <w:tcW w:w="788" w:type="dxa"/>
            <w:noWrap w:val="0"/>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w:t>
            </w:r>
          </w:p>
        </w:tc>
        <w:tc>
          <w:tcPr>
            <w:tcW w:w="2639"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保修服务</w:t>
            </w:r>
          </w:p>
        </w:tc>
        <w:tc>
          <w:tcPr>
            <w:tcW w:w="997" w:type="dxa"/>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5069" w:type="dxa"/>
            <w:noWrap w:val="0"/>
            <w:vAlign w:val="center"/>
          </w:tcPr>
          <w:p>
            <w:pPr>
              <w:ind w:left="105" w:leftChars="50" w:right="10" w:rightChars="5"/>
              <w:rPr>
                <w:rFonts w:hint="eastAsia" w:ascii="宋体" w:hAnsi="宋体" w:eastAsia="宋体" w:cs="宋体"/>
                <w:sz w:val="24"/>
                <w:szCs w:val="24"/>
              </w:rPr>
            </w:pPr>
            <w:r>
              <w:rPr>
                <w:rFonts w:hint="eastAsia" w:ascii="宋体" w:hAnsi="宋体" w:cs="宋体"/>
                <w:sz w:val="24"/>
                <w:szCs w:val="24"/>
                <w:lang w:val="en-US" w:eastAsia="zh-CN"/>
              </w:rPr>
              <w:t>产品</w:t>
            </w:r>
            <w:r>
              <w:rPr>
                <w:rFonts w:hint="eastAsia" w:ascii="宋体" w:hAnsi="宋体" w:eastAsia="宋体" w:cs="宋体"/>
                <w:sz w:val="24"/>
                <w:szCs w:val="24"/>
              </w:rPr>
              <w:t>保修期超过</w:t>
            </w:r>
            <w:r>
              <w:rPr>
                <w:rFonts w:hint="eastAsia" w:ascii="宋体" w:hAnsi="宋体" w:cs="宋体"/>
                <w:sz w:val="24"/>
                <w:szCs w:val="24"/>
                <w:lang w:val="en-US" w:eastAsia="zh-CN"/>
              </w:rPr>
              <w:t>采购</w:t>
            </w:r>
            <w:r>
              <w:rPr>
                <w:rFonts w:hint="eastAsia" w:ascii="宋体" w:hAnsi="宋体" w:eastAsia="宋体" w:cs="宋体"/>
                <w:sz w:val="24"/>
                <w:szCs w:val="24"/>
              </w:rPr>
              <w:t>文件要求的，每增加1年加1分</w:t>
            </w:r>
            <w:r>
              <w:rPr>
                <w:rFonts w:hint="eastAsia" w:ascii="宋体" w:hAnsi="宋体" w:cs="宋体"/>
                <w:sz w:val="24"/>
                <w:szCs w:val="24"/>
                <w:lang w:val="en-US" w:eastAsia="zh-CN"/>
              </w:rPr>
              <w:t>，</w:t>
            </w:r>
            <w:r>
              <w:rPr>
                <w:rFonts w:hint="eastAsia" w:ascii="宋体" w:hAnsi="宋体" w:eastAsia="宋体" w:cs="宋体"/>
                <w:sz w:val="24"/>
                <w:szCs w:val="24"/>
              </w:rPr>
              <w:t>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935" w:hRule="atLeast"/>
          <w:jc w:val="center"/>
        </w:trPr>
        <w:tc>
          <w:tcPr>
            <w:tcW w:w="788" w:type="dxa"/>
            <w:noWrap w:val="0"/>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w:t>
            </w:r>
          </w:p>
        </w:tc>
        <w:tc>
          <w:tcPr>
            <w:tcW w:w="2639"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市场占有率</w:t>
            </w:r>
          </w:p>
        </w:tc>
        <w:tc>
          <w:tcPr>
            <w:tcW w:w="997" w:type="dxa"/>
            <w:noWrap w:val="0"/>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3</w:t>
            </w:r>
          </w:p>
        </w:tc>
        <w:tc>
          <w:tcPr>
            <w:tcW w:w="5069" w:type="dxa"/>
            <w:noWrap w:val="0"/>
            <w:vAlign w:val="center"/>
          </w:tcPr>
          <w:p>
            <w:pPr>
              <w:ind w:left="105" w:leftChars="50" w:right="10" w:rightChars="5"/>
              <w:rPr>
                <w:rFonts w:hint="eastAsia" w:ascii="宋体" w:hAnsi="宋体" w:eastAsia="宋体" w:cs="宋体"/>
                <w:sz w:val="24"/>
                <w:szCs w:val="24"/>
              </w:rPr>
            </w:pPr>
            <w:r>
              <w:rPr>
                <w:rFonts w:hint="eastAsia" w:ascii="宋体" w:hAnsi="宋体" w:eastAsia="宋体" w:cs="宋体"/>
                <w:sz w:val="24"/>
                <w:szCs w:val="24"/>
              </w:rPr>
              <w:t>提供</w:t>
            </w:r>
            <w:r>
              <w:rPr>
                <w:rFonts w:hint="eastAsia" w:ascii="宋体" w:hAnsi="宋体" w:cs="宋体"/>
                <w:sz w:val="24"/>
                <w:szCs w:val="24"/>
                <w:lang w:eastAsia="zh-CN"/>
              </w:rPr>
              <w:t>内</w:t>
            </w:r>
            <w:r>
              <w:rPr>
                <w:rFonts w:hint="eastAsia" w:ascii="宋体" w:hAnsi="宋体" w:eastAsia="宋体" w:cs="宋体"/>
                <w:sz w:val="24"/>
                <w:szCs w:val="24"/>
              </w:rPr>
              <w:t>20</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2</w:t>
            </w:r>
            <w:r>
              <w:rPr>
                <w:rFonts w:hint="eastAsia" w:ascii="宋体" w:hAnsi="宋体" w:eastAsia="宋体" w:cs="宋体"/>
                <w:sz w:val="24"/>
                <w:szCs w:val="24"/>
              </w:rPr>
              <w:t>年1月1日起至今与最终用户签订的投标</w:t>
            </w:r>
            <w:r>
              <w:rPr>
                <w:rFonts w:hint="eastAsia" w:ascii="宋体" w:hAnsi="宋体" w:cs="宋体"/>
                <w:sz w:val="24"/>
                <w:szCs w:val="24"/>
                <w:lang w:val="en-US" w:eastAsia="zh-CN"/>
              </w:rPr>
              <w:t>相同品牌产品（会议投影仪）</w:t>
            </w:r>
            <w:r>
              <w:rPr>
                <w:rFonts w:hint="eastAsia" w:ascii="宋体" w:hAnsi="宋体" w:eastAsia="宋体" w:cs="宋体"/>
                <w:sz w:val="24"/>
                <w:szCs w:val="24"/>
              </w:rPr>
              <w:t>合同复印件</w:t>
            </w:r>
            <w:r>
              <w:rPr>
                <w:rFonts w:hint="eastAsia" w:ascii="宋体" w:hAnsi="宋体" w:cs="宋体"/>
                <w:sz w:val="24"/>
                <w:szCs w:val="24"/>
                <w:lang w:val="en-US" w:eastAsia="zh-CN"/>
              </w:rPr>
              <w:t>或购销发票</w:t>
            </w:r>
            <w:r>
              <w:rPr>
                <w:rFonts w:hint="eastAsia" w:ascii="宋体" w:hAnsi="宋体" w:eastAsia="宋体" w:cs="宋体"/>
                <w:sz w:val="24"/>
                <w:szCs w:val="24"/>
              </w:rPr>
              <w:t>，每份有效合同</w:t>
            </w:r>
            <w:r>
              <w:rPr>
                <w:rFonts w:hint="eastAsia" w:ascii="宋体" w:hAnsi="宋体" w:cs="宋体"/>
                <w:sz w:val="24"/>
                <w:szCs w:val="24"/>
                <w:lang w:val="en-US" w:eastAsia="zh-CN"/>
              </w:rPr>
              <w:t>或购销发票</w:t>
            </w:r>
            <w:r>
              <w:rPr>
                <w:rFonts w:hint="eastAsia" w:ascii="宋体" w:hAnsi="宋体" w:eastAsia="宋体" w:cs="宋体"/>
                <w:sz w:val="24"/>
                <w:szCs w:val="24"/>
              </w:rPr>
              <w:t>得</w:t>
            </w:r>
            <w:r>
              <w:rPr>
                <w:rFonts w:hint="eastAsia" w:ascii="宋体" w:hAnsi="宋体" w:cs="宋体"/>
                <w:sz w:val="24"/>
                <w:szCs w:val="24"/>
                <w:lang w:val="en-US" w:eastAsia="zh-CN"/>
              </w:rPr>
              <w:t>1</w:t>
            </w:r>
            <w:r>
              <w:rPr>
                <w:rFonts w:hint="eastAsia" w:ascii="宋体" w:hAnsi="宋体" w:eastAsia="宋体" w:cs="宋体"/>
                <w:sz w:val="24"/>
                <w:szCs w:val="24"/>
              </w:rPr>
              <w:t>分，最多</w:t>
            </w:r>
            <w:r>
              <w:rPr>
                <w:rFonts w:hint="eastAsia" w:ascii="宋体" w:hAnsi="宋体" w:cs="宋体"/>
                <w:sz w:val="24"/>
                <w:szCs w:val="24"/>
                <w:lang w:val="en-US" w:eastAsia="zh-CN"/>
              </w:rPr>
              <w:t>3</w:t>
            </w:r>
            <w:r>
              <w:rPr>
                <w:rFonts w:hint="eastAsia" w:ascii="宋体" w:hAnsi="宋体" w:eastAsia="宋体" w:cs="宋体"/>
                <w:sz w:val="24"/>
                <w:szCs w:val="24"/>
              </w:rPr>
              <w:t>分。（与同一采购人签订的多份合同</w:t>
            </w:r>
            <w:r>
              <w:rPr>
                <w:rFonts w:hint="eastAsia" w:ascii="宋体" w:hAnsi="宋体" w:cs="宋体"/>
                <w:sz w:val="24"/>
                <w:szCs w:val="24"/>
                <w:lang w:val="en-US" w:eastAsia="zh-CN"/>
              </w:rPr>
              <w:t>或购销发票</w:t>
            </w:r>
            <w:r>
              <w:rPr>
                <w:rFonts w:hint="eastAsia" w:ascii="宋体" w:hAnsi="宋体" w:eastAsia="宋体" w:cs="宋体"/>
                <w:sz w:val="24"/>
                <w:szCs w:val="24"/>
              </w:rPr>
              <w:t>视为一个业绩）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557" w:hRule="atLeast"/>
          <w:jc w:val="center"/>
        </w:trPr>
        <w:tc>
          <w:tcPr>
            <w:tcW w:w="788" w:type="dxa"/>
            <w:noWrap w:val="0"/>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5</w:t>
            </w:r>
          </w:p>
        </w:tc>
        <w:tc>
          <w:tcPr>
            <w:tcW w:w="2639"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制造商或代理商的售后服务和维修能力</w:t>
            </w:r>
          </w:p>
        </w:tc>
        <w:tc>
          <w:tcPr>
            <w:tcW w:w="997" w:type="dxa"/>
            <w:noWrap w:val="0"/>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11</w:t>
            </w:r>
          </w:p>
        </w:tc>
        <w:tc>
          <w:tcPr>
            <w:tcW w:w="5069" w:type="dxa"/>
            <w:noWrap w:val="0"/>
            <w:vAlign w:val="center"/>
          </w:tcPr>
          <w:p>
            <w:pPr>
              <w:ind w:left="105" w:leftChars="50" w:right="10" w:rightChars="5"/>
              <w:rPr>
                <w:rFonts w:hint="eastAsia" w:ascii="宋体" w:hAnsi="宋体" w:eastAsia="宋体" w:cs="宋体"/>
                <w:sz w:val="24"/>
                <w:szCs w:val="24"/>
                <w:lang w:eastAsia="zh-CN"/>
              </w:rPr>
            </w:pPr>
            <w:r>
              <w:rPr>
                <w:rFonts w:hint="eastAsia" w:ascii="宋体" w:hAnsi="宋体" w:eastAsia="宋体" w:cs="宋体"/>
                <w:sz w:val="24"/>
                <w:szCs w:val="24"/>
              </w:rPr>
              <w:t>制造商或代理商的售后服务和维修能力，服务响应速度、服务人员水平、备品备件配置等综合评价。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w:t>
            </w:r>
            <w:r>
              <w:rPr>
                <w:rFonts w:hint="eastAsia" w:ascii="宋体" w:hAnsi="宋体" w:cs="宋体"/>
                <w:sz w:val="24"/>
                <w:szCs w:val="24"/>
                <w:lang w:val="en-US" w:eastAsia="zh-CN"/>
              </w:rPr>
              <w:t>11</w:t>
            </w:r>
            <w:r>
              <w:rPr>
                <w:rFonts w:hint="eastAsia" w:ascii="宋体" w:hAnsi="宋体" w:eastAsia="宋体" w:cs="宋体"/>
                <w:sz w:val="24"/>
                <w:szCs w:val="24"/>
                <w:lang w:val="en-US" w:eastAsia="zh-CN"/>
              </w:rPr>
              <w:t>分</w:t>
            </w:r>
            <w:r>
              <w:rPr>
                <w:rFonts w:hint="eastAsia" w:ascii="宋体" w:hAnsi="宋体" w:eastAsia="宋体" w:cs="宋体"/>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557" w:hRule="atLeast"/>
          <w:jc w:val="center"/>
        </w:trPr>
        <w:tc>
          <w:tcPr>
            <w:tcW w:w="788" w:type="dxa"/>
            <w:noWrap w:val="0"/>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6</w:t>
            </w:r>
          </w:p>
        </w:tc>
        <w:tc>
          <w:tcPr>
            <w:tcW w:w="2639" w:type="dxa"/>
            <w:noWrap w:val="0"/>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其他优惠承诺</w:t>
            </w:r>
          </w:p>
        </w:tc>
        <w:tc>
          <w:tcPr>
            <w:tcW w:w="997" w:type="dxa"/>
            <w:noWrap w:val="0"/>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p>
        </w:tc>
        <w:tc>
          <w:tcPr>
            <w:tcW w:w="5069" w:type="dxa"/>
            <w:noWrap w:val="0"/>
            <w:vAlign w:val="center"/>
          </w:tcPr>
          <w:p>
            <w:pPr>
              <w:ind w:left="105" w:leftChars="50" w:right="10" w:rightChars="5"/>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val="en-US" w:eastAsia="zh-CN"/>
              </w:rPr>
              <w:t>根据投标人提供的优惠承诺进行打分（2-0分），未提供不得分。</w:t>
            </w:r>
          </w:p>
        </w:tc>
      </w:tr>
    </w:tbl>
    <w:p>
      <w:pPr>
        <w:numPr>
          <w:ilvl w:val="0"/>
          <w:numId w:val="0"/>
        </w:numPr>
        <w:spacing w:line="360" w:lineRule="auto"/>
        <w:rPr>
          <w:rFonts w:hint="eastAsia" w:asciiTheme="minorEastAsia" w:hAnsiTheme="minorEastAsia" w:eastAsiaTheme="minorEastAsia" w:cstheme="minorEastAsia"/>
          <w:b/>
          <w:bCs/>
          <w:spacing w:val="-4"/>
          <w:sz w:val="24"/>
          <w:szCs w:val="24"/>
          <w:lang w:val="en-US" w:eastAsia="zh-CN"/>
        </w:rPr>
      </w:pPr>
    </w:p>
    <w:p>
      <w:pPr>
        <w:numPr>
          <w:ilvl w:val="0"/>
          <w:numId w:val="0"/>
        </w:numPr>
        <w:spacing w:before="120" w:beforeLines="50" w:after="120" w:afterLines="50" w:line="360" w:lineRule="auto"/>
        <w:jc w:val="both"/>
        <w:rPr>
          <w:rFonts w:hint="eastAsia" w:asciiTheme="minorEastAsia" w:hAnsiTheme="minorEastAsia" w:eastAsiaTheme="minorEastAsia" w:cstheme="minorEastAsia"/>
          <w:b/>
          <w:bCs/>
          <w:spacing w:val="-4"/>
          <w:sz w:val="24"/>
          <w:szCs w:val="24"/>
          <w:lang w:val="en-US" w:eastAsia="zh-CN"/>
        </w:rPr>
      </w:pPr>
    </w:p>
    <w:p>
      <w:pPr>
        <w:numPr>
          <w:ilvl w:val="0"/>
          <w:numId w:val="0"/>
        </w:numPr>
        <w:spacing w:before="120" w:beforeLines="50" w:after="120" w:afterLines="50" w:line="360" w:lineRule="auto"/>
        <w:jc w:val="both"/>
        <w:rPr>
          <w:rFonts w:hint="eastAsia" w:asciiTheme="minorEastAsia" w:hAnsiTheme="minorEastAsia" w:eastAsiaTheme="minorEastAsia" w:cstheme="minorEastAsia"/>
          <w:b/>
          <w:bCs/>
          <w:spacing w:val="-4"/>
          <w:sz w:val="24"/>
          <w:szCs w:val="24"/>
          <w:lang w:val="en-US" w:eastAsia="zh-CN"/>
        </w:rPr>
      </w:pPr>
    </w:p>
    <w:p>
      <w:pPr>
        <w:numPr>
          <w:ilvl w:val="0"/>
          <w:numId w:val="0"/>
        </w:numPr>
        <w:spacing w:before="120" w:beforeLines="50" w:after="120" w:afterLines="50" w:line="360" w:lineRule="auto"/>
        <w:jc w:val="both"/>
        <w:rPr>
          <w:rFonts w:hint="eastAsia" w:asciiTheme="minorEastAsia" w:hAnsiTheme="minorEastAsia" w:eastAsiaTheme="minorEastAsia" w:cstheme="minorEastAsia"/>
          <w:b/>
          <w:bCs/>
          <w:spacing w:val="-4"/>
          <w:sz w:val="24"/>
          <w:szCs w:val="24"/>
          <w:lang w:val="en-US" w:eastAsia="zh-CN"/>
        </w:rPr>
      </w:pPr>
    </w:p>
    <w:p>
      <w:pPr>
        <w:numPr>
          <w:ilvl w:val="0"/>
          <w:numId w:val="0"/>
        </w:numPr>
        <w:spacing w:before="120" w:beforeLines="50" w:after="120" w:afterLines="50" w:line="360" w:lineRule="auto"/>
        <w:jc w:val="both"/>
        <w:rPr>
          <w:rFonts w:hint="eastAsia" w:asciiTheme="minorEastAsia" w:hAnsiTheme="minorEastAsia" w:eastAsiaTheme="minorEastAsia" w:cstheme="minorEastAsia"/>
          <w:b/>
          <w:bCs/>
          <w:spacing w:val="-4"/>
          <w:sz w:val="24"/>
          <w:szCs w:val="24"/>
          <w:lang w:val="en-US" w:eastAsia="zh-CN"/>
        </w:rPr>
      </w:pPr>
    </w:p>
    <w:p>
      <w:pPr>
        <w:pStyle w:val="5"/>
        <w:rPr>
          <w:rFonts w:hint="eastAsia"/>
          <w:lang w:val="en-US" w:eastAsia="zh-CN"/>
        </w:rPr>
      </w:pPr>
    </w:p>
    <w:p>
      <w:pPr>
        <w:numPr>
          <w:ilvl w:val="0"/>
          <w:numId w:val="0"/>
        </w:numPr>
        <w:spacing w:before="120" w:beforeLines="50" w:after="120" w:afterLines="50" w:line="360" w:lineRule="auto"/>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bCs/>
          <w:spacing w:val="-4"/>
          <w:sz w:val="24"/>
          <w:szCs w:val="24"/>
          <w:lang w:val="en-US" w:eastAsia="zh-CN"/>
        </w:rPr>
        <w:t>2、</w:t>
      </w:r>
      <w:r>
        <w:rPr>
          <w:rFonts w:hint="eastAsia" w:asciiTheme="minorEastAsia" w:hAnsiTheme="minorEastAsia" w:eastAsiaTheme="minorEastAsia" w:cstheme="minorEastAsia"/>
          <w:b/>
          <w:bCs/>
          <w:spacing w:val="-4"/>
          <w:sz w:val="24"/>
          <w:szCs w:val="24"/>
        </w:rPr>
        <w:t>价格分（0-</w:t>
      </w:r>
      <w:r>
        <w:rPr>
          <w:rFonts w:hint="eastAsia" w:asciiTheme="minorEastAsia" w:hAnsiTheme="minorEastAsia" w:cstheme="minorEastAsia"/>
          <w:b/>
          <w:bCs/>
          <w:spacing w:val="-4"/>
          <w:sz w:val="24"/>
          <w:szCs w:val="24"/>
          <w:lang w:val="en-US" w:eastAsia="zh-CN"/>
        </w:rPr>
        <w:t>3</w:t>
      </w:r>
      <w:r>
        <w:rPr>
          <w:rFonts w:hint="eastAsia" w:asciiTheme="minorEastAsia" w:hAnsiTheme="minorEastAsia" w:eastAsiaTheme="minorEastAsia" w:cstheme="minorEastAsia"/>
          <w:b/>
          <w:bCs/>
          <w:spacing w:val="-4"/>
          <w:sz w:val="24"/>
          <w:szCs w:val="24"/>
          <w:lang w:val="en-US" w:eastAsia="zh-CN"/>
        </w:rPr>
        <w:t>0</w:t>
      </w:r>
      <w:r>
        <w:rPr>
          <w:rFonts w:hint="eastAsia" w:asciiTheme="minorEastAsia" w:hAnsiTheme="minorEastAsia" w:eastAsiaTheme="minorEastAsia" w:cstheme="minorEastAsia"/>
          <w:b/>
          <w:bCs/>
          <w:spacing w:val="-4"/>
          <w:sz w:val="24"/>
          <w:szCs w:val="24"/>
        </w:rPr>
        <w:t>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价格分采用低价优先法计算，即满足招标文件要求且投标报价最低的投标报价为评标基准价，其得分为满分</w:t>
      </w:r>
      <w:r>
        <w:rPr>
          <w:rFonts w:hint="eastAsia" w:ascii="宋体" w:hAnsi="宋体" w:eastAsia="宋体" w:cs="宋体"/>
          <w:sz w:val="24"/>
          <w:szCs w:val="24"/>
          <w:lang w:val="en-US" w:eastAsia="zh-CN"/>
        </w:rPr>
        <w:t>30</w:t>
      </w:r>
      <w:r>
        <w:rPr>
          <w:rFonts w:hint="eastAsia" w:ascii="宋体" w:hAnsi="宋体" w:eastAsia="宋体" w:cs="宋体"/>
          <w:sz w:val="24"/>
          <w:szCs w:val="24"/>
        </w:rPr>
        <w:t>分。其他投标人的价格分按照下列公式计算：</w:t>
      </w:r>
    </w:p>
    <w:p>
      <w:pPr>
        <w:spacing w:line="360" w:lineRule="auto"/>
        <w:ind w:firstLine="480" w:firstLineChars="200"/>
        <w:rPr>
          <w:rFonts w:hint="eastAsia" w:ascii="新宋体" w:hAnsi="新宋体" w:eastAsia="新宋体" w:cs="新宋体"/>
          <w:b/>
          <w:bCs/>
          <w:color w:val="auto"/>
          <w:kern w:val="2"/>
          <w:sz w:val="28"/>
          <w:szCs w:val="28"/>
          <w:highlight w:val="none"/>
          <w:lang w:val="en-US" w:eastAsia="zh-CN" w:bidi="ar-SA"/>
        </w:rPr>
      </w:pPr>
      <w:r>
        <w:rPr>
          <w:rFonts w:hint="eastAsia" w:ascii="宋体" w:hAnsi="宋体" w:eastAsia="宋体" w:cs="宋体"/>
          <w:sz w:val="24"/>
          <w:szCs w:val="24"/>
        </w:rPr>
        <w:t>价格分=（评标基准价/投标报价）×</w:t>
      </w:r>
      <w:r>
        <w:rPr>
          <w:rFonts w:hint="eastAsia" w:ascii="宋体" w:hAnsi="宋体" w:eastAsia="宋体" w:cs="宋体"/>
          <w:sz w:val="24"/>
          <w:szCs w:val="24"/>
          <w:lang w:val="en-US" w:eastAsia="zh-CN"/>
        </w:rPr>
        <w:t>30</w:t>
      </w:r>
      <w:r>
        <w:rPr>
          <w:rFonts w:hint="eastAsia" w:ascii="宋体" w:hAnsi="宋体" w:eastAsia="宋体" w:cs="宋体"/>
          <w:sz w:val="24"/>
          <w:szCs w:val="24"/>
        </w:rPr>
        <w:t>%×100</w:t>
      </w:r>
    </w:p>
    <w:p>
      <w:pPr>
        <w:pStyle w:val="4"/>
        <w:jc w:val="center"/>
        <w:rPr>
          <w:rFonts w:hint="eastAsia" w:ascii="新宋体" w:hAnsi="新宋体" w:eastAsia="新宋体" w:cs="新宋体"/>
          <w:b w:val="0"/>
          <w:bCs/>
          <w:color w:val="auto"/>
          <w:sz w:val="22"/>
          <w:highlight w:val="none"/>
        </w:rPr>
      </w:pPr>
    </w:p>
    <w:p>
      <w:pPr>
        <w:rPr>
          <w:rFonts w:hint="eastAsia" w:ascii="新宋体" w:hAnsi="新宋体" w:eastAsia="新宋体" w:cs="新宋体"/>
          <w:b w:val="0"/>
          <w:bCs/>
          <w:color w:val="auto"/>
          <w:sz w:val="22"/>
          <w:highlight w:val="none"/>
        </w:rPr>
      </w:pPr>
    </w:p>
    <w:p>
      <w:pPr>
        <w:pStyle w:val="5"/>
        <w:rPr>
          <w:rFonts w:hint="eastAsia"/>
        </w:rPr>
      </w:pPr>
    </w:p>
    <w:p>
      <w:pPr>
        <w:pStyle w:val="4"/>
        <w:jc w:val="center"/>
        <w:rPr>
          <w:rFonts w:hint="eastAsia" w:ascii="新宋体" w:hAnsi="新宋体" w:eastAsia="新宋体" w:cs="新宋体"/>
          <w:b w:val="0"/>
          <w:bCs/>
          <w:color w:val="auto"/>
          <w:sz w:val="22"/>
          <w:highlight w:val="none"/>
        </w:rPr>
      </w:pPr>
      <w:r>
        <w:rPr>
          <w:rFonts w:hint="eastAsia" w:ascii="新宋体" w:hAnsi="新宋体" w:eastAsia="新宋体" w:cs="新宋体"/>
          <w:b/>
          <w:bCs/>
          <w:color w:val="auto"/>
          <w:kern w:val="2"/>
          <w:sz w:val="28"/>
          <w:szCs w:val="28"/>
          <w:highlight w:val="none"/>
          <w:lang w:val="en-US" w:eastAsia="zh-CN" w:bidi="ar-SA"/>
        </w:rPr>
        <w:t>（1）报价一览表</w:t>
      </w:r>
    </w:p>
    <w:p>
      <w:pPr>
        <w:autoSpaceDE w:val="0"/>
        <w:autoSpaceDN w:val="0"/>
        <w:spacing w:line="360" w:lineRule="auto"/>
        <w:ind w:right="893" w:firstLine="240" w:firstLineChars="100"/>
        <w:textAlignment w:val="bottom"/>
        <w:rPr>
          <w:rFonts w:hint="eastAsia" w:ascii="新宋体" w:hAnsi="新宋体" w:eastAsia="新宋体" w:cs="新宋体"/>
          <w:b w:val="0"/>
          <w:bCs/>
          <w:color w:val="auto"/>
          <w:sz w:val="22"/>
          <w:highlight w:val="none"/>
        </w:rPr>
      </w:pPr>
      <w:r>
        <w:rPr>
          <w:rFonts w:hint="eastAsia" w:ascii="宋体" w:hAnsi="宋体" w:eastAsia="宋体" w:cs="宋体"/>
          <w:b w:val="0"/>
          <w:bCs/>
          <w:color w:val="auto"/>
          <w:sz w:val="24"/>
          <w:szCs w:val="24"/>
          <w:highlight w:val="none"/>
        </w:rPr>
        <w:t xml:space="preserve"> </w:t>
      </w:r>
      <w:r>
        <w:rPr>
          <w:rFonts w:hint="eastAsia" w:ascii="新宋体" w:hAnsi="新宋体" w:eastAsia="新宋体" w:cs="新宋体"/>
          <w:b w:val="0"/>
          <w:bCs/>
          <w:color w:val="auto"/>
          <w:sz w:val="22"/>
          <w:highlight w:val="none"/>
        </w:rPr>
        <w:t xml:space="preserve">                            </w:t>
      </w:r>
    </w:p>
    <w:tbl>
      <w:tblPr>
        <w:tblStyle w:val="14"/>
        <w:tblW w:w="1059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3"/>
        <w:gridCol w:w="2025"/>
        <w:gridCol w:w="2912"/>
        <w:gridCol w:w="307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4608" w:type="dxa"/>
            <w:gridSpan w:val="2"/>
            <w:noWrap w:val="0"/>
            <w:vAlign w:val="center"/>
          </w:tcPr>
          <w:p>
            <w:pPr>
              <w:pStyle w:val="9"/>
              <w:jc w:val="center"/>
              <w:rPr>
                <w:rFonts w:hint="eastAsia" w:hAnsi="宋体"/>
                <w:sz w:val="24"/>
                <w:szCs w:val="24"/>
              </w:rPr>
            </w:pPr>
            <w:r>
              <w:rPr>
                <w:rFonts w:hint="eastAsia" w:hAnsi="宋体"/>
                <w:bCs/>
                <w:sz w:val="24"/>
                <w:szCs w:val="24"/>
              </w:rPr>
              <w:t>项目名称</w:t>
            </w:r>
          </w:p>
        </w:tc>
        <w:tc>
          <w:tcPr>
            <w:tcW w:w="2912" w:type="dxa"/>
            <w:noWrap w:val="0"/>
            <w:vAlign w:val="center"/>
          </w:tcPr>
          <w:p>
            <w:pPr>
              <w:pStyle w:val="9"/>
              <w:jc w:val="center"/>
              <w:rPr>
                <w:rFonts w:hint="default" w:hAnsi="宋体" w:eastAsia="宋体"/>
                <w:sz w:val="24"/>
                <w:szCs w:val="24"/>
                <w:lang w:val="en-US" w:eastAsia="zh-CN"/>
              </w:rPr>
            </w:pPr>
            <w:r>
              <w:rPr>
                <w:rFonts w:hint="eastAsia" w:hAnsi="宋体" w:eastAsia="宋体"/>
                <w:sz w:val="24"/>
                <w:szCs w:val="24"/>
                <w:lang w:val="en-US" w:eastAsia="zh-CN"/>
              </w:rPr>
              <w:t>数量</w:t>
            </w:r>
          </w:p>
        </w:tc>
        <w:tc>
          <w:tcPr>
            <w:tcW w:w="3079" w:type="dxa"/>
            <w:noWrap w:val="0"/>
            <w:vAlign w:val="center"/>
          </w:tcPr>
          <w:p>
            <w:pPr>
              <w:pStyle w:val="9"/>
              <w:spacing w:line="460" w:lineRule="atLeast"/>
              <w:jc w:val="center"/>
              <w:rPr>
                <w:rFonts w:hint="eastAsia" w:hAnsi="宋体" w:eastAsia="宋体"/>
                <w:sz w:val="24"/>
                <w:szCs w:val="24"/>
                <w:lang w:eastAsia="zh-CN"/>
              </w:rPr>
            </w:pPr>
            <w:r>
              <w:rPr>
                <w:rFonts w:hint="eastAsia" w:hAnsi="宋体"/>
                <w:sz w:val="24"/>
                <w:szCs w:val="24"/>
                <w:lang w:val="en-US" w:eastAsia="zh-CN"/>
              </w:rPr>
              <w:t>质保期（≥5年）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4608" w:type="dxa"/>
            <w:gridSpan w:val="2"/>
            <w:noWrap w:val="0"/>
            <w:vAlign w:val="center"/>
          </w:tcPr>
          <w:p>
            <w:pPr>
              <w:jc w:val="center"/>
              <w:rPr>
                <w:rFonts w:hint="eastAsia" w:eastAsia="宋体"/>
                <w:sz w:val="24"/>
                <w:szCs w:val="24"/>
                <w:lang w:eastAsia="zh-CN"/>
              </w:rPr>
            </w:pPr>
            <w:r>
              <w:rPr>
                <w:rFonts w:hint="eastAsia" w:ascii="宋体" w:hAnsi="宋体" w:eastAsia="宋体" w:cs="宋体"/>
                <w:b w:val="0"/>
                <w:bCs/>
                <w:color w:val="auto"/>
                <w:sz w:val="24"/>
                <w:szCs w:val="24"/>
                <w:highlight w:val="none"/>
                <w:lang w:val="en-US" w:eastAsia="zh-CN"/>
              </w:rPr>
              <w:t>温州市中医院投影仪</w:t>
            </w:r>
            <w:r>
              <w:rPr>
                <w:rFonts w:hint="eastAsia" w:ascii="宋体" w:hAnsi="宋体" w:eastAsia="宋体" w:cs="宋体"/>
                <w:color w:val="000000"/>
                <w:sz w:val="24"/>
                <w:szCs w:val="24"/>
                <w:lang w:val="en-US" w:eastAsia="zh-CN"/>
              </w:rPr>
              <w:t>采购</w:t>
            </w:r>
            <w:r>
              <w:rPr>
                <w:rFonts w:hint="eastAsia" w:ascii="宋体" w:hAnsi="宋体" w:eastAsia="宋体" w:cs="宋体"/>
                <w:b w:val="0"/>
                <w:bCs/>
                <w:color w:val="auto"/>
                <w:sz w:val="24"/>
                <w:szCs w:val="24"/>
                <w:highlight w:val="none"/>
              </w:rPr>
              <w:t xml:space="preserve">  </w:t>
            </w:r>
            <w:r>
              <w:rPr>
                <w:rFonts w:hint="eastAsia" w:ascii="新宋体" w:hAnsi="新宋体" w:eastAsia="新宋体" w:cs="新宋体"/>
                <w:b w:val="0"/>
                <w:bCs/>
                <w:color w:val="auto"/>
                <w:sz w:val="22"/>
                <w:highlight w:val="none"/>
              </w:rPr>
              <w:t xml:space="preserve">    </w:t>
            </w:r>
          </w:p>
        </w:tc>
        <w:tc>
          <w:tcPr>
            <w:tcW w:w="2912" w:type="dxa"/>
            <w:noWrap w:val="0"/>
            <w:vAlign w:val="center"/>
          </w:tcPr>
          <w:p>
            <w:pPr>
              <w:jc w:val="center"/>
              <w:rPr>
                <w:rFonts w:hint="default" w:eastAsia="宋体"/>
                <w:sz w:val="24"/>
                <w:szCs w:val="24"/>
                <w:lang w:val="en-US" w:eastAsia="zh-CN"/>
              </w:rPr>
            </w:pPr>
            <w:r>
              <w:rPr>
                <w:rFonts w:hint="eastAsia" w:eastAsia="宋体"/>
                <w:sz w:val="24"/>
                <w:szCs w:val="24"/>
                <w:lang w:val="en-US" w:eastAsia="zh-CN"/>
              </w:rPr>
              <w:t>4台</w:t>
            </w:r>
          </w:p>
        </w:tc>
        <w:tc>
          <w:tcPr>
            <w:tcW w:w="3079" w:type="dxa"/>
            <w:noWrap w:val="0"/>
            <w:vAlign w:val="center"/>
          </w:tcPr>
          <w:p>
            <w:pPr>
              <w:pStyle w:val="9"/>
              <w:spacing w:line="460" w:lineRule="atLeast"/>
              <w:ind w:firstLine="469"/>
              <w:jc w:val="center"/>
              <w:rPr>
                <w:rFonts w:hint="eastAsia"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2583" w:type="dxa"/>
            <w:vMerge w:val="restart"/>
            <w:noWrap w:val="0"/>
            <w:vAlign w:val="center"/>
          </w:tcPr>
          <w:p>
            <w:pPr>
              <w:jc w:val="center"/>
              <w:rPr>
                <w:rFonts w:hint="eastAsia" w:ascii="宋体" w:hAnsi="宋体"/>
                <w:sz w:val="24"/>
                <w:szCs w:val="24"/>
              </w:rPr>
            </w:pPr>
            <w:r>
              <w:rPr>
                <w:rFonts w:hint="eastAsia" w:ascii="宋体" w:hAnsi="宋体"/>
                <w:sz w:val="24"/>
                <w:szCs w:val="24"/>
              </w:rPr>
              <w:t>投标报价</w:t>
            </w:r>
          </w:p>
        </w:tc>
        <w:tc>
          <w:tcPr>
            <w:tcW w:w="8016" w:type="dxa"/>
            <w:gridSpan w:val="3"/>
            <w:noWrap w:val="0"/>
            <w:vAlign w:val="center"/>
          </w:tcPr>
          <w:p>
            <w:pPr>
              <w:pStyle w:val="9"/>
              <w:spacing w:line="460" w:lineRule="atLeast"/>
              <w:rPr>
                <w:rFonts w:hint="eastAsia" w:hAnsi="宋体"/>
                <w:sz w:val="24"/>
                <w:szCs w:val="24"/>
              </w:rPr>
            </w:pPr>
            <w:r>
              <w:rPr>
                <w:rFonts w:hint="eastAsia" w:hAnsi="宋体"/>
                <w:sz w:val="24"/>
                <w:szCs w:val="24"/>
              </w:rPr>
              <w:t>（大写）人民币：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2583" w:type="dxa"/>
            <w:vMerge w:val="continue"/>
            <w:noWrap w:val="0"/>
            <w:vAlign w:val="center"/>
          </w:tcPr>
          <w:p>
            <w:pPr>
              <w:pStyle w:val="9"/>
              <w:spacing w:line="460" w:lineRule="atLeast"/>
              <w:ind w:firstLine="469"/>
              <w:rPr>
                <w:rFonts w:hint="eastAsia" w:hAnsi="宋体"/>
                <w:sz w:val="24"/>
                <w:szCs w:val="24"/>
              </w:rPr>
            </w:pPr>
          </w:p>
        </w:tc>
        <w:tc>
          <w:tcPr>
            <w:tcW w:w="8016" w:type="dxa"/>
            <w:gridSpan w:val="3"/>
            <w:noWrap w:val="0"/>
            <w:vAlign w:val="center"/>
          </w:tcPr>
          <w:p>
            <w:pPr>
              <w:pStyle w:val="9"/>
              <w:spacing w:line="460" w:lineRule="atLeast"/>
              <w:rPr>
                <w:rFonts w:hint="eastAsia" w:hAnsi="宋体"/>
                <w:sz w:val="24"/>
                <w:szCs w:val="24"/>
              </w:rPr>
            </w:pPr>
            <w:r>
              <w:rPr>
                <w:rFonts w:hint="eastAsia" w:hAnsi="宋体"/>
                <w:sz w:val="24"/>
                <w:szCs w:val="24"/>
              </w:rPr>
              <w:t>（小写）￥：</w:t>
            </w:r>
          </w:p>
        </w:tc>
      </w:tr>
    </w:tbl>
    <w:p>
      <w:pPr>
        <w:spacing w:line="460" w:lineRule="exact"/>
        <w:rPr>
          <w:rFonts w:hint="eastAsia" w:ascii="宋体" w:hAnsi="宋体"/>
          <w:b/>
          <w:sz w:val="22"/>
        </w:rPr>
      </w:pPr>
      <w:r>
        <w:rPr>
          <w:rFonts w:hint="eastAsia" w:ascii="宋体" w:hAnsi="宋体"/>
          <w:b/>
          <w:sz w:val="22"/>
        </w:rPr>
        <w:t>说明：</w:t>
      </w:r>
    </w:p>
    <w:p>
      <w:pPr>
        <w:spacing w:line="380" w:lineRule="exact"/>
        <w:rPr>
          <w:rFonts w:hint="eastAsia" w:ascii="宋体" w:hAnsi="宋体"/>
          <w:b/>
          <w:bCs/>
          <w:sz w:val="22"/>
          <w:szCs w:val="22"/>
        </w:rPr>
      </w:pPr>
      <w:r>
        <w:rPr>
          <w:rFonts w:hint="eastAsia" w:ascii="宋体" w:hAnsi="宋体"/>
          <w:b/>
          <w:bCs/>
          <w:sz w:val="22"/>
          <w:szCs w:val="22"/>
        </w:rPr>
        <w:t>1、此表总计价应与</w:t>
      </w:r>
      <w:r>
        <w:rPr>
          <w:rFonts w:hint="eastAsia" w:ascii="宋体" w:hAnsi="宋体"/>
          <w:b/>
          <w:bCs/>
          <w:sz w:val="22"/>
          <w:szCs w:val="22"/>
          <w:lang w:val="en-US" w:eastAsia="zh-CN"/>
        </w:rPr>
        <w:t>下</w:t>
      </w:r>
      <w:r>
        <w:rPr>
          <w:rFonts w:hint="eastAsia" w:ascii="宋体" w:hAnsi="宋体"/>
          <w:b/>
          <w:bCs/>
          <w:sz w:val="22"/>
          <w:szCs w:val="22"/>
        </w:rPr>
        <w:t>方“（</w:t>
      </w:r>
      <w:r>
        <w:rPr>
          <w:rFonts w:hint="eastAsia" w:ascii="宋体" w:hAnsi="宋体"/>
          <w:b/>
          <w:bCs/>
          <w:sz w:val="22"/>
          <w:szCs w:val="22"/>
          <w:lang w:val="en-US" w:eastAsia="zh-CN"/>
        </w:rPr>
        <w:t>二</w:t>
      </w:r>
      <w:r>
        <w:rPr>
          <w:rFonts w:hint="eastAsia" w:ascii="宋体" w:hAnsi="宋体"/>
          <w:b/>
          <w:bCs/>
          <w:sz w:val="22"/>
          <w:szCs w:val="22"/>
        </w:rPr>
        <w:t>）分项报价表”中报价相一致。</w:t>
      </w:r>
    </w:p>
    <w:p>
      <w:pPr>
        <w:spacing w:line="380" w:lineRule="exact"/>
        <w:rPr>
          <w:rFonts w:hint="eastAsia" w:ascii="宋体" w:hAnsi="宋体"/>
          <w:b/>
          <w:bCs/>
          <w:sz w:val="22"/>
          <w:szCs w:val="22"/>
        </w:rPr>
      </w:pPr>
      <w:r>
        <w:rPr>
          <w:rFonts w:hint="eastAsia" w:ascii="宋体" w:hAnsi="宋体"/>
          <w:b/>
          <w:bCs/>
          <w:sz w:val="22"/>
          <w:szCs w:val="22"/>
        </w:rPr>
        <w:t>2、不提供</w:t>
      </w:r>
      <w:r>
        <w:rPr>
          <w:rFonts w:hint="eastAsia" w:ascii="宋体" w:hAnsi="宋体"/>
          <w:b/>
          <w:bCs/>
          <w:sz w:val="22"/>
          <w:szCs w:val="22"/>
          <w:lang w:val="en-US" w:eastAsia="zh-CN"/>
        </w:rPr>
        <w:t>次表格</w:t>
      </w:r>
      <w:r>
        <w:rPr>
          <w:rFonts w:hint="eastAsia" w:ascii="宋体" w:hAnsi="宋体"/>
          <w:b/>
          <w:bCs/>
          <w:sz w:val="22"/>
          <w:szCs w:val="22"/>
        </w:rPr>
        <w:t>将视为没有实质性响应招标文件。</w:t>
      </w:r>
    </w:p>
    <w:p>
      <w:pPr>
        <w:spacing w:line="380" w:lineRule="exact"/>
        <w:rPr>
          <w:rFonts w:hint="eastAsia" w:ascii="宋体" w:hAnsi="宋体"/>
          <w:sz w:val="22"/>
          <w:szCs w:val="22"/>
        </w:rPr>
      </w:pPr>
      <w:r>
        <w:rPr>
          <w:rFonts w:hint="eastAsia" w:ascii="宋体" w:hAnsi="宋体"/>
          <w:b/>
          <w:bCs/>
          <w:sz w:val="22"/>
          <w:szCs w:val="22"/>
        </w:rPr>
        <w:t>3、以上全部报价包含货物到达甲方并能正常使用所需的一切费用，包括但不限于包装费、运输费、装卸费、保险费、安装费以及保修费、税费等。</w:t>
      </w:r>
    </w:p>
    <w:p>
      <w:pPr>
        <w:spacing w:line="360" w:lineRule="auto"/>
        <w:rPr>
          <w:rFonts w:hint="eastAsia" w:ascii="宋体" w:hAnsi="宋体"/>
          <w:sz w:val="22"/>
          <w:szCs w:val="22"/>
        </w:rPr>
      </w:pPr>
    </w:p>
    <w:p>
      <w:pPr>
        <w:pStyle w:val="5"/>
        <w:rPr>
          <w:rFonts w:hint="eastAsia" w:ascii="宋体" w:hAnsi="宋体"/>
          <w:sz w:val="22"/>
          <w:szCs w:val="22"/>
        </w:rPr>
      </w:pPr>
    </w:p>
    <w:p>
      <w:pPr>
        <w:rPr>
          <w:rFonts w:hint="eastAsia" w:ascii="宋体" w:hAnsi="宋体"/>
          <w:sz w:val="22"/>
          <w:szCs w:val="22"/>
        </w:rPr>
      </w:pPr>
    </w:p>
    <w:p>
      <w:pPr>
        <w:pStyle w:val="5"/>
        <w:rPr>
          <w:rFonts w:hint="eastAsia" w:ascii="宋体" w:hAnsi="宋体"/>
          <w:sz w:val="22"/>
          <w:szCs w:val="22"/>
        </w:rPr>
      </w:pPr>
    </w:p>
    <w:p>
      <w:pPr>
        <w:rPr>
          <w:rFonts w:hint="eastAsia"/>
        </w:rPr>
      </w:pPr>
    </w:p>
    <w:p>
      <w:pPr>
        <w:spacing w:line="360" w:lineRule="auto"/>
        <w:rPr>
          <w:rFonts w:hint="eastAsia" w:ascii="宋体" w:hAnsi="宋体"/>
          <w:sz w:val="22"/>
          <w:szCs w:val="22"/>
        </w:rPr>
      </w:pPr>
      <w:r>
        <w:rPr>
          <w:rFonts w:hint="eastAsia" w:ascii="宋体" w:hAnsi="宋体"/>
          <w:sz w:val="22"/>
          <w:szCs w:val="22"/>
        </w:rPr>
        <w:t>供应商全称（盖章）：</w:t>
      </w:r>
    </w:p>
    <w:p>
      <w:pPr>
        <w:pStyle w:val="13"/>
        <w:ind w:left="0" w:leftChars="0" w:firstLine="0" w:firstLineChars="0"/>
        <w:rPr>
          <w:rFonts w:hint="eastAsia"/>
          <w:b w:val="0"/>
          <w:bCs w:val="0"/>
        </w:rPr>
      </w:pPr>
      <w:r>
        <w:rPr>
          <w:rFonts w:hint="eastAsia" w:ascii="宋体" w:hAnsi="宋体"/>
          <w:b w:val="0"/>
          <w:bCs w:val="0"/>
          <w:sz w:val="22"/>
          <w:szCs w:val="22"/>
        </w:rPr>
        <w:t>日 期</w:t>
      </w:r>
      <w:r>
        <w:rPr>
          <w:rFonts w:hint="eastAsia" w:ascii="宋体" w:hAnsi="宋体"/>
          <w:b w:val="0"/>
          <w:bCs w:val="0"/>
          <w:sz w:val="22"/>
          <w:szCs w:val="22"/>
          <w:lang w:eastAsia="zh-CN"/>
        </w:rPr>
        <w:t>：</w:t>
      </w:r>
      <w:r>
        <w:rPr>
          <w:rFonts w:hint="eastAsia" w:ascii="宋体" w:hAnsi="宋体"/>
          <w:b w:val="0"/>
          <w:bCs w:val="0"/>
          <w:sz w:val="22"/>
          <w:szCs w:val="22"/>
          <w:lang w:val="en-US" w:eastAsia="zh-CN"/>
        </w:rPr>
        <w:t xml:space="preserve">     </w:t>
      </w:r>
      <w:r>
        <w:rPr>
          <w:rFonts w:hint="eastAsia" w:ascii="宋体" w:hAnsi="宋体"/>
          <w:b w:val="0"/>
          <w:bCs w:val="0"/>
          <w:sz w:val="22"/>
          <w:szCs w:val="22"/>
        </w:rPr>
        <w:t>年</w:t>
      </w:r>
      <w:r>
        <w:rPr>
          <w:rFonts w:hint="eastAsia" w:ascii="宋体" w:hAnsi="宋体"/>
          <w:b w:val="0"/>
          <w:bCs w:val="0"/>
          <w:sz w:val="22"/>
          <w:szCs w:val="22"/>
          <w:lang w:val="en-US" w:eastAsia="zh-CN"/>
        </w:rPr>
        <w:t xml:space="preserve">     </w:t>
      </w:r>
      <w:r>
        <w:rPr>
          <w:rFonts w:hint="eastAsia" w:ascii="宋体" w:hAnsi="宋体"/>
          <w:b w:val="0"/>
          <w:bCs w:val="0"/>
          <w:sz w:val="22"/>
          <w:szCs w:val="22"/>
        </w:rPr>
        <w:t>月</w:t>
      </w:r>
    </w:p>
    <w:p>
      <w:pPr>
        <w:spacing w:line="460" w:lineRule="exact"/>
        <w:jc w:val="center"/>
        <w:rPr>
          <w:rFonts w:hint="eastAsia" w:ascii="宋体" w:hAnsi="宋体"/>
          <w:b/>
          <w:bCs/>
          <w:sz w:val="28"/>
          <w:szCs w:val="28"/>
          <w:lang w:val="en-US" w:eastAsia="zh-CN"/>
        </w:rPr>
      </w:pPr>
    </w:p>
    <w:p>
      <w:pPr>
        <w:spacing w:line="460" w:lineRule="exact"/>
        <w:jc w:val="center"/>
        <w:rPr>
          <w:rFonts w:hint="eastAsia" w:ascii="宋体" w:hAnsi="宋体"/>
          <w:b/>
          <w:bCs/>
          <w:sz w:val="28"/>
          <w:szCs w:val="28"/>
          <w:lang w:val="en-US" w:eastAsia="zh-CN"/>
        </w:rPr>
      </w:pPr>
    </w:p>
    <w:p>
      <w:pPr>
        <w:spacing w:line="460" w:lineRule="exact"/>
        <w:jc w:val="center"/>
        <w:rPr>
          <w:rFonts w:hint="eastAsia" w:ascii="宋体" w:hAnsi="宋体"/>
          <w:b/>
          <w:bCs/>
          <w:sz w:val="28"/>
          <w:szCs w:val="28"/>
          <w:lang w:val="en-US" w:eastAsia="zh-CN"/>
        </w:rPr>
      </w:pPr>
    </w:p>
    <w:p>
      <w:pPr>
        <w:spacing w:line="460" w:lineRule="exact"/>
        <w:jc w:val="center"/>
        <w:rPr>
          <w:rFonts w:hint="eastAsia" w:ascii="宋体" w:hAnsi="宋体"/>
          <w:b/>
          <w:bCs/>
          <w:sz w:val="28"/>
          <w:szCs w:val="28"/>
          <w:lang w:val="en-US" w:eastAsia="zh-CN"/>
        </w:rPr>
      </w:pPr>
    </w:p>
    <w:p>
      <w:pPr>
        <w:numPr>
          <w:ilvl w:val="0"/>
          <w:numId w:val="6"/>
        </w:numPr>
        <w:spacing w:line="460" w:lineRule="exact"/>
        <w:jc w:val="center"/>
        <w:rPr>
          <w:rFonts w:hint="eastAsia" w:ascii="宋体" w:hAnsi="宋体"/>
          <w:b/>
          <w:bCs/>
          <w:sz w:val="28"/>
          <w:szCs w:val="28"/>
          <w:lang w:val="en-US" w:eastAsia="zh-CN"/>
        </w:rPr>
      </w:pPr>
      <w:r>
        <w:rPr>
          <w:rFonts w:hint="eastAsia" w:ascii="宋体" w:hAnsi="宋体"/>
          <w:b/>
          <w:bCs/>
          <w:sz w:val="28"/>
          <w:szCs w:val="28"/>
          <w:lang w:val="en-US" w:eastAsia="zh-CN"/>
        </w:rPr>
        <w:t>分项报价表</w:t>
      </w:r>
    </w:p>
    <w:p>
      <w:pPr>
        <w:spacing w:line="360" w:lineRule="auto"/>
        <w:ind w:right="349" w:rightChars="166"/>
        <w:rPr>
          <w:rFonts w:hint="eastAsia" w:ascii="宋体" w:hAnsi="宋体"/>
          <w:b/>
          <w:bCs/>
          <w:sz w:val="28"/>
          <w:szCs w:val="28"/>
          <w:lang w:val="en-US" w:eastAsia="zh-CN"/>
        </w:rPr>
      </w:pPr>
      <w:r>
        <w:rPr>
          <w:rFonts w:hint="eastAsia" w:ascii="新宋体" w:hAnsi="新宋体" w:eastAsia="新宋体" w:cs="新宋体"/>
          <w:b w:val="0"/>
          <w:bCs/>
          <w:color w:val="auto"/>
          <w:sz w:val="24"/>
          <w:szCs w:val="24"/>
          <w:highlight w:val="none"/>
          <w:lang w:val="en-US" w:eastAsia="zh-CN"/>
        </w:rPr>
        <w:t xml:space="preserve">                                                              </w:t>
      </w:r>
      <w:r>
        <w:rPr>
          <w:rFonts w:hint="eastAsia" w:ascii="宋体" w:hAnsi="宋体" w:eastAsia="宋体" w:cs="宋体"/>
          <w:sz w:val="24"/>
          <w:szCs w:val="24"/>
        </w:rPr>
        <w:t>单位：元</w:t>
      </w:r>
      <w:r>
        <w:rPr>
          <w:rFonts w:hint="eastAsia" w:ascii="宋体" w:hAnsi="宋体" w:eastAsia="宋体" w:cs="宋体"/>
          <w:sz w:val="24"/>
          <w:szCs w:val="24"/>
          <w:lang w:eastAsia="zh-CN"/>
        </w:rPr>
        <w:t>（</w:t>
      </w:r>
      <w:r>
        <w:rPr>
          <w:rFonts w:hint="eastAsia" w:ascii="宋体" w:hAnsi="宋体" w:eastAsia="宋体" w:cs="宋体"/>
          <w:sz w:val="24"/>
          <w:szCs w:val="24"/>
        </w:rPr>
        <w:t>人民币</w:t>
      </w:r>
      <w:r>
        <w:rPr>
          <w:rFonts w:hint="eastAsia" w:ascii="宋体" w:hAnsi="宋体" w:eastAsia="宋体" w:cs="宋体"/>
          <w:sz w:val="24"/>
          <w:szCs w:val="24"/>
          <w:lang w:eastAsia="zh-CN"/>
        </w:rPr>
        <w:t>）</w:t>
      </w:r>
    </w:p>
    <w:tbl>
      <w:tblPr>
        <w:tblStyle w:val="14"/>
        <w:tblW w:w="10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67"/>
        <w:gridCol w:w="1218"/>
        <w:gridCol w:w="1422"/>
        <w:gridCol w:w="1578"/>
        <w:gridCol w:w="3106"/>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1567" w:type="dxa"/>
            <w:noWrap w:val="0"/>
            <w:vAlign w:val="center"/>
          </w:tcPr>
          <w:p>
            <w:pPr>
              <w:spacing w:line="380" w:lineRule="exact"/>
              <w:jc w:val="center"/>
              <w:rPr>
                <w:rFonts w:hint="default" w:ascii="宋体" w:hAnsi="宋体" w:eastAsia="宋体" w:cs="宋体"/>
                <w:color w:val="auto"/>
                <w:sz w:val="22"/>
                <w:highlight w:val="none"/>
                <w:lang w:val="en-US" w:eastAsia="zh-CN"/>
              </w:rPr>
            </w:pPr>
            <w:r>
              <w:rPr>
                <w:rFonts w:hint="eastAsia" w:ascii="宋体" w:hAnsi="宋体" w:cs="宋体"/>
                <w:bCs/>
                <w:color w:val="auto"/>
                <w:sz w:val="22"/>
                <w:szCs w:val="22"/>
                <w:highlight w:val="none"/>
                <w:lang w:val="en-US" w:eastAsia="zh-CN"/>
              </w:rPr>
              <w:t>名称</w:t>
            </w:r>
          </w:p>
        </w:tc>
        <w:tc>
          <w:tcPr>
            <w:tcW w:w="1218" w:type="dxa"/>
            <w:noWrap w:val="0"/>
            <w:vAlign w:val="center"/>
          </w:tcPr>
          <w:p>
            <w:pPr>
              <w:spacing w:line="380" w:lineRule="exact"/>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品牌</w:t>
            </w:r>
          </w:p>
        </w:tc>
        <w:tc>
          <w:tcPr>
            <w:tcW w:w="1422" w:type="dxa"/>
            <w:noWrap w:val="0"/>
            <w:vAlign w:val="center"/>
          </w:tcPr>
          <w:p>
            <w:pPr>
              <w:spacing w:line="380" w:lineRule="exact"/>
              <w:jc w:val="center"/>
              <w:rPr>
                <w:rFonts w:hint="default"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规格型号</w:t>
            </w:r>
          </w:p>
        </w:tc>
        <w:tc>
          <w:tcPr>
            <w:tcW w:w="1578" w:type="dxa"/>
            <w:noWrap w:val="0"/>
            <w:vAlign w:val="center"/>
          </w:tcPr>
          <w:p>
            <w:pPr>
              <w:spacing w:line="380" w:lineRule="exact"/>
              <w:jc w:val="center"/>
              <w:rPr>
                <w:rFonts w:hint="default"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数量及单位</w:t>
            </w:r>
          </w:p>
        </w:tc>
        <w:tc>
          <w:tcPr>
            <w:tcW w:w="3106" w:type="dxa"/>
            <w:noWrap w:val="0"/>
            <w:vAlign w:val="center"/>
          </w:tcPr>
          <w:p>
            <w:pPr>
              <w:spacing w:line="380" w:lineRule="exact"/>
              <w:jc w:val="center"/>
              <w:rPr>
                <w:rFonts w:hint="eastAsia" w:ascii="宋体" w:hAnsi="宋体" w:eastAsia="宋体" w:cs="宋体"/>
                <w:color w:val="auto"/>
                <w:sz w:val="22"/>
                <w:highlight w:val="none"/>
                <w:lang w:eastAsia="zh-CN"/>
              </w:rPr>
            </w:pPr>
            <w:r>
              <w:rPr>
                <w:rFonts w:hint="eastAsia" w:ascii="宋体" w:hAnsi="宋体" w:cs="宋体"/>
                <w:bCs/>
                <w:color w:val="auto"/>
                <w:sz w:val="22"/>
                <w:szCs w:val="22"/>
                <w:highlight w:val="none"/>
                <w:lang w:val="en-US" w:eastAsia="zh-CN"/>
              </w:rPr>
              <w:t>单价</w:t>
            </w:r>
            <w:r>
              <w:rPr>
                <w:rFonts w:hint="eastAsia" w:ascii="宋体" w:hAnsi="宋体" w:eastAsia="宋体" w:cs="宋体"/>
                <w:bCs/>
                <w:color w:val="auto"/>
                <w:sz w:val="22"/>
                <w:szCs w:val="22"/>
                <w:highlight w:val="none"/>
              </w:rPr>
              <w:t>报价</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人民币元</w:t>
            </w:r>
            <w:r>
              <w:rPr>
                <w:rFonts w:hint="eastAsia" w:ascii="宋体" w:hAnsi="宋体" w:eastAsia="宋体" w:cs="宋体"/>
                <w:bCs/>
                <w:color w:val="auto"/>
                <w:sz w:val="22"/>
                <w:szCs w:val="22"/>
                <w:highlight w:val="none"/>
                <w:lang w:eastAsia="zh-CN"/>
              </w:rPr>
              <w:t>）</w:t>
            </w:r>
          </w:p>
        </w:tc>
        <w:tc>
          <w:tcPr>
            <w:tcW w:w="1235" w:type="dxa"/>
            <w:noWrap w:val="0"/>
            <w:vAlign w:val="center"/>
          </w:tcPr>
          <w:p>
            <w:pPr>
              <w:spacing w:line="380" w:lineRule="exact"/>
              <w:jc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val="en-US"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20" w:type="dxa"/>
            <w:vMerge w:val="restart"/>
            <w:noWrap w:val="0"/>
            <w:vAlign w:val="center"/>
          </w:tcPr>
          <w:p>
            <w:pPr>
              <w:spacing w:line="380" w:lineRule="exact"/>
              <w:jc w:val="center"/>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w:t>
            </w:r>
          </w:p>
        </w:tc>
        <w:tc>
          <w:tcPr>
            <w:tcW w:w="1567" w:type="dxa"/>
            <w:vMerge w:val="restart"/>
            <w:noWrap w:val="0"/>
            <w:vAlign w:val="center"/>
          </w:tcPr>
          <w:p>
            <w:pPr>
              <w:spacing w:line="380" w:lineRule="exact"/>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会议室投影仪</w:t>
            </w:r>
          </w:p>
        </w:tc>
        <w:tc>
          <w:tcPr>
            <w:tcW w:w="1218" w:type="dxa"/>
            <w:vMerge w:val="restart"/>
            <w:noWrap w:val="0"/>
            <w:vAlign w:val="center"/>
          </w:tcPr>
          <w:p>
            <w:pPr>
              <w:spacing w:line="380" w:lineRule="exact"/>
              <w:jc w:val="center"/>
              <w:rPr>
                <w:rFonts w:hint="eastAsia" w:ascii="宋体" w:hAnsi="宋体" w:eastAsia="宋体" w:cs="宋体"/>
                <w:color w:val="auto"/>
                <w:sz w:val="22"/>
                <w:highlight w:val="none"/>
              </w:rPr>
            </w:pPr>
          </w:p>
        </w:tc>
        <w:tc>
          <w:tcPr>
            <w:tcW w:w="1422" w:type="dxa"/>
            <w:vMerge w:val="restart"/>
            <w:noWrap w:val="0"/>
            <w:vAlign w:val="center"/>
          </w:tcPr>
          <w:p>
            <w:pPr>
              <w:spacing w:line="380" w:lineRule="exact"/>
              <w:jc w:val="center"/>
              <w:rPr>
                <w:rFonts w:hint="eastAsia" w:ascii="宋体" w:hAnsi="宋体" w:eastAsia="宋体" w:cs="宋体"/>
                <w:color w:val="auto"/>
                <w:sz w:val="22"/>
                <w:highlight w:val="none"/>
              </w:rPr>
            </w:pPr>
          </w:p>
        </w:tc>
        <w:tc>
          <w:tcPr>
            <w:tcW w:w="1578" w:type="dxa"/>
            <w:vMerge w:val="restart"/>
            <w:noWrap w:val="0"/>
            <w:vAlign w:val="center"/>
          </w:tcPr>
          <w:p>
            <w:pPr>
              <w:spacing w:line="380" w:lineRule="exact"/>
              <w:jc w:val="center"/>
              <w:rPr>
                <w:rFonts w:hint="eastAsia" w:ascii="宋体" w:hAnsi="宋体" w:eastAsia="宋体" w:cs="宋体"/>
                <w:color w:val="auto"/>
                <w:sz w:val="22"/>
                <w:highlight w:val="none"/>
              </w:rPr>
            </w:pPr>
          </w:p>
        </w:tc>
        <w:tc>
          <w:tcPr>
            <w:tcW w:w="3106"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大写：</w:t>
            </w:r>
          </w:p>
        </w:tc>
        <w:tc>
          <w:tcPr>
            <w:tcW w:w="1235" w:type="dxa"/>
            <w:vMerge w:val="restart"/>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72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1567"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1218"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1422"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1578"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3106"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p>
        </w:tc>
        <w:tc>
          <w:tcPr>
            <w:tcW w:w="1235" w:type="dxa"/>
            <w:vMerge w:val="continue"/>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6505" w:type="dxa"/>
            <w:gridSpan w:val="5"/>
            <w:vMerge w:val="restart"/>
            <w:noWrap w:val="0"/>
            <w:vAlign w:val="center"/>
          </w:tcPr>
          <w:p>
            <w:pPr>
              <w:spacing w:line="380" w:lineRule="exact"/>
              <w:jc w:val="center"/>
              <w:rPr>
                <w:rFonts w:hint="eastAsia" w:ascii="宋体" w:hAnsi="宋体" w:eastAsia="宋体" w:cs="宋体"/>
                <w:color w:val="auto"/>
                <w:sz w:val="22"/>
                <w:highlight w:val="none"/>
                <w:lang w:val="en-US" w:eastAsia="zh-CN"/>
              </w:rPr>
            </w:pPr>
            <w:r>
              <w:rPr>
                <w:rFonts w:hint="eastAsia" w:ascii="宋体" w:hAnsi="宋体" w:cs="宋体"/>
                <w:b/>
                <w:bCs/>
                <w:color w:val="auto"/>
                <w:sz w:val="22"/>
                <w:highlight w:val="none"/>
                <w:lang w:val="en-US" w:eastAsia="zh-CN"/>
              </w:rPr>
              <w:t>总计</w:t>
            </w:r>
          </w:p>
        </w:tc>
        <w:tc>
          <w:tcPr>
            <w:tcW w:w="4341" w:type="dxa"/>
            <w:gridSpan w:val="2"/>
            <w:noWrap w:val="0"/>
            <w:vAlign w:val="center"/>
          </w:tcPr>
          <w:p>
            <w:pPr>
              <w:spacing w:line="380" w:lineRule="exact"/>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6505" w:type="dxa"/>
            <w:gridSpan w:val="5"/>
            <w:vMerge w:val="continue"/>
            <w:noWrap w:val="0"/>
            <w:vAlign w:val="center"/>
          </w:tcPr>
          <w:p>
            <w:pPr>
              <w:spacing w:line="380" w:lineRule="exact"/>
              <w:jc w:val="center"/>
              <w:rPr>
                <w:rFonts w:hint="eastAsia" w:ascii="宋体" w:hAnsi="宋体" w:eastAsia="宋体" w:cs="宋体"/>
                <w:color w:val="auto"/>
                <w:sz w:val="22"/>
                <w:highlight w:val="none"/>
              </w:rPr>
            </w:pPr>
          </w:p>
        </w:tc>
        <w:tc>
          <w:tcPr>
            <w:tcW w:w="4341" w:type="dxa"/>
            <w:gridSpan w:val="2"/>
            <w:noWrap w:val="0"/>
            <w:vAlign w:val="center"/>
          </w:tcPr>
          <w:p>
            <w:pPr>
              <w:spacing w:line="380" w:lineRule="exact"/>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p>
        </w:tc>
      </w:tr>
    </w:tbl>
    <w:p>
      <w:pPr>
        <w:numPr>
          <w:ilvl w:val="0"/>
          <w:numId w:val="0"/>
        </w:numPr>
        <w:spacing w:line="460" w:lineRule="exact"/>
        <w:jc w:val="both"/>
        <w:rPr>
          <w:rFonts w:hint="eastAsia" w:ascii="宋体" w:hAnsi="宋体"/>
          <w:b/>
          <w:bCs/>
          <w:sz w:val="28"/>
          <w:szCs w:val="28"/>
          <w:lang w:val="en-US" w:eastAsia="zh-CN"/>
        </w:rPr>
      </w:pPr>
    </w:p>
    <w:p>
      <w:pPr>
        <w:spacing w:line="360" w:lineRule="auto"/>
        <w:ind w:right="349" w:rightChars="166"/>
        <w:rPr>
          <w:rFonts w:hint="eastAsia" w:ascii="宋体" w:hAnsi="宋体" w:eastAsia="宋体" w:cs="宋体"/>
          <w:sz w:val="24"/>
          <w:szCs w:val="24"/>
        </w:rPr>
      </w:pPr>
      <w:r>
        <w:rPr>
          <w:rFonts w:hint="eastAsia" w:ascii="新宋体" w:hAnsi="新宋体" w:eastAsia="新宋体" w:cs="新宋体"/>
          <w:b w:val="0"/>
          <w:bCs/>
          <w:color w:val="auto"/>
          <w:sz w:val="24"/>
          <w:szCs w:val="24"/>
          <w:highlight w:val="none"/>
          <w:lang w:val="en-US" w:eastAsia="zh-CN"/>
        </w:rPr>
        <w:t xml:space="preserve">                           </w:t>
      </w:r>
    </w:p>
    <w:p>
      <w:pPr>
        <w:spacing w:line="380" w:lineRule="exact"/>
        <w:ind w:right="349" w:rightChars="166"/>
        <w:rPr>
          <w:rFonts w:hint="eastAsia" w:ascii="宋体" w:hAnsi="宋体"/>
          <w:sz w:val="22"/>
          <w:szCs w:val="22"/>
        </w:rPr>
      </w:pPr>
    </w:p>
    <w:p>
      <w:pPr>
        <w:spacing w:line="460" w:lineRule="exact"/>
        <w:rPr>
          <w:rFonts w:hint="eastAsia" w:ascii="宋体" w:hAnsi="宋体"/>
          <w:b/>
          <w:sz w:val="22"/>
        </w:rPr>
      </w:pPr>
      <w:r>
        <w:rPr>
          <w:rFonts w:hint="eastAsia" w:ascii="宋体" w:hAnsi="宋体"/>
          <w:b/>
          <w:sz w:val="22"/>
        </w:rPr>
        <w:t>说明：</w:t>
      </w:r>
    </w:p>
    <w:p>
      <w:pPr>
        <w:spacing w:line="380" w:lineRule="exact"/>
        <w:rPr>
          <w:rFonts w:hint="eastAsia" w:ascii="宋体" w:hAnsi="宋体"/>
          <w:b/>
          <w:sz w:val="22"/>
          <w:lang w:val="en-US" w:eastAsia="zh-CN"/>
        </w:rPr>
      </w:pPr>
      <w:r>
        <w:rPr>
          <w:rFonts w:hint="eastAsia" w:ascii="宋体" w:hAnsi="宋体"/>
          <w:b/>
          <w:sz w:val="22"/>
          <w:lang w:val="en-US" w:eastAsia="zh-CN"/>
        </w:rPr>
        <w:t>1、此表总计价应与上方“（一）报价一览表”中报价相一致。</w:t>
      </w:r>
    </w:p>
    <w:p>
      <w:pPr>
        <w:spacing w:line="380" w:lineRule="exact"/>
        <w:rPr>
          <w:rFonts w:hint="eastAsia" w:ascii="宋体" w:hAnsi="宋体"/>
          <w:b/>
          <w:sz w:val="22"/>
          <w:lang w:val="en-US" w:eastAsia="zh-CN"/>
        </w:rPr>
      </w:pPr>
      <w:r>
        <w:rPr>
          <w:rFonts w:hint="eastAsia" w:ascii="宋体" w:hAnsi="宋体"/>
          <w:b/>
          <w:sz w:val="22"/>
          <w:lang w:val="en-US" w:eastAsia="zh-CN"/>
        </w:rPr>
        <w:t>2、不提供详细分项报价将视为没有实质性响应招标文件。</w:t>
      </w:r>
    </w:p>
    <w:p>
      <w:pPr>
        <w:spacing w:line="380" w:lineRule="exact"/>
        <w:rPr>
          <w:rFonts w:hint="eastAsia" w:ascii="宋体" w:hAnsi="宋体"/>
          <w:b/>
          <w:sz w:val="22"/>
          <w:lang w:val="en-US" w:eastAsia="zh-CN"/>
        </w:rPr>
      </w:pPr>
      <w:r>
        <w:rPr>
          <w:rFonts w:hint="eastAsia" w:ascii="宋体" w:hAnsi="宋体"/>
          <w:b/>
          <w:sz w:val="22"/>
          <w:lang w:val="en-US" w:eastAsia="zh-CN"/>
        </w:rPr>
        <w:t>3、以上全部报价包含货物到达甲方并能正常使用所需的一切费用，包括但不限于包装费、运输费、装卸费、保险费、安装费以及保修费、税费等。</w:t>
      </w:r>
    </w:p>
    <w:p>
      <w:pPr>
        <w:spacing w:line="380" w:lineRule="exact"/>
        <w:rPr>
          <w:rFonts w:hint="eastAsia" w:ascii="宋体" w:hAnsi="宋体"/>
          <w:b/>
          <w:sz w:val="22"/>
          <w:lang w:val="en-US" w:eastAsia="zh-CN"/>
        </w:rPr>
      </w:pPr>
    </w:p>
    <w:p>
      <w:pPr>
        <w:spacing w:line="360" w:lineRule="auto"/>
        <w:rPr>
          <w:rFonts w:hint="eastAsia" w:ascii="宋体" w:hAnsi="宋体"/>
          <w:sz w:val="22"/>
          <w:szCs w:val="22"/>
        </w:rPr>
      </w:pPr>
    </w:p>
    <w:p>
      <w:pPr>
        <w:spacing w:line="360" w:lineRule="auto"/>
        <w:rPr>
          <w:rFonts w:hint="eastAsia" w:ascii="宋体" w:hAnsi="宋体"/>
          <w:sz w:val="22"/>
          <w:szCs w:val="22"/>
        </w:rPr>
      </w:pPr>
    </w:p>
    <w:p>
      <w:pPr>
        <w:spacing w:line="360" w:lineRule="auto"/>
        <w:rPr>
          <w:rFonts w:hint="eastAsia" w:ascii="宋体" w:hAnsi="宋体"/>
          <w:sz w:val="22"/>
          <w:szCs w:val="22"/>
        </w:rPr>
      </w:pPr>
      <w:r>
        <w:rPr>
          <w:rFonts w:hint="eastAsia" w:ascii="宋体" w:hAnsi="宋体"/>
          <w:sz w:val="22"/>
          <w:szCs w:val="22"/>
        </w:rPr>
        <w:t>供应商全称（盖章）：</w:t>
      </w:r>
    </w:p>
    <w:p>
      <w:pPr>
        <w:spacing w:line="360" w:lineRule="auto"/>
        <w:rPr>
          <w:rFonts w:hint="eastAsia"/>
        </w:rPr>
      </w:pPr>
      <w:r>
        <w:rPr>
          <w:rFonts w:hint="eastAsia" w:ascii="宋体" w:hAnsi="宋体"/>
          <w:sz w:val="22"/>
          <w:szCs w:val="22"/>
        </w:rPr>
        <w:t xml:space="preserve">日 期：  </w:t>
      </w:r>
      <w:r>
        <w:rPr>
          <w:rFonts w:hint="eastAsia" w:ascii="宋体" w:hAnsi="宋体"/>
          <w:sz w:val="22"/>
          <w:szCs w:val="22"/>
          <w:lang w:val="en-US" w:eastAsia="zh-CN"/>
        </w:rPr>
        <w:t xml:space="preserve">   </w:t>
      </w:r>
      <w:r>
        <w:rPr>
          <w:rFonts w:hint="eastAsia" w:ascii="宋体" w:hAnsi="宋体"/>
          <w:sz w:val="22"/>
          <w:szCs w:val="22"/>
        </w:rPr>
        <w:t xml:space="preserve">年  </w:t>
      </w:r>
      <w:r>
        <w:rPr>
          <w:rFonts w:hint="eastAsia" w:ascii="宋体" w:hAnsi="宋体"/>
          <w:sz w:val="22"/>
          <w:szCs w:val="22"/>
          <w:lang w:val="en-US" w:eastAsia="zh-CN"/>
        </w:rPr>
        <w:t xml:space="preserve">   </w:t>
      </w:r>
      <w:r>
        <w:rPr>
          <w:rFonts w:hint="eastAsia" w:ascii="宋体" w:hAnsi="宋体"/>
          <w:sz w:val="22"/>
          <w:szCs w:val="22"/>
        </w:rPr>
        <w:t xml:space="preserve">月  </w:t>
      </w:r>
      <w:r>
        <w:rPr>
          <w:rFonts w:hint="eastAsia" w:ascii="宋体" w:hAnsi="宋体"/>
          <w:sz w:val="22"/>
          <w:szCs w:val="22"/>
          <w:lang w:val="en-US" w:eastAsia="zh-CN"/>
        </w:rPr>
        <w:t xml:space="preserve">   </w:t>
      </w:r>
      <w:r>
        <w:rPr>
          <w:rFonts w:hint="eastAsia" w:ascii="宋体" w:hAnsi="宋体"/>
          <w:sz w:val="22"/>
          <w:szCs w:val="22"/>
        </w:rPr>
        <w:t>日</w:t>
      </w:r>
    </w:p>
    <w:p>
      <w:pPr>
        <w:pStyle w:val="8"/>
        <w:ind w:left="0" w:leftChars="0" w:firstLine="0" w:firstLineChars="0"/>
      </w:pPr>
    </w:p>
    <w:p>
      <w:pPr>
        <w:pStyle w:val="8"/>
        <w:numPr>
          <w:ilvl w:val="0"/>
          <w:numId w:val="0"/>
        </w:numPr>
        <w:spacing w:line="360" w:lineRule="auto"/>
        <w:ind w:firstLine="480" w:firstLineChars="200"/>
        <w:rPr>
          <w:rFonts w:hint="default"/>
          <w:sz w:val="24"/>
          <w:szCs w:val="24"/>
          <w:lang w:val="en-US" w:eastAsia="zh-CN"/>
        </w:rPr>
      </w:pPr>
    </w:p>
    <w:sectPr>
      <w:pgSz w:w="11906" w:h="16838"/>
      <w:pgMar w:top="1134" w:right="850" w:bottom="1134"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rPr>
    </w:pPr>
    <w:r>
      <w:fldChar w:fldCharType="begin"/>
    </w:r>
    <w:r>
      <w:rPr>
        <w:rStyle w:val="18"/>
      </w:rPr>
      <w:instrText xml:space="preserve"> PAGE </w:instrText>
    </w:r>
    <w:r>
      <w:fldChar w:fldCharType="separate"/>
    </w:r>
    <w:r>
      <w:rPr>
        <w:rStyle w:val="18"/>
      </w:rPr>
      <w:t>- 1 -</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84B24"/>
    <w:multiLevelType w:val="singleLevel"/>
    <w:tmpl w:val="8AE84B24"/>
    <w:lvl w:ilvl="0" w:tentative="0">
      <w:start w:val="2"/>
      <w:numFmt w:val="chineseCounting"/>
      <w:suff w:val="nothing"/>
      <w:lvlText w:val="（%1）"/>
      <w:lvlJc w:val="left"/>
      <w:rPr>
        <w:rFonts w:hint="eastAsia"/>
      </w:rPr>
    </w:lvl>
  </w:abstractNum>
  <w:abstractNum w:abstractNumId="1">
    <w:nsid w:val="A147F9EE"/>
    <w:multiLevelType w:val="singleLevel"/>
    <w:tmpl w:val="A147F9EE"/>
    <w:lvl w:ilvl="0" w:tentative="0">
      <w:start w:val="1"/>
      <w:numFmt w:val="decimal"/>
      <w:suff w:val="nothing"/>
      <w:lvlText w:val="%1、"/>
      <w:lvlJc w:val="left"/>
    </w:lvl>
  </w:abstractNum>
  <w:abstractNum w:abstractNumId="2">
    <w:nsid w:val="A40DEA52"/>
    <w:multiLevelType w:val="singleLevel"/>
    <w:tmpl w:val="A40DEA52"/>
    <w:lvl w:ilvl="0" w:tentative="0">
      <w:start w:val="3"/>
      <w:numFmt w:val="decimal"/>
      <w:suff w:val="nothing"/>
      <w:lvlText w:val="（%1）"/>
      <w:lvlJc w:val="left"/>
    </w:lvl>
  </w:abstractNum>
  <w:abstractNum w:abstractNumId="3">
    <w:nsid w:val="18D40539"/>
    <w:multiLevelType w:val="singleLevel"/>
    <w:tmpl w:val="18D40539"/>
    <w:lvl w:ilvl="0" w:tentative="0">
      <w:start w:val="5"/>
      <w:numFmt w:val="chineseCounting"/>
      <w:suff w:val="nothing"/>
      <w:lvlText w:val="%1、"/>
      <w:lvlJc w:val="left"/>
      <w:rPr>
        <w:rFonts w:hint="eastAsia"/>
      </w:rPr>
    </w:lvl>
  </w:abstractNum>
  <w:abstractNum w:abstractNumId="4">
    <w:nsid w:val="5D497C9E"/>
    <w:multiLevelType w:val="multilevel"/>
    <w:tmpl w:val="5D497C9E"/>
    <w:lvl w:ilvl="0" w:tentative="0">
      <w:start w:val="1"/>
      <w:numFmt w:val="chineseCountingThousand"/>
      <w:suff w:val="nothing"/>
      <w:lvlText w:val="第%1章"/>
      <w:lvlJc w:val="left"/>
      <w:pPr>
        <w:ind w:left="0" w:firstLine="0"/>
      </w:pPr>
      <w:rPr>
        <w:rFonts w:hint="default" w:ascii="Times New Roman" w:hAnsi="Times New Roman" w:eastAsia="黑体"/>
        <w:b/>
        <w:i w:val="0"/>
        <w:sz w:val="32"/>
        <w:szCs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4"/>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7EE202FD"/>
    <w:multiLevelType w:val="singleLevel"/>
    <w:tmpl w:val="7EE202FD"/>
    <w:lvl w:ilvl="0" w:tentative="0">
      <w:start w:val="2"/>
      <w:numFmt w:val="chineseCounting"/>
      <w:suff w:val="nothing"/>
      <w:lvlText w:val="%1、"/>
      <w:lvlJc w:val="left"/>
      <w:rPr>
        <w:rFonts w:hint="eastAsia"/>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zN2FlZGQyNmExMDc1YTc1OWIxYmFlNmE1NTFhMTUifQ=="/>
  </w:docVars>
  <w:rsids>
    <w:rsidRoot w:val="00A02A37"/>
    <w:rsid w:val="0007646E"/>
    <w:rsid w:val="002A0406"/>
    <w:rsid w:val="007373BC"/>
    <w:rsid w:val="00A02A37"/>
    <w:rsid w:val="00A457FA"/>
    <w:rsid w:val="00F0269D"/>
    <w:rsid w:val="01E762E7"/>
    <w:rsid w:val="03447E8E"/>
    <w:rsid w:val="04684506"/>
    <w:rsid w:val="06007F0A"/>
    <w:rsid w:val="06043E9E"/>
    <w:rsid w:val="06E15E3C"/>
    <w:rsid w:val="0C300A04"/>
    <w:rsid w:val="10C71F5A"/>
    <w:rsid w:val="192A3988"/>
    <w:rsid w:val="1D1A3DDD"/>
    <w:rsid w:val="1D3C515C"/>
    <w:rsid w:val="1DC36D7B"/>
    <w:rsid w:val="1EDF5677"/>
    <w:rsid w:val="22285365"/>
    <w:rsid w:val="226E2973"/>
    <w:rsid w:val="229D2E28"/>
    <w:rsid w:val="291122AA"/>
    <w:rsid w:val="2B400C25"/>
    <w:rsid w:val="2B512946"/>
    <w:rsid w:val="2B6947FB"/>
    <w:rsid w:val="2B8B6847"/>
    <w:rsid w:val="2C6763C9"/>
    <w:rsid w:val="2C77430D"/>
    <w:rsid w:val="2EBF307B"/>
    <w:rsid w:val="321B0A6F"/>
    <w:rsid w:val="3252214B"/>
    <w:rsid w:val="32E53E60"/>
    <w:rsid w:val="340053F5"/>
    <w:rsid w:val="36942C63"/>
    <w:rsid w:val="37B235FD"/>
    <w:rsid w:val="397A2D47"/>
    <w:rsid w:val="3A4148A3"/>
    <w:rsid w:val="3B0B6220"/>
    <w:rsid w:val="41A43873"/>
    <w:rsid w:val="431F2F2F"/>
    <w:rsid w:val="462A298B"/>
    <w:rsid w:val="47A47999"/>
    <w:rsid w:val="47FD3F63"/>
    <w:rsid w:val="48C84ABD"/>
    <w:rsid w:val="48F2201E"/>
    <w:rsid w:val="4BAB6674"/>
    <w:rsid w:val="4C215AB1"/>
    <w:rsid w:val="4CBC77E4"/>
    <w:rsid w:val="4D2C47F3"/>
    <w:rsid w:val="4F302BDB"/>
    <w:rsid w:val="4FD147A1"/>
    <w:rsid w:val="502926AC"/>
    <w:rsid w:val="522E2CD6"/>
    <w:rsid w:val="536C61AC"/>
    <w:rsid w:val="586D09FC"/>
    <w:rsid w:val="59401D98"/>
    <w:rsid w:val="5A0F768E"/>
    <w:rsid w:val="5A3C73F0"/>
    <w:rsid w:val="62BD2580"/>
    <w:rsid w:val="63A66B70"/>
    <w:rsid w:val="66C01A18"/>
    <w:rsid w:val="6A58493C"/>
    <w:rsid w:val="6CAB53D0"/>
    <w:rsid w:val="6EAD47D5"/>
    <w:rsid w:val="71230F4D"/>
    <w:rsid w:val="747B3DF6"/>
    <w:rsid w:val="75956E1A"/>
    <w:rsid w:val="75CE1AEC"/>
    <w:rsid w:val="7A066163"/>
    <w:rsid w:val="7C0E1C8F"/>
    <w:rsid w:val="7C812208"/>
    <w:rsid w:val="7CB726B6"/>
    <w:rsid w:val="7CCD740C"/>
    <w:rsid w:val="7D180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3"/>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3">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4"/>
    <w:basedOn w:val="1"/>
    <w:next w:val="1"/>
    <w:autoRedefine/>
    <w:qFormat/>
    <w:uiPriority w:val="0"/>
    <w:pPr>
      <w:keepNext/>
      <w:keepLines/>
      <w:numPr>
        <w:ilvl w:val="3"/>
        <w:numId w:val="1"/>
      </w:numPr>
      <w:spacing w:line="540" w:lineRule="atLeast"/>
      <w:outlineLvl w:val="3"/>
    </w:pPr>
    <w:rPr>
      <w:sz w:val="28"/>
      <w:szCs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adjustRightInd w:val="0"/>
      <w:spacing w:line="312" w:lineRule="atLeast"/>
      <w:ind w:firstLine="420"/>
      <w:textAlignment w:val="baseline"/>
    </w:pPr>
    <w:rPr>
      <w:rFonts w:ascii="仿宋_GB2312"/>
      <w:b/>
      <w:kern w:val="0"/>
      <w:szCs w:val="32"/>
    </w:rPr>
  </w:style>
  <w:style w:type="paragraph" w:styleId="6">
    <w:name w:val="Body Text"/>
    <w:basedOn w:val="1"/>
    <w:autoRedefine/>
    <w:qFormat/>
    <w:uiPriority w:val="0"/>
    <w:pPr>
      <w:spacing w:after="120" w:afterLines="0"/>
    </w:pPr>
  </w:style>
  <w:style w:type="paragraph" w:styleId="7">
    <w:name w:val="Body Text Indent"/>
    <w:basedOn w:val="1"/>
    <w:next w:val="8"/>
    <w:autoRedefine/>
    <w:qFormat/>
    <w:uiPriority w:val="0"/>
    <w:pPr>
      <w:ind w:firstLine="555"/>
    </w:pPr>
  </w:style>
  <w:style w:type="paragraph" w:styleId="8">
    <w:name w:val="Body Text First Indent 2"/>
    <w:basedOn w:val="7"/>
    <w:autoRedefine/>
    <w:unhideWhenUsed/>
    <w:qFormat/>
    <w:uiPriority w:val="99"/>
    <w:pPr>
      <w:ind w:firstLine="420" w:firstLineChars="200"/>
    </w:pPr>
  </w:style>
  <w:style w:type="paragraph" w:styleId="9">
    <w:name w:val="Plain Text"/>
    <w:basedOn w:val="1"/>
    <w:autoRedefine/>
    <w:qFormat/>
    <w:uiPriority w:val="0"/>
    <w:pPr>
      <w:spacing w:beforeLines="50" w:afterLines="50" w:line="400" w:lineRule="exact"/>
    </w:pPr>
    <w:rPr>
      <w:rFonts w:ascii="宋体" w:hAnsi="Courier New"/>
      <w:sz w:val="24"/>
    </w:rPr>
  </w:style>
  <w:style w:type="paragraph" w:styleId="10">
    <w:name w:val="Balloon Text"/>
    <w:basedOn w:val="1"/>
    <w:link w:val="20"/>
    <w:autoRedefine/>
    <w:qFormat/>
    <w:uiPriority w:val="0"/>
    <w:rPr>
      <w:sz w:val="18"/>
      <w:szCs w:val="18"/>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First Indent"/>
    <w:basedOn w:val="6"/>
    <w:autoRedefine/>
    <w:qFormat/>
    <w:uiPriority w:val="0"/>
    <w:pPr>
      <w:ind w:firstLine="420" w:firstLineChars="100"/>
    </w:pPr>
    <w:rPr>
      <w:b/>
      <w:bCs/>
      <w:szCs w:val="24"/>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22"/>
    <w:rPr>
      <w:b/>
    </w:rPr>
  </w:style>
  <w:style w:type="character" w:styleId="18">
    <w:name w:val="page number"/>
    <w:autoRedefine/>
    <w:qFormat/>
    <w:uiPriority w:val="0"/>
  </w:style>
  <w:style w:type="character" w:styleId="19">
    <w:name w:val="Hyperlink"/>
    <w:basedOn w:val="16"/>
    <w:autoRedefine/>
    <w:qFormat/>
    <w:uiPriority w:val="0"/>
    <w:rPr>
      <w:color w:val="0000FF"/>
      <w:u w:val="single"/>
    </w:rPr>
  </w:style>
  <w:style w:type="character" w:customStyle="1" w:styleId="20">
    <w:name w:val="批注框文本 Char"/>
    <w:basedOn w:val="16"/>
    <w:link w:val="10"/>
    <w:autoRedefine/>
    <w:qFormat/>
    <w:uiPriority w:val="0"/>
    <w:rPr>
      <w:rFonts w:asciiTheme="minorHAnsi" w:hAnsiTheme="minorHAnsi" w:eastAsiaTheme="minorEastAsia" w:cstheme="minorBidi"/>
      <w:kern w:val="2"/>
      <w:sz w:val="18"/>
      <w:szCs w:val="18"/>
    </w:rPr>
  </w:style>
  <w:style w:type="character" w:customStyle="1" w:styleId="21">
    <w:name w:val="font31"/>
    <w:basedOn w:val="16"/>
    <w:autoRedefine/>
    <w:qFormat/>
    <w:uiPriority w:val="0"/>
    <w:rPr>
      <w:rFonts w:hint="eastAsia" w:ascii="宋体" w:hAnsi="宋体" w:eastAsia="宋体" w:cs="宋体"/>
      <w:color w:val="000000"/>
      <w:sz w:val="22"/>
      <w:szCs w:val="22"/>
      <w:u w:val="none"/>
    </w:rPr>
  </w:style>
  <w:style w:type="character" w:customStyle="1" w:styleId="22">
    <w:name w:val="font01"/>
    <w:basedOn w:val="16"/>
    <w:autoRedefine/>
    <w:qFormat/>
    <w:uiPriority w:val="0"/>
    <w:rPr>
      <w:rFonts w:hint="eastAsia" w:ascii="宋体" w:hAnsi="宋体" w:eastAsia="宋体" w:cs="宋体"/>
      <w:color w:val="000000"/>
      <w:sz w:val="22"/>
      <w:szCs w:val="22"/>
      <w:u w:val="none"/>
    </w:rPr>
  </w:style>
  <w:style w:type="character" w:customStyle="1" w:styleId="23">
    <w:name w:val="font21"/>
    <w:basedOn w:val="16"/>
    <w:autoRedefine/>
    <w:qFormat/>
    <w:uiPriority w:val="0"/>
    <w:rPr>
      <w:rFonts w:hint="eastAsia" w:ascii="宋体" w:hAnsi="宋体" w:eastAsia="宋体" w:cs="宋体"/>
      <w:color w:val="000000"/>
      <w:sz w:val="24"/>
      <w:szCs w:val="24"/>
      <w:u w:val="none"/>
    </w:rPr>
  </w:style>
  <w:style w:type="paragraph" w:customStyle="1" w:styleId="24">
    <w:name w:val="Fließtext"/>
    <w:basedOn w:val="1"/>
    <w:autoRedefine/>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2620</Words>
  <Characters>2797</Characters>
  <Lines>1</Lines>
  <Paragraphs>1</Paragraphs>
  <TotalTime>16</TotalTime>
  <ScaleCrop>false</ScaleCrop>
  <LinksUpToDate>false</LinksUpToDate>
  <CharactersWithSpaces>2857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2022-04-15T10:54:00Z</dcterms:created>
  <dc:creator>1</dc:creator>
  <cp:lastModifiedBy>市渔业应急处置指挥中心</cp:lastModifiedBy>
  <dcterms:modified xsi:type="dcterms:W3CDTF">2025-11-18T03:26:02Z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0DCF562098774543BC7C1908BB17A16F_13</vt:lpwstr>
  </property>
</Properties>
</file>