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血气分析仪</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项目名称:血气分析仪</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2025-sb-cg-003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both"/>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设备1：血气分析仪</w:t>
            </w:r>
          </w:p>
        </w:tc>
        <w:tc>
          <w:tcPr>
            <w:tcW w:w="1434" w:type="dxa"/>
          </w:tcPr>
          <w:p>
            <w:pPr>
              <w:jc w:val="left"/>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bookmarkStart w:id="0" w:name="_GoBack"/>
      <w:bookmarkEnd w:id="0"/>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2025</w:t>
      </w:r>
      <w:r>
        <w:rPr>
          <w:rFonts w:hint="eastAsia" w:asciiTheme="minorEastAsia" w:hAnsiTheme="minorEastAsia" w:eastAsiaTheme="minorEastAsia" w:cstheme="minorEastAsia"/>
          <w:kern w:val="2"/>
          <w:sz w:val="21"/>
          <w:szCs w:val="21"/>
          <w:lang w:val="en-US" w:eastAsia="zh-CN" w:bidi="ar-SA"/>
        </w:rPr>
        <w:t>年11月20日上午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2、开标时间：2025年11月20日上午10：00（北京时间）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hint="eastAsia" w:ascii="Times New Roman" w:hAnsi="宋体"/>
                <w:bCs w:val="0"/>
                <w:sz w:val="24"/>
                <w:szCs w:val="24"/>
                <w:lang w:eastAsia="zh-CN"/>
              </w:rPr>
              <w:t>遴选</w:t>
            </w:r>
            <w:r>
              <w:rPr>
                <w:rStyle w:val="28"/>
                <w:rFonts w:ascii="Times New Roman" w:hAnsi="宋体"/>
                <w:bCs w:val="0"/>
                <w:sz w:val="24"/>
                <w:szCs w:val="24"/>
              </w:rPr>
              <w:t>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b/>
                <w:bCs/>
                <w:sz w:val="21"/>
                <w:szCs w:val="21"/>
              </w:rPr>
            </w:pPr>
            <w:r>
              <w:rPr>
                <w:rFonts w:hint="eastAsia" w:ascii="新宋体" w:hAnsi="新宋体" w:eastAsia="新宋体" w:cs="新宋体"/>
                <w:b/>
                <w:bCs/>
                <w:color w:val="auto"/>
                <w:sz w:val="21"/>
                <w:szCs w:val="21"/>
                <w:highlight w:val="none"/>
              </w:rPr>
              <w:t>一</w:t>
            </w:r>
          </w:p>
        </w:tc>
        <w:tc>
          <w:tcPr>
            <w:tcW w:w="3620" w:type="pct"/>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b/>
                <w:bCs/>
                <w:color w:val="000000"/>
                <w:sz w:val="21"/>
                <w:szCs w:val="21"/>
                <w:lang w:bidi="ar"/>
              </w:rPr>
            </w:pPr>
            <w:r>
              <w:rPr>
                <w:rFonts w:hint="eastAsia" w:ascii="新宋体" w:hAnsi="新宋体" w:eastAsia="新宋体" w:cs="新宋体"/>
                <w:b/>
                <w:bCs/>
                <w:color w:val="auto"/>
                <w:sz w:val="21"/>
                <w:szCs w:val="21"/>
                <w:highlight w:val="none"/>
                <w:lang w:bidi="ar"/>
              </w:rPr>
              <w:t>技术参数要求</w:t>
            </w:r>
          </w:p>
        </w:tc>
        <w:tc>
          <w:tcPr>
            <w:tcW w:w="676" w:type="pct"/>
            <w:noWrap w:val="0"/>
            <w:vAlign w:val="center"/>
          </w:tcPr>
          <w:p>
            <w:pPr>
              <w:pStyle w:val="29"/>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color w:val="000000"/>
                <w:sz w:val="21"/>
                <w:szCs w:val="21"/>
              </w:rPr>
            </w:pPr>
            <w:r>
              <w:rPr>
                <w:rFonts w:hint="eastAsia" w:ascii="新宋体" w:hAnsi="新宋体" w:eastAsia="新宋体" w:cs="新宋体"/>
                <w:b/>
                <w:color w:val="auto"/>
                <w:sz w:val="21"/>
                <w:szCs w:val="21"/>
                <w:highlight w:val="none"/>
              </w:rPr>
              <w:t>1.1</w:t>
            </w:r>
          </w:p>
        </w:tc>
        <w:tc>
          <w:tcPr>
            <w:tcW w:w="3620" w:type="pct"/>
            <w:noWrap w:val="0"/>
            <w:vAlign w:val="top"/>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color w:val="000000"/>
                <w:sz w:val="21"/>
                <w:szCs w:val="21"/>
              </w:rPr>
            </w:pPr>
            <w:r>
              <w:rPr>
                <w:rFonts w:hint="eastAsia" w:ascii="新宋体" w:hAnsi="新宋体" w:eastAsia="新宋体" w:cs="新宋体"/>
                <w:b/>
                <w:color w:val="auto"/>
                <w:sz w:val="21"/>
                <w:szCs w:val="21"/>
                <w:highlight w:val="none"/>
              </w:rPr>
              <w:t>用途：</w:t>
            </w:r>
            <w:r>
              <w:rPr>
                <w:rFonts w:hint="eastAsia" w:ascii="新宋体" w:hAnsi="新宋体" w:eastAsia="新宋体" w:cs="新宋体"/>
                <w:color w:val="auto"/>
                <w:sz w:val="21"/>
                <w:szCs w:val="21"/>
                <w:highlight w:val="none"/>
                <w:shd w:val="clear" w:color="auto" w:fill="FFFFFF"/>
              </w:rPr>
              <w:t>测定人体血液的H+浓度和溶解在血液中的气体（主要指CO</w:t>
            </w:r>
            <w:r>
              <w:rPr>
                <w:rFonts w:hint="eastAsia" w:ascii="新宋体" w:hAnsi="新宋体" w:eastAsia="新宋体" w:cs="新宋体"/>
                <w:color w:val="auto"/>
                <w:sz w:val="21"/>
                <w:szCs w:val="21"/>
                <w:highlight w:val="none"/>
                <w:shd w:val="clear" w:color="auto" w:fill="FFFFFF"/>
                <w:vertAlign w:val="subscript"/>
              </w:rPr>
              <w:t>2</w:t>
            </w:r>
            <w:r>
              <w:rPr>
                <w:rFonts w:hint="eastAsia" w:ascii="新宋体" w:hAnsi="新宋体" w:eastAsia="新宋体" w:cs="新宋体"/>
                <w:color w:val="auto"/>
                <w:sz w:val="21"/>
                <w:szCs w:val="21"/>
                <w:highlight w:val="none"/>
                <w:shd w:val="clear" w:color="auto" w:fill="FFFFFF"/>
              </w:rPr>
              <w:t>、O</w:t>
            </w:r>
            <w:r>
              <w:rPr>
                <w:rFonts w:hint="eastAsia" w:ascii="新宋体" w:hAnsi="新宋体" w:eastAsia="新宋体" w:cs="新宋体"/>
                <w:color w:val="auto"/>
                <w:sz w:val="21"/>
                <w:szCs w:val="21"/>
                <w:highlight w:val="none"/>
                <w:shd w:val="clear" w:color="auto" w:fill="FFFFFF"/>
                <w:vertAlign w:val="subscript"/>
              </w:rPr>
              <w:t>2</w:t>
            </w:r>
            <w:r>
              <w:rPr>
                <w:rFonts w:hint="eastAsia" w:ascii="新宋体" w:hAnsi="新宋体" w:eastAsia="新宋体" w:cs="新宋体"/>
                <w:color w:val="auto"/>
                <w:sz w:val="21"/>
                <w:szCs w:val="21"/>
                <w:highlight w:val="none"/>
                <w:shd w:val="clear" w:color="auto" w:fill="FFFFFF"/>
              </w:rPr>
              <w:t>），来了解人体呼吸功能与酸碱平衡状态的一种手段，它能直接反映肺换气功能及其酸碱平衡状态。</w:t>
            </w:r>
          </w:p>
        </w:tc>
        <w:tc>
          <w:tcPr>
            <w:tcW w:w="676" w:type="pct"/>
            <w:noWrap w:val="0"/>
            <w:vAlign w:val="center"/>
          </w:tcPr>
          <w:p>
            <w:pPr>
              <w:widowControl/>
              <w:spacing w:line="360" w:lineRule="auto"/>
              <w:jc w:val="center"/>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kinsoku/>
              <w:wordWrap/>
              <w:overflowPunct/>
              <w:topLinePunct w:val="0"/>
              <w:bidi w:val="0"/>
              <w:adjustRightInd/>
              <w:snapToGrid/>
              <w:spacing w:line="460" w:lineRule="exact"/>
              <w:jc w:val="left"/>
              <w:textAlignment w:val="auto"/>
              <w:rPr>
                <w:color w:val="000000"/>
                <w:sz w:val="21"/>
                <w:szCs w:val="21"/>
              </w:rPr>
            </w:pPr>
            <w:r>
              <w:rPr>
                <w:rFonts w:hint="eastAsia" w:ascii="新宋体" w:hAnsi="新宋体" w:eastAsia="新宋体" w:cs="新宋体"/>
                <w:b/>
                <w:color w:val="auto"/>
                <w:sz w:val="21"/>
                <w:szCs w:val="21"/>
                <w:highlight w:val="none"/>
              </w:rPr>
              <w:t>1.2</w:t>
            </w:r>
          </w:p>
        </w:tc>
        <w:tc>
          <w:tcPr>
            <w:tcW w:w="3620" w:type="pct"/>
            <w:noWrap w:val="0"/>
            <w:vAlign w:val="center"/>
          </w:tcPr>
          <w:p>
            <w:pPr>
              <w:keepNext w:val="0"/>
              <w:keepLines w:val="0"/>
              <w:pageBreakBefore w:val="0"/>
              <w:widowControl/>
              <w:kinsoku/>
              <w:wordWrap/>
              <w:overflowPunct/>
              <w:topLinePunct w:val="0"/>
              <w:bidi w:val="0"/>
              <w:adjustRightInd/>
              <w:snapToGrid/>
              <w:spacing w:line="460" w:lineRule="exact"/>
              <w:textAlignment w:val="auto"/>
              <w:rPr>
                <w:color w:val="000000"/>
                <w:sz w:val="21"/>
                <w:szCs w:val="21"/>
              </w:rPr>
            </w:pPr>
            <w:r>
              <w:rPr>
                <w:rFonts w:hint="eastAsia" w:ascii="新宋体" w:hAnsi="新宋体" w:eastAsia="新宋体" w:cs="新宋体"/>
                <w:b/>
                <w:color w:val="auto"/>
                <w:sz w:val="21"/>
                <w:szCs w:val="21"/>
                <w:highlight w:val="none"/>
              </w:rPr>
              <w:t>主要技术规格及系统概述：</w:t>
            </w:r>
          </w:p>
        </w:tc>
        <w:tc>
          <w:tcPr>
            <w:tcW w:w="676" w:type="pct"/>
            <w:noWrap w:val="0"/>
            <w:vAlign w:val="center"/>
          </w:tcPr>
          <w:p>
            <w:pPr>
              <w:widowControl/>
              <w:spacing w:line="360" w:lineRule="auto"/>
              <w:jc w:val="center"/>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color w:val="000000"/>
                <w:sz w:val="21"/>
                <w:szCs w:val="21"/>
              </w:rPr>
            </w:pPr>
            <w:r>
              <w:rPr>
                <w:rFonts w:hint="eastAsia" w:ascii="新宋体" w:hAnsi="新宋体" w:eastAsia="新宋体" w:cs="新宋体"/>
                <w:b/>
                <w:bCs/>
                <w:color w:val="auto"/>
                <w:sz w:val="21"/>
                <w:szCs w:val="21"/>
                <w:highlight w:val="none"/>
                <w:lang w:val="en-US"/>
              </w:rPr>
              <w:t>★</w:t>
            </w:r>
            <w:r>
              <w:rPr>
                <w:rFonts w:hint="eastAsia" w:ascii="新宋体" w:hAnsi="新宋体" w:eastAsia="新宋体" w:cs="新宋体"/>
                <w:color w:val="auto"/>
                <w:sz w:val="21"/>
                <w:szCs w:val="21"/>
                <w:highlight w:val="none"/>
              </w:rPr>
              <w:t>1.2.1</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color w:val="000000"/>
                <w:sz w:val="21"/>
                <w:szCs w:val="21"/>
              </w:rPr>
            </w:pPr>
            <w:r>
              <w:rPr>
                <w:rFonts w:hint="eastAsia" w:ascii="新宋体" w:hAnsi="新宋体" w:eastAsia="新宋体" w:cs="新宋体"/>
                <w:color w:val="auto"/>
                <w:sz w:val="21"/>
                <w:szCs w:val="21"/>
                <w:highlight w:val="none"/>
              </w:rPr>
              <w:t>实测项目：</w:t>
            </w:r>
            <w:r>
              <w:rPr>
                <w:rFonts w:hint="eastAsia" w:ascii="新宋体" w:hAnsi="新宋体" w:eastAsia="新宋体" w:cs="新宋体"/>
                <w:b/>
                <w:bCs/>
                <w:i w:val="0"/>
                <w:iCs w:val="0"/>
                <w:color w:val="auto"/>
                <w:sz w:val="21"/>
                <w:szCs w:val="21"/>
                <w:highlight w:val="none"/>
              </w:rPr>
              <w:t>ph，pCO</w:t>
            </w:r>
            <w:r>
              <w:rPr>
                <w:rFonts w:hint="eastAsia" w:ascii="新宋体" w:hAnsi="新宋体" w:eastAsia="新宋体" w:cs="新宋体"/>
                <w:b/>
                <w:bCs/>
                <w:i w:val="0"/>
                <w:iCs w:val="0"/>
                <w:color w:val="auto"/>
                <w:sz w:val="21"/>
                <w:szCs w:val="21"/>
                <w:highlight w:val="none"/>
                <w:vertAlign w:val="subscript"/>
              </w:rPr>
              <w:t>2</w:t>
            </w:r>
            <w:r>
              <w:rPr>
                <w:rFonts w:hint="eastAsia" w:ascii="新宋体" w:hAnsi="新宋体" w:eastAsia="新宋体" w:cs="新宋体"/>
                <w:b/>
                <w:bCs/>
                <w:i w:val="0"/>
                <w:iCs w:val="0"/>
                <w:color w:val="auto"/>
                <w:sz w:val="21"/>
                <w:szCs w:val="21"/>
                <w:highlight w:val="none"/>
              </w:rPr>
              <w:t>, pO</w:t>
            </w:r>
            <w:r>
              <w:rPr>
                <w:rFonts w:hint="eastAsia" w:ascii="新宋体" w:hAnsi="新宋体" w:eastAsia="新宋体" w:cs="新宋体"/>
                <w:b/>
                <w:bCs/>
                <w:i w:val="0"/>
                <w:iCs w:val="0"/>
                <w:color w:val="auto"/>
                <w:sz w:val="21"/>
                <w:szCs w:val="21"/>
                <w:highlight w:val="none"/>
                <w:vertAlign w:val="subscript"/>
              </w:rPr>
              <w:t>2，</w:t>
            </w:r>
            <w:r>
              <w:rPr>
                <w:rFonts w:hint="eastAsia" w:ascii="新宋体" w:hAnsi="新宋体" w:eastAsia="新宋体" w:cs="新宋体"/>
                <w:b/>
                <w:bCs/>
                <w:i w:val="0"/>
                <w:iCs w:val="0"/>
                <w:color w:val="auto"/>
                <w:sz w:val="21"/>
                <w:szCs w:val="21"/>
                <w:highlight w:val="none"/>
                <w:vertAlign w:val="baseline"/>
              </w:rPr>
              <w:t>K</w:t>
            </w:r>
            <w:r>
              <w:rPr>
                <w:rFonts w:hint="eastAsia" w:ascii="新宋体" w:hAnsi="新宋体" w:eastAsia="新宋体" w:cs="新宋体"/>
                <w:b/>
                <w:bCs/>
                <w:i w:val="0"/>
                <w:iCs w:val="0"/>
                <w:color w:val="auto"/>
                <w:sz w:val="21"/>
                <w:szCs w:val="21"/>
                <w:highlight w:val="none"/>
                <w:vertAlign w:val="superscript"/>
              </w:rPr>
              <w:t>+</w:t>
            </w:r>
            <w:r>
              <w:rPr>
                <w:rFonts w:hint="eastAsia" w:ascii="新宋体" w:hAnsi="新宋体" w:eastAsia="新宋体" w:cs="新宋体"/>
                <w:b/>
                <w:bCs/>
                <w:i w:val="0"/>
                <w:iCs w:val="0"/>
                <w:color w:val="auto"/>
                <w:sz w:val="21"/>
                <w:szCs w:val="21"/>
                <w:highlight w:val="none"/>
                <w:vertAlign w:val="subscript"/>
              </w:rPr>
              <w:t xml:space="preserve">, </w:t>
            </w:r>
            <w:r>
              <w:rPr>
                <w:rFonts w:hint="eastAsia" w:ascii="新宋体" w:hAnsi="新宋体" w:eastAsia="新宋体" w:cs="新宋体"/>
                <w:b/>
                <w:bCs/>
                <w:i w:val="0"/>
                <w:iCs w:val="0"/>
                <w:color w:val="auto"/>
                <w:sz w:val="21"/>
                <w:szCs w:val="21"/>
                <w:highlight w:val="none"/>
                <w:vertAlign w:val="baseline"/>
              </w:rPr>
              <w:t>Na</w:t>
            </w:r>
            <w:r>
              <w:rPr>
                <w:rFonts w:hint="eastAsia" w:ascii="新宋体" w:hAnsi="新宋体" w:eastAsia="新宋体" w:cs="新宋体"/>
                <w:b/>
                <w:bCs/>
                <w:i w:val="0"/>
                <w:iCs w:val="0"/>
                <w:color w:val="auto"/>
                <w:sz w:val="21"/>
                <w:szCs w:val="21"/>
                <w:highlight w:val="none"/>
                <w:vertAlign w:val="superscript"/>
              </w:rPr>
              <w:t>+</w:t>
            </w:r>
            <w:r>
              <w:rPr>
                <w:rFonts w:hint="eastAsia" w:ascii="新宋体" w:hAnsi="新宋体" w:eastAsia="新宋体" w:cs="新宋体"/>
                <w:b/>
                <w:bCs/>
                <w:i w:val="0"/>
                <w:iCs w:val="0"/>
                <w:color w:val="auto"/>
                <w:sz w:val="21"/>
                <w:szCs w:val="21"/>
                <w:highlight w:val="none"/>
                <w:vertAlign w:val="subscript"/>
              </w:rPr>
              <w:t xml:space="preserve">, </w:t>
            </w:r>
            <w:r>
              <w:rPr>
                <w:rFonts w:hint="eastAsia" w:ascii="新宋体" w:hAnsi="新宋体" w:eastAsia="新宋体" w:cs="新宋体"/>
                <w:b/>
                <w:bCs/>
                <w:i w:val="0"/>
                <w:iCs w:val="0"/>
                <w:color w:val="auto"/>
                <w:sz w:val="21"/>
                <w:szCs w:val="21"/>
                <w:highlight w:val="none"/>
                <w:vertAlign w:val="baseline"/>
              </w:rPr>
              <w:t>Ca</w:t>
            </w:r>
            <w:r>
              <w:rPr>
                <w:rFonts w:hint="eastAsia" w:ascii="新宋体" w:hAnsi="新宋体" w:eastAsia="新宋体" w:cs="新宋体"/>
                <w:b/>
                <w:bCs/>
                <w:i w:val="0"/>
                <w:iCs w:val="0"/>
                <w:color w:val="auto"/>
                <w:sz w:val="21"/>
                <w:szCs w:val="21"/>
                <w:highlight w:val="none"/>
                <w:vertAlign w:val="superscript"/>
              </w:rPr>
              <w:t>2+</w:t>
            </w:r>
            <w:r>
              <w:rPr>
                <w:rFonts w:hint="eastAsia" w:ascii="新宋体" w:hAnsi="新宋体" w:eastAsia="新宋体" w:cs="新宋体"/>
                <w:b/>
                <w:bCs/>
                <w:i w:val="0"/>
                <w:iCs w:val="0"/>
                <w:color w:val="auto"/>
                <w:sz w:val="21"/>
                <w:szCs w:val="21"/>
                <w:highlight w:val="none"/>
                <w:vertAlign w:val="subscript"/>
              </w:rPr>
              <w:t xml:space="preserve">, </w:t>
            </w:r>
            <w:r>
              <w:rPr>
                <w:rFonts w:hint="eastAsia" w:ascii="新宋体" w:hAnsi="新宋体" w:eastAsia="新宋体" w:cs="新宋体"/>
                <w:b/>
                <w:bCs/>
                <w:i w:val="0"/>
                <w:iCs w:val="0"/>
                <w:color w:val="auto"/>
                <w:sz w:val="21"/>
                <w:szCs w:val="21"/>
                <w:highlight w:val="none"/>
                <w:vertAlign w:val="baseline"/>
              </w:rPr>
              <w:t>Cl</w:t>
            </w:r>
            <w:r>
              <w:rPr>
                <w:rFonts w:hint="eastAsia" w:ascii="新宋体" w:hAnsi="新宋体" w:eastAsia="新宋体" w:cs="新宋体"/>
                <w:b/>
                <w:bCs/>
                <w:i w:val="0"/>
                <w:iCs w:val="0"/>
                <w:color w:val="auto"/>
                <w:sz w:val="21"/>
                <w:szCs w:val="21"/>
                <w:highlight w:val="none"/>
                <w:vertAlign w:val="superscript"/>
              </w:rPr>
              <w:t>-</w:t>
            </w:r>
            <w:r>
              <w:rPr>
                <w:rFonts w:hint="eastAsia" w:ascii="新宋体" w:hAnsi="新宋体" w:eastAsia="新宋体" w:cs="新宋体"/>
                <w:b/>
                <w:bCs/>
                <w:i w:val="0"/>
                <w:iCs w:val="0"/>
                <w:color w:val="auto"/>
                <w:sz w:val="21"/>
                <w:szCs w:val="21"/>
                <w:highlight w:val="none"/>
                <w:vertAlign w:val="subscript"/>
              </w:rPr>
              <w:t>，</w:t>
            </w:r>
            <w:r>
              <w:rPr>
                <w:rFonts w:hint="eastAsia" w:ascii="新宋体" w:hAnsi="新宋体" w:eastAsia="新宋体" w:cs="新宋体"/>
                <w:b/>
                <w:bCs/>
                <w:i w:val="0"/>
                <w:iCs w:val="0"/>
                <w:color w:val="auto"/>
                <w:sz w:val="21"/>
                <w:szCs w:val="21"/>
                <w:highlight w:val="none"/>
                <w:vertAlign w:val="baseline"/>
              </w:rPr>
              <w:t>Hct</w:t>
            </w:r>
            <w:r>
              <w:rPr>
                <w:rFonts w:hint="eastAsia" w:ascii="新宋体" w:hAnsi="新宋体" w:eastAsia="新宋体" w:cs="新宋体"/>
                <w:b/>
                <w:bCs/>
                <w:i w:val="0"/>
                <w:iCs w:val="0"/>
                <w:color w:val="auto"/>
                <w:sz w:val="21"/>
                <w:szCs w:val="21"/>
                <w:highlight w:val="none"/>
                <w:vertAlign w:val="subscript"/>
              </w:rPr>
              <w:t>，</w:t>
            </w:r>
            <w:r>
              <w:rPr>
                <w:rFonts w:hint="eastAsia" w:ascii="新宋体" w:hAnsi="新宋体" w:eastAsia="新宋体" w:cs="新宋体"/>
                <w:b/>
                <w:bCs/>
                <w:i w:val="0"/>
                <w:iCs w:val="0"/>
                <w:color w:val="auto"/>
                <w:sz w:val="21"/>
                <w:szCs w:val="21"/>
                <w:highlight w:val="none"/>
              </w:rPr>
              <w:t>Glu, Lac, tBil，sO</w:t>
            </w:r>
            <w:r>
              <w:rPr>
                <w:rFonts w:hint="eastAsia" w:ascii="新宋体" w:hAnsi="新宋体" w:eastAsia="新宋体" w:cs="新宋体"/>
                <w:b/>
                <w:bCs/>
                <w:i w:val="0"/>
                <w:iCs w:val="0"/>
                <w:color w:val="auto"/>
                <w:sz w:val="21"/>
                <w:szCs w:val="21"/>
                <w:highlight w:val="none"/>
                <w:vertAlign w:val="subscript"/>
              </w:rPr>
              <w:t>2</w:t>
            </w:r>
            <w:r>
              <w:rPr>
                <w:rFonts w:hint="eastAsia" w:ascii="新宋体" w:hAnsi="新宋体" w:eastAsia="新宋体" w:cs="新宋体"/>
                <w:b/>
                <w:bCs/>
                <w:i w:val="0"/>
                <w:iCs w:val="0"/>
                <w:color w:val="auto"/>
                <w:sz w:val="21"/>
                <w:szCs w:val="21"/>
                <w:highlight w:val="none"/>
              </w:rPr>
              <w:t>, tHb, O</w:t>
            </w:r>
            <w:r>
              <w:rPr>
                <w:rFonts w:hint="eastAsia" w:ascii="新宋体" w:hAnsi="新宋体" w:eastAsia="新宋体" w:cs="新宋体"/>
                <w:b/>
                <w:bCs/>
                <w:i w:val="0"/>
                <w:iCs w:val="0"/>
                <w:color w:val="auto"/>
                <w:sz w:val="21"/>
                <w:szCs w:val="21"/>
                <w:highlight w:val="none"/>
                <w:vertAlign w:val="subscript"/>
              </w:rPr>
              <w:t>2</w:t>
            </w:r>
            <w:r>
              <w:rPr>
                <w:rFonts w:hint="eastAsia" w:ascii="新宋体" w:hAnsi="新宋体" w:eastAsia="新宋体" w:cs="新宋体"/>
                <w:b/>
                <w:bCs/>
                <w:i w:val="0"/>
                <w:iCs w:val="0"/>
                <w:color w:val="auto"/>
                <w:sz w:val="21"/>
                <w:szCs w:val="21"/>
                <w:highlight w:val="none"/>
              </w:rPr>
              <w:t>Hb, COHb, MetHb, HHb</w:t>
            </w:r>
            <w:r>
              <w:rPr>
                <w:rFonts w:hint="eastAsia" w:ascii="新宋体" w:hAnsi="新宋体" w:eastAsia="新宋体" w:cs="新宋体"/>
                <w:color w:val="auto"/>
                <w:sz w:val="21"/>
                <w:szCs w:val="21"/>
                <w:highlight w:val="none"/>
                <w:lang w:val="en-US"/>
              </w:rPr>
              <w:t>≥17项</w:t>
            </w:r>
          </w:p>
        </w:tc>
        <w:tc>
          <w:tcPr>
            <w:tcW w:w="676" w:type="pct"/>
            <w:noWrap w:val="0"/>
            <w:vAlign w:val="center"/>
          </w:tcPr>
          <w:p>
            <w:pPr>
              <w:widowControl/>
              <w:spacing w:line="360" w:lineRule="auto"/>
              <w:jc w:val="center"/>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hint="eastAsia" w:ascii="宋体" w:hAnsi="宋体" w:cs="宋体"/>
                <w:b/>
                <w:bCs/>
                <w:sz w:val="21"/>
                <w:szCs w:val="21"/>
                <w:highlight w:val="none"/>
              </w:rPr>
            </w:pPr>
            <w:r>
              <w:rPr>
                <w:rFonts w:hint="eastAsia" w:ascii="新宋体" w:hAnsi="新宋体" w:eastAsia="新宋体" w:cs="新宋体"/>
                <w:color w:val="auto"/>
                <w:sz w:val="21"/>
                <w:szCs w:val="21"/>
                <w:highlight w:val="none"/>
              </w:rPr>
              <w:t>1.2.2</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color w:val="000000"/>
                <w:sz w:val="21"/>
                <w:szCs w:val="21"/>
              </w:rPr>
            </w:pPr>
            <w:r>
              <w:rPr>
                <w:rFonts w:hint="eastAsia" w:ascii="新宋体" w:hAnsi="新宋体" w:eastAsia="新宋体" w:cs="新宋体"/>
                <w:color w:val="auto"/>
                <w:sz w:val="21"/>
                <w:szCs w:val="21"/>
                <w:highlight w:val="none"/>
              </w:rPr>
              <w:t>计算参数：H+，cHCO</w:t>
            </w:r>
            <w:r>
              <w:rPr>
                <w:rFonts w:hint="eastAsia" w:ascii="新宋体" w:hAnsi="新宋体" w:eastAsia="新宋体" w:cs="新宋体"/>
                <w:color w:val="auto"/>
                <w:sz w:val="21"/>
                <w:szCs w:val="21"/>
                <w:highlight w:val="none"/>
                <w:vertAlign w:val="subscript"/>
              </w:rPr>
              <w:t>3</w:t>
            </w:r>
            <w:r>
              <w:rPr>
                <w:rFonts w:hint="eastAsia" w:ascii="新宋体" w:hAnsi="新宋体" w:eastAsia="新宋体" w:cs="新宋体"/>
                <w:color w:val="auto"/>
                <w:sz w:val="21"/>
                <w:szCs w:val="21"/>
                <w:highlight w:val="none"/>
              </w:rPr>
              <w:t>-，ctCO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（P），FO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Hb，BE，BEecf，BB，SO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（1），P50，ctO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，ctCO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（B），pHst，cHCO</w:t>
            </w:r>
            <w:r>
              <w:rPr>
                <w:rFonts w:hint="eastAsia" w:ascii="新宋体" w:hAnsi="新宋体" w:eastAsia="新宋体" w:cs="新宋体"/>
                <w:color w:val="auto"/>
                <w:sz w:val="21"/>
                <w:szCs w:val="21"/>
                <w:highlight w:val="none"/>
                <w:vertAlign w:val="subscript"/>
              </w:rPr>
              <w:t>3</w:t>
            </w:r>
            <w:r>
              <w:rPr>
                <w:rFonts w:hint="eastAsia" w:ascii="新宋体" w:hAnsi="新宋体" w:eastAsia="新宋体" w:cs="新宋体"/>
                <w:color w:val="auto"/>
                <w:sz w:val="21"/>
                <w:szCs w:val="21"/>
                <w:highlight w:val="none"/>
              </w:rPr>
              <w:t>-st，PAO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，AaDO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，a/AO</w:t>
            </w:r>
            <w:r>
              <w:rPr>
                <w:rFonts w:hint="eastAsia" w:ascii="新宋体" w:hAnsi="新宋体" w:eastAsia="新宋体" w:cs="新宋体"/>
                <w:color w:val="auto"/>
                <w:sz w:val="21"/>
                <w:szCs w:val="21"/>
                <w:highlight w:val="none"/>
                <w:vertAlign w:val="subscript"/>
              </w:rPr>
              <w:t>2</w:t>
            </w:r>
            <w:r>
              <w:rPr>
                <w:rFonts w:hint="eastAsia" w:ascii="新宋体" w:hAnsi="新宋体" w:eastAsia="新宋体" w:cs="新宋体"/>
                <w:color w:val="auto"/>
                <w:sz w:val="21"/>
                <w:szCs w:val="21"/>
                <w:highlight w:val="none"/>
              </w:rPr>
              <w:t>，LacClear等</w:t>
            </w:r>
            <w:r>
              <w:rPr>
                <w:rFonts w:hint="eastAsia" w:ascii="新宋体" w:hAnsi="新宋体" w:eastAsia="新宋体" w:cs="新宋体"/>
                <w:color w:val="auto"/>
                <w:sz w:val="21"/>
                <w:szCs w:val="21"/>
                <w:highlight w:val="none"/>
                <w:lang w:val="en-US"/>
              </w:rPr>
              <w:t>≥</w:t>
            </w:r>
            <w:r>
              <w:rPr>
                <w:rFonts w:hint="eastAsia" w:ascii="新宋体" w:hAnsi="新宋体" w:eastAsia="新宋体" w:cs="新宋体"/>
                <w:color w:val="auto"/>
                <w:sz w:val="21"/>
                <w:szCs w:val="21"/>
                <w:highlight w:val="none"/>
              </w:rPr>
              <w:t>37项计算参数，临床可根据具体需求自行设定</w:t>
            </w:r>
          </w:p>
        </w:tc>
        <w:tc>
          <w:tcPr>
            <w:tcW w:w="676" w:type="pct"/>
            <w:noWrap w:val="0"/>
            <w:vAlign w:val="center"/>
          </w:tcPr>
          <w:p>
            <w:pPr>
              <w:widowControl/>
              <w:spacing w:line="360" w:lineRule="auto"/>
              <w:jc w:val="center"/>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hint="eastAsia" w:ascii="宋体" w:hAnsi="宋体" w:cs="宋体"/>
                <w:b/>
                <w:bCs/>
                <w:sz w:val="21"/>
                <w:szCs w:val="21"/>
                <w:highlight w:val="none"/>
              </w:rPr>
            </w:pPr>
            <w:r>
              <w:rPr>
                <w:rFonts w:hint="eastAsia" w:ascii="新宋体" w:hAnsi="新宋体" w:eastAsia="新宋体" w:cs="新宋体"/>
                <w:bCs/>
                <w:color w:val="auto"/>
                <w:sz w:val="21"/>
                <w:szCs w:val="21"/>
                <w:highlight w:val="none"/>
              </w:rPr>
              <w:t>1.2.3</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color w:val="000000"/>
                <w:sz w:val="21"/>
                <w:szCs w:val="21"/>
              </w:rPr>
            </w:pPr>
            <w:r>
              <w:rPr>
                <w:rFonts w:hint="eastAsia" w:ascii="新宋体" w:hAnsi="新宋体" w:eastAsia="新宋体" w:cs="新宋体"/>
                <w:color w:val="auto"/>
                <w:sz w:val="21"/>
                <w:szCs w:val="21"/>
                <w:highlight w:val="none"/>
              </w:rPr>
              <w:t>样本体积≤123μL，标本类型为全血、毛细血管血液，透析液</w:t>
            </w:r>
          </w:p>
        </w:tc>
        <w:tc>
          <w:tcPr>
            <w:tcW w:w="676" w:type="pct"/>
            <w:noWrap w:val="0"/>
            <w:vAlign w:val="center"/>
          </w:tcPr>
          <w:p>
            <w:pPr>
              <w:widowControl/>
              <w:spacing w:line="360" w:lineRule="auto"/>
              <w:jc w:val="center"/>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b/>
                <w:kern w:val="2"/>
                <w:sz w:val="21"/>
                <w:szCs w:val="21"/>
                <w:highlight w:val="none"/>
                <w:lang w:val="en-US" w:eastAsia="zh-CN" w:bidi="ar-SA"/>
              </w:rPr>
            </w:pPr>
            <w:r>
              <w:rPr>
                <w:rFonts w:hint="eastAsia" w:ascii="新宋体" w:hAnsi="新宋体" w:eastAsia="新宋体" w:cs="新宋体"/>
                <w:b/>
                <w:bCs/>
                <w:color w:val="auto"/>
                <w:sz w:val="21"/>
                <w:szCs w:val="21"/>
                <w:highlight w:val="none"/>
              </w:rPr>
              <w:t>★</w:t>
            </w:r>
            <w:r>
              <w:rPr>
                <w:rFonts w:hint="eastAsia" w:ascii="新宋体" w:hAnsi="新宋体" w:eastAsia="新宋体" w:cs="新宋体"/>
                <w:color w:val="auto"/>
                <w:sz w:val="21"/>
                <w:szCs w:val="21"/>
                <w:highlight w:val="none"/>
              </w:rPr>
              <w:t>1.2.4</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试剂包上机时间≥42天</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1.2.5</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封闭自动进样，进样方式：至少注射器、毛细管二种，切换方便</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
                <w:bCs/>
                <w:color w:val="auto"/>
                <w:sz w:val="21"/>
                <w:szCs w:val="21"/>
                <w:highlight w:val="none"/>
              </w:rPr>
              <w:t>★</w:t>
            </w:r>
            <w:r>
              <w:rPr>
                <w:rFonts w:hint="eastAsia" w:ascii="新宋体" w:hAnsi="新宋体" w:eastAsia="新宋体" w:cs="新宋体"/>
                <w:color w:val="auto"/>
                <w:sz w:val="21"/>
                <w:szCs w:val="21"/>
                <w:highlight w:val="none"/>
              </w:rPr>
              <w:t>1.2.6</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试剂包一体化设计（废液包集成试剂包内），无需冷藏，可常温保存，货架期≥8个月，试剂包和吸样针可同时更换</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1.2.7</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采用单独电极卡，采用卡包分离的模式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1.2.8</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定标要求：全液体定标，全自动1点定标和2点定标</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1.2.9</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电极特点：采用抛弃式电极</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0</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厂家原装独立质控品，质控品有效期可冷藏≥24个月，仪器含有L-J质控图，保证质控品批号稳定≥12月</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1</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操作界面：系统必须为中文操作系统并支持中文报告；具有彩色触摸屏；数据储存功能和质量控制系统</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
                <w:bCs/>
                <w:color w:val="auto"/>
                <w:sz w:val="21"/>
                <w:szCs w:val="21"/>
                <w:highlight w:val="none"/>
              </w:rPr>
              <w:t>★</w:t>
            </w: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2</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软件功能：仪器自带在线提供病人趋势图，便于临床监控病人周期性变化并提供相关资料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
                <w:bCs/>
                <w:color w:val="auto"/>
                <w:sz w:val="21"/>
                <w:szCs w:val="21"/>
                <w:highlight w:val="none"/>
              </w:rPr>
              <w:t>★</w:t>
            </w: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3</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仪器带自动酸碱平衡图，能区别13种类型的酸碱平衡图（含所有1重和2重的酸碱平衡紊乱，并提供酸碱平衡图的相关资料</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4</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仪器自带数据存储功能，病人数据和质控数据的存储不得少于20000例</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Cs w:val="21"/>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5</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拥有抗血凝技术，可防止堵包，并提供相关资料证明</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
                <w:bCs/>
                <w:color w:val="auto"/>
                <w:sz w:val="21"/>
                <w:szCs w:val="21"/>
                <w:highlight w:val="none"/>
              </w:rPr>
              <w:t>1.2.1</w:t>
            </w:r>
            <w:r>
              <w:rPr>
                <w:rFonts w:hint="eastAsia" w:ascii="新宋体" w:hAnsi="新宋体" w:eastAsia="新宋体" w:cs="新宋体"/>
                <w:color w:val="auto"/>
                <w:sz w:val="21"/>
                <w:szCs w:val="21"/>
                <w:highlight w:val="none"/>
                <w:lang w:val="en-US" w:eastAsia="zh-CN"/>
              </w:rPr>
              <w:t>6</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可自由选择、设定检测套餐，可一键选定所需要的套餐(单纯血气、血气+电解质、血气+电解质+生化等设置)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kinsoku/>
              <w:wordWrap/>
              <w:overflowPunct/>
              <w:topLinePunct w:val="0"/>
              <w:bidi w:val="0"/>
              <w:adjustRightInd/>
              <w:snapToGrid/>
              <w:spacing w:line="460" w:lineRule="exact"/>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color w:val="auto"/>
                <w:sz w:val="21"/>
                <w:szCs w:val="21"/>
                <w:highlight w:val="none"/>
              </w:rPr>
              <w:t>1.2.1</w:t>
            </w:r>
            <w:r>
              <w:rPr>
                <w:rFonts w:hint="eastAsia" w:ascii="新宋体" w:hAnsi="新宋体" w:eastAsia="新宋体" w:cs="新宋体"/>
                <w:color w:val="auto"/>
                <w:sz w:val="21"/>
                <w:szCs w:val="21"/>
                <w:highlight w:val="none"/>
                <w:lang w:val="en-US" w:eastAsia="zh-CN"/>
              </w:rPr>
              <w:t>7</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必须全中文友好操作界面及操作软件</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
                <w:color w:val="auto"/>
                <w:sz w:val="21"/>
                <w:szCs w:val="21"/>
                <w:highlight w:val="none"/>
              </w:rPr>
              <w:t>二</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b/>
                <w:color w:val="auto"/>
                <w:sz w:val="21"/>
                <w:szCs w:val="21"/>
                <w:highlight w:val="none"/>
              </w:rPr>
              <w:t>配置</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1</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rPr>
              <w:t>全</w:t>
            </w:r>
            <w:r>
              <w:rPr>
                <w:rFonts w:hint="eastAsia" w:ascii="新宋体" w:hAnsi="新宋体" w:eastAsia="新宋体" w:cs="新宋体"/>
                <w:color w:val="auto"/>
                <w:sz w:val="21"/>
                <w:szCs w:val="21"/>
                <w:highlight w:val="none"/>
                <w:lang w:val="en-US"/>
              </w:rPr>
              <w:t>自动血气分析仪器</w:t>
            </w:r>
            <w:r>
              <w:rPr>
                <w:rFonts w:hint="eastAsia" w:ascii="新宋体" w:hAnsi="新宋体" w:eastAsia="新宋体" w:cs="新宋体"/>
                <w:color w:val="auto"/>
                <w:sz w:val="21"/>
                <w:szCs w:val="21"/>
                <w:highlight w:val="none"/>
              </w:rPr>
              <w:t>主机1台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rFonts w:ascii="宋体" w:hAnsi="宋体" w:eastAsia="宋体" w:cs="宋体"/>
                <w:kern w:val="2"/>
                <w:sz w:val="21"/>
                <w:szCs w:val="21"/>
                <w:highlight w:val="none"/>
                <w:lang w:val="en-US" w:eastAsia="zh-CN" w:bidi="ar-SA"/>
              </w:rPr>
            </w:pP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2</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lang w:val="en-US"/>
              </w:rPr>
              <w:t>电源线</w:t>
            </w:r>
            <w:r>
              <w:rPr>
                <w:rFonts w:hint="eastAsia" w:ascii="新宋体" w:hAnsi="新宋体" w:eastAsia="新宋体" w:cs="新宋体"/>
                <w:color w:val="auto"/>
                <w:sz w:val="21"/>
                <w:szCs w:val="21"/>
                <w:highlight w:val="none"/>
              </w:rPr>
              <w:t>，数量：1</w:t>
            </w:r>
            <w:r>
              <w:rPr>
                <w:rFonts w:hint="eastAsia" w:ascii="新宋体" w:hAnsi="新宋体" w:eastAsia="新宋体" w:cs="新宋体"/>
                <w:color w:val="auto"/>
                <w:sz w:val="21"/>
                <w:szCs w:val="21"/>
                <w:highlight w:val="none"/>
                <w:lang w:val="en-US"/>
              </w:rPr>
              <w:t>条</w:t>
            </w:r>
            <w:r>
              <w:rPr>
                <w:rFonts w:hint="eastAsia" w:ascii="新宋体" w:hAnsi="新宋体" w:eastAsia="新宋体" w:cs="新宋体"/>
                <w:color w:val="auto"/>
                <w:sz w:val="21"/>
                <w:szCs w:val="21"/>
                <w:highlight w:val="none"/>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left"/>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bCs/>
                <w:color w:val="auto"/>
                <w:sz w:val="21"/>
                <w:szCs w:val="21"/>
                <w:highlight w:val="none"/>
                <w:lang w:val="en-US" w:eastAsia="zh-CN"/>
              </w:rPr>
              <w:t>2.</w:t>
            </w:r>
            <w:r>
              <w:rPr>
                <w:rFonts w:hint="eastAsia" w:ascii="新宋体" w:hAnsi="新宋体" w:eastAsia="新宋体" w:cs="新宋体"/>
                <w:bCs/>
                <w:color w:val="auto"/>
                <w:sz w:val="21"/>
                <w:szCs w:val="21"/>
                <w:highlight w:val="none"/>
              </w:rPr>
              <w:t>3</w:t>
            </w:r>
          </w:p>
        </w:tc>
        <w:tc>
          <w:tcPr>
            <w:tcW w:w="3620" w:type="pct"/>
            <w:noWrap w:val="0"/>
            <w:vAlign w:val="center"/>
          </w:tcPr>
          <w:p>
            <w:pPr>
              <w:keepNext w:val="0"/>
              <w:keepLines w:val="0"/>
              <w:pageBreakBefore w:val="0"/>
              <w:kinsoku/>
              <w:wordWrap/>
              <w:overflowPunct/>
              <w:topLinePunct w:val="0"/>
              <w:bidi w:val="0"/>
              <w:adjustRightInd/>
              <w:snapToGrid/>
              <w:spacing w:line="460" w:lineRule="exact"/>
              <w:textAlignment w:val="auto"/>
              <w:rPr>
                <w:rFonts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1"/>
                <w:szCs w:val="21"/>
                <w:highlight w:val="none"/>
                <w:lang w:val="en-US"/>
              </w:rPr>
              <w:t>说明书</w:t>
            </w:r>
            <w:r>
              <w:rPr>
                <w:rFonts w:hint="eastAsia" w:ascii="新宋体" w:hAnsi="新宋体" w:eastAsia="新宋体" w:cs="新宋体"/>
                <w:color w:val="auto"/>
                <w:sz w:val="21"/>
                <w:szCs w:val="21"/>
                <w:highlight w:val="none"/>
              </w:rPr>
              <w:t>，数量：1</w:t>
            </w:r>
            <w:r>
              <w:rPr>
                <w:rFonts w:hint="eastAsia" w:ascii="新宋体" w:hAnsi="新宋体" w:eastAsia="新宋体" w:cs="新宋体"/>
                <w:color w:val="auto"/>
                <w:sz w:val="21"/>
                <w:szCs w:val="21"/>
                <w:highlight w:val="none"/>
                <w:lang w:val="en-US"/>
              </w:rPr>
              <w:t>本</w:t>
            </w:r>
            <w:r>
              <w:rPr>
                <w:rFonts w:hint="eastAsia" w:ascii="新宋体" w:hAnsi="新宋体" w:eastAsia="新宋体" w:cs="新宋体"/>
                <w:color w:val="auto"/>
                <w:sz w:val="21"/>
                <w:szCs w:val="21"/>
                <w:highlight w:val="none"/>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三</w:t>
            </w:r>
          </w:p>
        </w:tc>
        <w:tc>
          <w:tcPr>
            <w:tcW w:w="3620" w:type="pct"/>
            <w:noWrap w:val="0"/>
            <w:vAlign w:val="center"/>
          </w:tcPr>
          <w:p>
            <w:pPr>
              <w:pStyle w:val="23"/>
              <w:ind w:left="0" w:leftChars="0"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投标产品验收合格后保修≥</w:t>
            </w:r>
            <w:r>
              <w:rPr>
                <w:rFonts w:hint="eastAsia" w:ascii="宋体" w:hAnsi="宋体"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2</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left"/>
              <w:rPr>
                <w:rFonts w:hint="eastAsia" w:ascii="宋体" w:hAnsi="宋体" w:eastAsia="宋体" w:cs="宋体"/>
                <w:kern w:val="2"/>
                <w:sz w:val="24"/>
                <w:szCs w:val="24"/>
                <w:lang w:val="en-US" w:eastAsia="zh-CN" w:bidi="ar-SA"/>
              </w:rPr>
            </w:pP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left="0" w:leftChars="0"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left="0" w:leftChars="0"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11.1</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验收依据：按投标文件、</w:t>
            </w:r>
            <w:r>
              <w:rPr>
                <w:rFonts w:hint="eastAsia" w:cs="Times New Roman"/>
                <w:b w:val="0"/>
                <w:bCs/>
                <w:szCs w:val="21"/>
                <w:highlight w:val="none"/>
                <w:lang w:eastAsia="zh-CN"/>
              </w:rPr>
              <w:t>遴选</w:t>
            </w:r>
            <w:r>
              <w:rPr>
                <w:rFonts w:hint="eastAsia" w:ascii="宋体" w:hAnsi="宋体" w:eastAsia="宋体" w:cs="Times New Roman"/>
                <w:b w:val="0"/>
                <w:bCs/>
                <w:szCs w:val="21"/>
                <w:highlight w:val="none"/>
              </w:rPr>
              <w:t>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left="0" w:leftChars="0"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left="0" w:leftChars="0"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left="0" w:leftChars="0"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left="0" w:leftChars="0"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文件第四部分的货物技术规格及配置、商务要求对比，一项指标负偏离扣1</w:t>
            </w:r>
            <w:r>
              <w:rPr>
                <w:rFonts w:hint="eastAsia" w:ascii="新宋体" w:hAnsi="新宋体" w:eastAsia="新宋体" w:cs="新宋体"/>
                <w:color w:val="auto"/>
                <w:sz w:val="21"/>
                <w:szCs w:val="21"/>
                <w:highlight w:val="none"/>
                <w:lang w:val="en-US" w:eastAsia="zh-CN"/>
              </w:rPr>
              <w:t>.5</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偏离每项扣4分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21</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7761DC"/>
    <w:rsid w:val="037819C8"/>
    <w:rsid w:val="04165086"/>
    <w:rsid w:val="07827398"/>
    <w:rsid w:val="079468F0"/>
    <w:rsid w:val="088815A9"/>
    <w:rsid w:val="0A277157"/>
    <w:rsid w:val="0A323667"/>
    <w:rsid w:val="0A964758"/>
    <w:rsid w:val="0B691EBF"/>
    <w:rsid w:val="0BDB7828"/>
    <w:rsid w:val="0D3C3F90"/>
    <w:rsid w:val="0D6B27A0"/>
    <w:rsid w:val="0D737863"/>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2723315"/>
    <w:rsid w:val="22CF7097"/>
    <w:rsid w:val="22E944F8"/>
    <w:rsid w:val="232E51F6"/>
    <w:rsid w:val="23705E06"/>
    <w:rsid w:val="23884864"/>
    <w:rsid w:val="24170AD0"/>
    <w:rsid w:val="24C52651"/>
    <w:rsid w:val="27E45486"/>
    <w:rsid w:val="28DD687E"/>
    <w:rsid w:val="2B057E38"/>
    <w:rsid w:val="2BA52826"/>
    <w:rsid w:val="2D7F5632"/>
    <w:rsid w:val="2E46068D"/>
    <w:rsid w:val="2EB05F76"/>
    <w:rsid w:val="2F3C6CF1"/>
    <w:rsid w:val="2FBD42B3"/>
    <w:rsid w:val="30D412A1"/>
    <w:rsid w:val="30E84F1F"/>
    <w:rsid w:val="316641F0"/>
    <w:rsid w:val="31BF6098"/>
    <w:rsid w:val="31F8416E"/>
    <w:rsid w:val="320E68FB"/>
    <w:rsid w:val="32CE7A3F"/>
    <w:rsid w:val="33951D5C"/>
    <w:rsid w:val="34117E05"/>
    <w:rsid w:val="351B0D6F"/>
    <w:rsid w:val="351B624E"/>
    <w:rsid w:val="35633FD8"/>
    <w:rsid w:val="36AA02C8"/>
    <w:rsid w:val="37C66C9B"/>
    <w:rsid w:val="37D14649"/>
    <w:rsid w:val="3877509F"/>
    <w:rsid w:val="397306B8"/>
    <w:rsid w:val="39BD6D12"/>
    <w:rsid w:val="3BB420F5"/>
    <w:rsid w:val="3DB75172"/>
    <w:rsid w:val="3E9950E6"/>
    <w:rsid w:val="3F1B3C4A"/>
    <w:rsid w:val="402E62DF"/>
    <w:rsid w:val="402F4957"/>
    <w:rsid w:val="405108FA"/>
    <w:rsid w:val="40751336"/>
    <w:rsid w:val="4136403A"/>
    <w:rsid w:val="41EF774F"/>
    <w:rsid w:val="42660058"/>
    <w:rsid w:val="43824C1A"/>
    <w:rsid w:val="43A157C9"/>
    <w:rsid w:val="447334B4"/>
    <w:rsid w:val="449C5243"/>
    <w:rsid w:val="449E2D2B"/>
    <w:rsid w:val="458A740C"/>
    <w:rsid w:val="46094A05"/>
    <w:rsid w:val="460A3EB2"/>
    <w:rsid w:val="47537CEB"/>
    <w:rsid w:val="477517FF"/>
    <w:rsid w:val="479F5F87"/>
    <w:rsid w:val="497E50E4"/>
    <w:rsid w:val="49942410"/>
    <w:rsid w:val="49CC2349"/>
    <w:rsid w:val="4A254910"/>
    <w:rsid w:val="4AA864D5"/>
    <w:rsid w:val="4B623E4F"/>
    <w:rsid w:val="4B956476"/>
    <w:rsid w:val="4CBE1552"/>
    <w:rsid w:val="4D3D3121"/>
    <w:rsid w:val="4D5D2365"/>
    <w:rsid w:val="4DCB17F7"/>
    <w:rsid w:val="4ED83989"/>
    <w:rsid w:val="5105209D"/>
    <w:rsid w:val="5273518F"/>
    <w:rsid w:val="529E0326"/>
    <w:rsid w:val="53423D16"/>
    <w:rsid w:val="534B0A6F"/>
    <w:rsid w:val="539D45B7"/>
    <w:rsid w:val="53CA557A"/>
    <w:rsid w:val="545A32FC"/>
    <w:rsid w:val="547D6E0D"/>
    <w:rsid w:val="55382DBA"/>
    <w:rsid w:val="55596194"/>
    <w:rsid w:val="55950B3F"/>
    <w:rsid w:val="56A54B82"/>
    <w:rsid w:val="584110E8"/>
    <w:rsid w:val="587C329C"/>
    <w:rsid w:val="59106049"/>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94279A9"/>
    <w:rsid w:val="698F00A6"/>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72F4719"/>
    <w:rsid w:val="773504DF"/>
    <w:rsid w:val="77FD6A1D"/>
    <w:rsid w:val="78667688"/>
    <w:rsid w:val="79492020"/>
    <w:rsid w:val="79B62264"/>
    <w:rsid w:val="7A192AA7"/>
    <w:rsid w:val="7B395E66"/>
    <w:rsid w:val="7C0B3B0A"/>
    <w:rsid w:val="7C4831AB"/>
    <w:rsid w:val="7CA6287C"/>
    <w:rsid w:val="7E3135CA"/>
    <w:rsid w:val="7E4702F4"/>
    <w:rsid w:val="7E677C6B"/>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autoRedefine/>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1358</Words>
  <Characters>1423</Characters>
  <Lines>6</Lines>
  <Paragraphs>1</Paragraphs>
  <TotalTime>1</TotalTime>
  <ScaleCrop>false</ScaleCrop>
  <LinksUpToDate>false</LinksUpToDate>
  <CharactersWithSpaces>1428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2025-11-13T00:55:35Z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D1731A9165DC4B7B9250F7F64F0B997B_13</vt:lpwstr>
  </property>
  <property fmtid="{D5CDD505-2E9C-101B-9397-08002B2CF9AE}" pid="5" name="KSOTemplateDocerSaveRecord">
    <vt:lpwstr>eyJoZGlkIjoiNmMyMTAzZGJhYmZjM2QxZDk4OTE3MDVkMTNlYTIzODgiLCJ1c2VySWQiOiIyNjc5NjA4NjEifQ==</vt:lpwstr>
  </property>
</Properties>
</file>