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rPr>
          <w:rFonts w:hint="eastAsia" w:ascii="宋体" w:hAnsi="宋体" w:cs="宋体"/>
          <w:b/>
          <w:bCs/>
          <w:color w:val="000000"/>
          <w:sz w:val="36"/>
          <w:szCs w:val="36"/>
        </w:rPr>
      </w:pPr>
      <w:bookmarkStart w:id="0" w:name="_Toc451522337"/>
      <w:r>
        <w:rPr>
          <w:rFonts w:hint="eastAsia" w:ascii="宋体" w:hAnsi="宋体" w:cs="宋体"/>
          <w:b/>
          <w:bCs/>
          <w:color w:val="000000"/>
          <w:sz w:val="32"/>
          <w:szCs w:val="32"/>
        </w:rPr>
        <w:t>温州市中医院</w:t>
      </w:r>
      <w:r>
        <w:rPr>
          <w:rFonts w:hint="eastAsia"/>
          <w:b/>
          <w:bCs/>
          <w:sz w:val="32"/>
          <w:szCs w:val="32"/>
        </w:rPr>
        <w:t>院感系统云HIS接口改造服务</w:t>
      </w:r>
      <w:r>
        <w:rPr>
          <w:rFonts w:hint="eastAsia" w:ascii="宋体" w:hAnsi="宋体" w:cs="宋体"/>
          <w:b/>
          <w:bCs/>
          <w:sz w:val="32"/>
          <w:szCs w:val="32"/>
        </w:rPr>
        <w:t>项目</w:t>
      </w:r>
      <w:r>
        <w:rPr>
          <w:rFonts w:hint="eastAsia" w:ascii="宋体" w:hAnsi="宋体" w:cs="宋体"/>
          <w:b/>
          <w:bCs/>
          <w:color w:val="000000"/>
          <w:sz w:val="32"/>
          <w:szCs w:val="32"/>
        </w:rPr>
        <w:t>采购</w:t>
      </w:r>
      <w:bookmarkEnd w:id="0"/>
      <w:r>
        <w:rPr>
          <w:rFonts w:hint="eastAsia" w:ascii="宋体" w:hAnsi="宋体" w:cs="宋体"/>
          <w:b/>
          <w:bCs/>
          <w:color w:val="000000"/>
          <w:sz w:val="32"/>
          <w:szCs w:val="32"/>
        </w:rPr>
        <w:t>文件</w:t>
      </w:r>
    </w:p>
    <w:p>
      <w:pPr>
        <w:spacing w:line="360" w:lineRule="auto"/>
        <w:rPr>
          <w:b/>
          <w:bCs/>
          <w:sz w:val="28"/>
          <w:szCs w:val="28"/>
        </w:rPr>
      </w:pPr>
      <w:r>
        <w:rPr>
          <w:rFonts w:hint="eastAsia"/>
          <w:b/>
          <w:bCs/>
          <w:sz w:val="28"/>
          <w:szCs w:val="28"/>
        </w:rPr>
        <w:t>一、项目概况</w:t>
      </w:r>
    </w:p>
    <w:p>
      <w:pPr>
        <w:ind w:firstLine="480" w:firstLineChars="200"/>
        <w:rPr>
          <w:rFonts w:hint="eastAsia" w:ascii="宋体" w:hAnsi="宋体" w:cs="宋体"/>
          <w:sz w:val="24"/>
          <w:lang w:eastAsia="zh-Hans"/>
        </w:rPr>
      </w:pPr>
      <w:r>
        <w:rPr>
          <w:rFonts w:hint="eastAsia"/>
          <w:sz w:val="24"/>
        </w:rPr>
        <w:t>项目名称：</w:t>
      </w:r>
      <w:bookmarkStart w:id="4" w:name="_GoBack"/>
      <w:bookmarkStart w:id="1" w:name="OLE_LINK1"/>
      <w:r>
        <w:rPr>
          <w:rFonts w:hint="eastAsia" w:ascii="宋体" w:hAnsi="宋体" w:cs="宋体"/>
          <w:sz w:val="24"/>
          <w:lang w:eastAsia="zh-Hans"/>
        </w:rPr>
        <w:t>院感系统云HIS接口改造</w:t>
      </w:r>
      <w:bookmarkEnd w:id="4"/>
      <w:bookmarkEnd w:id="1"/>
    </w:p>
    <w:p>
      <w:pPr>
        <w:spacing w:line="360" w:lineRule="auto"/>
        <w:ind w:firstLine="480" w:firstLineChars="200"/>
        <w:rPr>
          <w:sz w:val="24"/>
        </w:rPr>
      </w:pPr>
      <w:r>
        <w:rPr>
          <w:rFonts w:hint="eastAsia"/>
          <w:sz w:val="24"/>
        </w:rPr>
        <w:t>采购方式：公开遴选（非政府采购）</w:t>
      </w:r>
    </w:p>
    <w:p>
      <w:pPr>
        <w:spacing w:line="360" w:lineRule="auto"/>
        <w:ind w:firstLine="480" w:firstLineChars="200"/>
        <w:rPr>
          <w:sz w:val="24"/>
        </w:rPr>
      </w:pPr>
      <w:r>
        <w:rPr>
          <w:rFonts w:hint="eastAsia"/>
          <w:sz w:val="24"/>
        </w:rPr>
        <w:t>预算金额：</w:t>
      </w:r>
      <w:r>
        <w:rPr>
          <w:rFonts w:hint="eastAsia"/>
          <w:sz w:val="24"/>
          <w:lang w:val="en-US" w:eastAsia="zh-CN"/>
        </w:rPr>
        <w:t>4</w:t>
      </w:r>
      <w:r>
        <w:rPr>
          <w:rFonts w:hint="eastAsia"/>
          <w:sz w:val="24"/>
        </w:rPr>
        <w:t>0000元</w:t>
      </w:r>
    </w:p>
    <w:p>
      <w:pPr>
        <w:spacing w:line="360" w:lineRule="auto"/>
        <w:rPr>
          <w:b/>
          <w:bCs/>
          <w:sz w:val="28"/>
          <w:szCs w:val="28"/>
        </w:rPr>
      </w:pPr>
      <w:r>
        <w:rPr>
          <w:rFonts w:hint="eastAsia"/>
          <w:b/>
          <w:bCs/>
          <w:sz w:val="28"/>
          <w:szCs w:val="28"/>
        </w:rPr>
        <w:t>二、项目建设背景</w:t>
      </w:r>
    </w:p>
    <w:p>
      <w:pPr>
        <w:spacing w:line="360" w:lineRule="auto"/>
        <w:ind w:firstLine="480" w:firstLineChars="200"/>
        <w:rPr>
          <w:rFonts w:hint="eastAsia" w:ascii="宋体" w:hAnsi="宋体" w:cs="宋体"/>
          <w:sz w:val="24"/>
        </w:rPr>
      </w:pPr>
      <w:r>
        <w:rPr>
          <w:rFonts w:hint="eastAsia" w:ascii="宋体" w:hAnsi="宋体" w:cs="宋体"/>
          <w:sz w:val="24"/>
        </w:rPr>
        <w:t>在浙江省全面推动卫生健康领域高质量发展的背景下，温州市市级公立医院云HIS服务联合采购项目通过“一体化、智能化”设计原则，旨在构建一个面向全市医院的全新医疗服务体系，实现医疗与运营信息管理的一体化，进而提高医疗服务连续性，创新探索未来医院的发展道路。为贯彻落实温州市云HIS服务的落地部署，积极响应浙江省未来医院白皮书的指导方针以及健康大脑及未来医院建设，医院感染实时监控系统作为院内感染科室必要管理工具，通过收集感染数据、动态监控（感染、高温患者、抗生素使用情况）等信息、统计数据，为全院级感染防控提供精准的数据支撑与决策支持，定时上报感染信息染政府部门，是本次建设里面不可或缺的一部分。</w:t>
      </w:r>
    </w:p>
    <w:p>
      <w:pPr>
        <w:spacing w:line="360" w:lineRule="auto"/>
        <w:ind w:firstLine="562" w:firstLineChars="200"/>
        <w:rPr>
          <w:b/>
          <w:bCs/>
          <w:sz w:val="28"/>
          <w:szCs w:val="28"/>
        </w:rPr>
      </w:pPr>
      <w:r>
        <w:rPr>
          <w:rFonts w:hint="eastAsia"/>
          <w:b/>
          <w:bCs/>
          <w:sz w:val="28"/>
          <w:szCs w:val="28"/>
        </w:rPr>
        <w:t>三、招标技术要求</w:t>
      </w:r>
    </w:p>
    <w:p>
      <w:pPr>
        <w:numPr>
          <w:ilvl w:val="0"/>
          <w:numId w:val="1"/>
        </w:numPr>
        <w:spacing w:line="360" w:lineRule="auto"/>
        <w:ind w:firstLine="562" w:firstLineChars="200"/>
        <w:rPr>
          <w:b/>
          <w:bCs/>
          <w:sz w:val="28"/>
          <w:szCs w:val="28"/>
        </w:rPr>
      </w:pPr>
      <w:r>
        <w:rPr>
          <w:rFonts w:hint="eastAsia"/>
          <w:b/>
          <w:bCs/>
          <w:sz w:val="28"/>
          <w:szCs w:val="28"/>
        </w:rPr>
        <w:t>需求背景</w:t>
      </w:r>
    </w:p>
    <w:p>
      <w:pPr>
        <w:spacing w:line="360" w:lineRule="auto"/>
        <w:ind w:firstLine="480" w:firstLineChars="200"/>
        <w:rPr>
          <w:rFonts w:hint="eastAsia" w:ascii="宋体" w:hAnsi="宋体" w:cs="宋体"/>
          <w:sz w:val="24"/>
        </w:rPr>
      </w:pPr>
      <w:r>
        <w:rPr>
          <w:rFonts w:hint="eastAsia" w:ascii="宋体" w:hAnsi="宋体" w:cs="宋体"/>
          <w:sz w:val="24"/>
        </w:rPr>
        <w:t>为构造城市级医联体信息平台、城市级智慧临床服务体系，联通温州市健康医联体平台、健康城市门户，实现医疗服务资源及生态资源联通聚合，深化在医院、医生、患者与政府管理场景中的数字化应用，打造医疗服务业务一体化开展新模式，医院原有HIS系统数据转换纳入云HIS服务的工作在有序进行，医院感染实时监控系统作为院内较为关键的辅助管理系统，需得重新对接云HIS以实现数据抓取和分析，完成预警推送与提醒。</w:t>
      </w:r>
    </w:p>
    <w:p>
      <w:pPr>
        <w:numPr>
          <w:ilvl w:val="0"/>
          <w:numId w:val="1"/>
        </w:numPr>
        <w:spacing w:line="360" w:lineRule="auto"/>
        <w:ind w:firstLine="562" w:firstLineChars="200"/>
        <w:rPr>
          <w:b/>
          <w:bCs/>
          <w:sz w:val="28"/>
          <w:szCs w:val="28"/>
        </w:rPr>
      </w:pPr>
      <w:r>
        <w:rPr>
          <w:rFonts w:hint="eastAsia"/>
          <w:b/>
          <w:bCs/>
          <w:sz w:val="28"/>
          <w:szCs w:val="28"/>
        </w:rPr>
        <w:t>各功能的服务清单与标准</w:t>
      </w:r>
    </w:p>
    <w:tbl>
      <w:tblPr>
        <w:tblStyle w:val="10"/>
        <w:tblpPr w:leftFromText="180" w:rightFromText="180" w:vertAnchor="text" w:horzAnchor="margin" w:tblpXSpec="center" w:tblpY="205"/>
        <w:tblW w:w="94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9"/>
        <w:gridCol w:w="4229"/>
        <w:gridCol w:w="43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0" w:hRule="atLeast"/>
          <w:tblHeader/>
          <w:jc w:val="center"/>
        </w:trPr>
        <w:tc>
          <w:tcPr>
            <w:tcW w:w="839" w:type="dxa"/>
            <w:tcBorders>
              <w:bottom w:val="single" w:color="000000" w:sz="12" w:space="0"/>
            </w:tcBorders>
            <w:vAlign w:val="center"/>
          </w:tcPr>
          <w:p>
            <w:pPr>
              <w:jc w:val="center"/>
              <w:rPr>
                <w:rFonts w:hint="eastAsia" w:ascii="宋体" w:hAnsi="宋体" w:eastAsia="宋体" w:cs="宋体"/>
                <w:b/>
                <w:bCs/>
              </w:rPr>
            </w:pPr>
            <w:r>
              <w:rPr>
                <w:rFonts w:hint="eastAsia" w:ascii="宋体" w:hAnsi="宋体" w:eastAsia="宋体" w:cs="宋体"/>
                <w:b/>
                <w:bCs/>
              </w:rPr>
              <w:t>编号</w:t>
            </w:r>
          </w:p>
        </w:tc>
        <w:tc>
          <w:tcPr>
            <w:tcW w:w="4229" w:type="dxa"/>
            <w:tcBorders>
              <w:bottom w:val="single" w:color="000000" w:sz="12" w:space="0"/>
            </w:tcBorders>
            <w:vAlign w:val="center"/>
          </w:tcPr>
          <w:p>
            <w:pPr>
              <w:jc w:val="center"/>
              <w:rPr>
                <w:rFonts w:hint="eastAsia" w:ascii="宋体" w:hAnsi="宋体" w:eastAsia="宋体" w:cs="宋体"/>
                <w:b/>
                <w:bCs/>
              </w:rPr>
            </w:pPr>
            <w:r>
              <w:rPr>
                <w:rFonts w:hint="eastAsia" w:ascii="宋体" w:hAnsi="宋体" w:eastAsia="宋体" w:cs="宋体"/>
                <w:b/>
                <w:bCs/>
              </w:rPr>
              <w:t>名称</w:t>
            </w:r>
          </w:p>
        </w:tc>
        <w:tc>
          <w:tcPr>
            <w:tcW w:w="4351" w:type="dxa"/>
            <w:tcBorders>
              <w:bottom w:val="single" w:color="000000" w:sz="12" w:space="0"/>
            </w:tcBorders>
            <w:vAlign w:val="center"/>
          </w:tcPr>
          <w:p>
            <w:pPr>
              <w:jc w:val="center"/>
              <w:rPr>
                <w:rFonts w:hint="eastAsia" w:ascii="宋体" w:hAnsi="宋体" w:eastAsia="宋体" w:cs="宋体"/>
                <w:b/>
                <w:bCs/>
              </w:rPr>
            </w:pPr>
            <w:r>
              <w:rPr>
                <w:rFonts w:hint="eastAsia" w:ascii="宋体" w:hAnsi="宋体" w:eastAsia="宋体" w:cs="宋体"/>
                <w:b/>
                <w:bCs/>
              </w:rPr>
              <w:t>用途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2" w:hRule="atLeast"/>
          <w:tblHeader/>
          <w:jc w:val="center"/>
        </w:trPr>
        <w:tc>
          <w:tcPr>
            <w:tcW w:w="839" w:type="dxa"/>
            <w:tcBorders>
              <w:bottom w:val="single" w:color="000000" w:sz="12" w:space="0"/>
            </w:tcBorders>
            <w:vAlign w:val="center"/>
          </w:tcPr>
          <w:p>
            <w:pPr>
              <w:jc w:val="center"/>
              <w:rPr>
                <w:rFonts w:hint="eastAsia" w:ascii="宋体" w:hAnsi="宋体" w:eastAsia="宋体" w:cs="宋体"/>
              </w:rPr>
            </w:pPr>
            <w:r>
              <w:rPr>
                <w:rFonts w:hint="eastAsia" w:ascii="宋体" w:hAnsi="宋体" w:eastAsia="宋体" w:cs="宋体"/>
                <w:b/>
                <w:bCs/>
              </w:rPr>
              <w:t>01</w:t>
            </w:r>
          </w:p>
        </w:tc>
        <w:tc>
          <w:tcPr>
            <w:tcW w:w="4229" w:type="dxa"/>
            <w:tcBorders>
              <w:bottom w:val="single" w:color="000000" w:sz="12" w:space="0"/>
            </w:tcBorders>
            <w:vAlign w:val="center"/>
          </w:tcPr>
          <w:p>
            <w:pPr>
              <w:jc w:val="center"/>
              <w:rPr>
                <w:rFonts w:hint="eastAsia" w:ascii="宋体" w:hAnsi="宋体" w:eastAsia="宋体" w:cs="宋体"/>
              </w:rPr>
            </w:pPr>
            <w:r>
              <w:rPr>
                <w:rFonts w:hint="eastAsia" w:ascii="宋体" w:hAnsi="宋体" w:eastAsia="宋体" w:cs="宋体"/>
              </w:rPr>
              <w:t>获取所有在院患者ID列表</w:t>
            </w:r>
          </w:p>
        </w:tc>
        <w:tc>
          <w:tcPr>
            <w:tcW w:w="4351" w:type="dxa"/>
            <w:vMerge w:val="restart"/>
            <w:vAlign w:val="center"/>
          </w:tcPr>
          <w:p>
            <w:pPr>
              <w:jc w:val="center"/>
              <w:rPr>
                <w:rFonts w:hint="eastAsia" w:ascii="宋体" w:hAnsi="宋体" w:eastAsia="宋体" w:cs="宋体"/>
              </w:rPr>
            </w:pPr>
            <w:r>
              <w:rPr>
                <w:rFonts w:hint="eastAsia" w:ascii="宋体" w:hAnsi="宋体" w:eastAsia="宋体" w:cs="宋体"/>
              </w:rPr>
              <w:t>院感系统通过抓取该接口数据，掌握到医院实时住院患者人数，以保证后续院感相关指标计算。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02</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获取指定时间段内出院患者ID列表</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03</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获取指定ID列表患者基本信息</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04</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获取指定ID列表患者转科记录</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05</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获取指定ID列表患者诊断记录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院感系统通过抓取该接口数据，掌握到住院患者相关病程诊断信息。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3"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06</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获取指定ID列表患者发热体温记录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院感系统通过抓取该接口数据，用于判定该患者是否产生炎症，作为是否产生感染反应的重要参照。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07</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获取指定ID列表患者新生儿患者出生体重记录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院感系统通过抓取新生儿体重数据，进行新生儿梯度划分。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08</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获取指定ID列表患者常规检验记录</w:t>
            </w:r>
          </w:p>
        </w:tc>
        <w:tc>
          <w:tcPr>
            <w:tcW w:w="4351" w:type="dxa"/>
            <w:vMerge w:val="restart"/>
            <w:vAlign w:val="center"/>
          </w:tcPr>
          <w:p>
            <w:pPr>
              <w:spacing w:line="360" w:lineRule="atLeast"/>
              <w:jc w:val="center"/>
              <w:rPr>
                <w:rFonts w:hint="eastAsia" w:ascii="宋体" w:hAnsi="宋体" w:eastAsia="宋体" w:cs="宋体"/>
                <w:bCs/>
              </w:rPr>
            </w:pPr>
            <w:r>
              <w:rPr>
                <w:rFonts w:hint="eastAsia" w:ascii="宋体" w:hAnsi="宋体" w:eastAsia="宋体" w:cs="宋体"/>
              </w:rPr>
              <w:t>院感系统通过抓取该接口数据，</w:t>
            </w:r>
            <w:r>
              <w:rPr>
                <w:rFonts w:hint="eastAsia" w:ascii="宋体" w:hAnsi="宋体" w:eastAsia="宋体" w:cs="宋体"/>
                <w:bCs/>
              </w:rPr>
              <w:t>用于查找患者常规检验与病毒检验项目以及对应检验结果。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9"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09</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获取指定ID列表患者细菌检验记录</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10</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获取指定ID列表患者细菌药敏记录</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11</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获取指定ID列表患者抗菌药物医嘱记录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院感系统通过抓取该接口数据，判断患者抗菌药物使用的节点及是否提前送检等。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12</w:t>
            </w:r>
          </w:p>
        </w:tc>
        <w:tc>
          <w:tcPr>
            <w:tcW w:w="4229"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获取指定ID列表患者治疗方式医嘱记录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院感系统通过抓取该接口数据，分析与查看临床医生对于患者的治疗方式。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13</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获取指定ID列表患者胸片检查记录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院感系统通过抓取该接口数据，查看患者是否体内是否有感染造成的病灶等。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14</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获取指定ID列表患者病程记录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院感系统通过抓取该接口数据，查看电子病历病程记录详细描述。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6"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15</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获取指定ID列表患者病案首页手术记录</w:t>
            </w:r>
          </w:p>
        </w:tc>
        <w:tc>
          <w:tcPr>
            <w:tcW w:w="4351" w:type="dxa"/>
            <w:vMerge w:val="restart"/>
            <w:vAlign w:val="center"/>
          </w:tcPr>
          <w:p>
            <w:pPr>
              <w:spacing w:line="360" w:lineRule="atLeast"/>
              <w:jc w:val="center"/>
              <w:rPr>
                <w:rFonts w:hint="eastAsia" w:ascii="宋体" w:hAnsi="宋体" w:eastAsia="宋体" w:cs="宋体"/>
              </w:rPr>
            </w:pPr>
            <w:r>
              <w:rPr>
                <w:rFonts w:hint="eastAsia" w:ascii="宋体" w:hAnsi="宋体" w:eastAsia="宋体" w:cs="宋体"/>
                <w:bCs/>
              </w:rPr>
              <w:t>院感系统通过抓取该接口数据，</w:t>
            </w:r>
            <w:r>
              <w:rPr>
                <w:rFonts w:hint="eastAsia" w:ascii="宋体" w:hAnsi="宋体" w:eastAsia="宋体" w:cs="宋体"/>
              </w:rPr>
              <w:t>查看关于手术切口等级、切口愈合等级等信息，判断感染风险。</w:t>
            </w:r>
          </w:p>
          <w:p>
            <w:pPr>
              <w:spacing w:line="360" w:lineRule="atLeast"/>
              <w:jc w:val="center"/>
              <w:rPr>
                <w:rFonts w:hint="eastAsia" w:ascii="宋体" w:hAnsi="宋体" w:eastAsia="宋体" w:cs="宋体"/>
              </w:rPr>
            </w:pPr>
          </w:p>
          <w:p>
            <w:pPr>
              <w:spacing w:line="360" w:lineRule="atLeast"/>
              <w:jc w:val="center"/>
              <w:rPr>
                <w:rFonts w:hint="eastAsia" w:ascii="宋体" w:hAnsi="宋体" w:eastAsia="宋体" w:cs="宋体"/>
              </w:rPr>
            </w:pPr>
            <w:r>
              <w:rPr>
                <w:rFonts w:hint="eastAsia" w:ascii="宋体" w:hAnsi="宋体" w:eastAsia="宋体" w:cs="宋体"/>
                <w:bCs/>
              </w:rPr>
              <w:t>院感系统通过抓取该接口数据，</w:t>
            </w:r>
            <w:r>
              <w:rPr>
                <w:rFonts w:hint="eastAsia" w:ascii="宋体" w:hAnsi="宋体" w:eastAsia="宋体" w:cs="宋体"/>
              </w:rPr>
              <w:t>查看关于是否实施麻醉、预防用药等情况，判断感染风险。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16</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获取指定ID列表患者手术记录（无手麻方案）</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17</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获取指定ID列表患者手麻手术记录</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18</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获取指定ID列表患者手麻手术事件记录</w:t>
            </w:r>
          </w:p>
        </w:tc>
        <w:tc>
          <w:tcPr>
            <w:tcW w:w="4351" w:type="dxa"/>
            <w:vMerge w:val="continue"/>
            <w:vAlign w:val="center"/>
          </w:tcPr>
          <w:p>
            <w:pPr>
              <w:spacing w:line="360" w:lineRule="atLeast"/>
              <w:jc w:val="center"/>
              <w:rPr>
                <w:rFonts w:hint="eastAsia" w:ascii="宋体" w:hAnsi="宋体" w:eastAsia="宋体" w:cs="宋体"/>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19</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rPr>
              <w:t>获取医院科室字典记录</w:t>
            </w:r>
          </w:p>
        </w:tc>
        <w:tc>
          <w:tcPr>
            <w:tcW w:w="4351" w:type="dxa"/>
            <w:vAlign w:val="center"/>
          </w:tcPr>
          <w:p>
            <w:pPr>
              <w:spacing w:line="360" w:lineRule="atLeast"/>
              <w:jc w:val="center"/>
              <w:rPr>
                <w:rFonts w:hint="eastAsia" w:ascii="宋体" w:hAnsi="宋体" w:eastAsia="宋体" w:cs="宋体"/>
              </w:rPr>
            </w:pPr>
            <w:r>
              <w:rPr>
                <w:rFonts w:hint="eastAsia" w:ascii="宋体" w:hAnsi="宋体" w:eastAsia="宋体" w:cs="宋体"/>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6"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20</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rPr>
              <w:t>获取医院医生-科室权限字典记录</w:t>
            </w:r>
          </w:p>
        </w:tc>
        <w:tc>
          <w:tcPr>
            <w:tcW w:w="4351" w:type="dxa"/>
            <w:vAlign w:val="center"/>
          </w:tcPr>
          <w:p>
            <w:pPr>
              <w:spacing w:line="360" w:lineRule="atLeast"/>
              <w:jc w:val="center"/>
              <w:rPr>
                <w:rFonts w:hint="eastAsia" w:ascii="宋体" w:hAnsi="宋体" w:eastAsia="宋体" w:cs="宋体"/>
              </w:rPr>
            </w:pPr>
            <w:r>
              <w:rPr>
                <w:rFonts w:hint="eastAsia" w:ascii="宋体" w:hAnsi="宋体" w:eastAsia="宋体" w:cs="宋体"/>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8" w:hRule="atLeast"/>
          <w:jc w:val="center"/>
        </w:trPr>
        <w:tc>
          <w:tcPr>
            <w:tcW w:w="839" w:type="dxa"/>
            <w:vAlign w:val="center"/>
          </w:tcPr>
          <w:p>
            <w:pPr>
              <w:spacing w:line="360" w:lineRule="atLeast"/>
              <w:jc w:val="center"/>
              <w:rPr>
                <w:rFonts w:hint="eastAsia" w:ascii="宋体" w:hAnsi="宋体" w:eastAsia="宋体" w:cs="宋体"/>
                <w:b/>
                <w:bCs/>
                <w:sz w:val="20"/>
                <w:szCs w:val="20"/>
              </w:rPr>
            </w:pPr>
            <w:r>
              <w:rPr>
                <w:rFonts w:hint="eastAsia" w:ascii="宋体" w:hAnsi="宋体" w:eastAsia="宋体" w:cs="宋体"/>
                <w:b/>
                <w:bCs/>
                <w:sz w:val="20"/>
                <w:szCs w:val="20"/>
              </w:rPr>
              <w:t>21</w:t>
            </w:r>
          </w:p>
        </w:tc>
        <w:tc>
          <w:tcPr>
            <w:tcW w:w="4229" w:type="dxa"/>
            <w:vAlign w:val="center"/>
          </w:tcPr>
          <w:p>
            <w:pPr>
              <w:spacing w:line="360" w:lineRule="atLeast"/>
              <w:jc w:val="center"/>
              <w:rPr>
                <w:rFonts w:hint="eastAsia" w:ascii="宋体" w:hAnsi="宋体" w:eastAsia="宋体" w:cs="宋体"/>
              </w:rPr>
            </w:pPr>
            <w:r>
              <w:rPr>
                <w:rFonts w:hint="eastAsia" w:ascii="宋体" w:hAnsi="宋体" w:eastAsia="宋体" w:cs="宋体"/>
                <w:bCs/>
              </w:rPr>
              <w:t>获取指定ID列表患者进非独立医嘱记录</w:t>
            </w:r>
          </w:p>
        </w:tc>
        <w:tc>
          <w:tcPr>
            <w:tcW w:w="4351" w:type="dxa"/>
            <w:vAlign w:val="center"/>
          </w:tcPr>
          <w:p>
            <w:pPr>
              <w:spacing w:line="360" w:lineRule="atLeast"/>
              <w:jc w:val="center"/>
              <w:rPr>
                <w:rFonts w:hint="eastAsia" w:ascii="宋体" w:hAnsi="宋体" w:eastAsia="宋体" w:cs="宋体"/>
                <w:bCs/>
              </w:rPr>
            </w:pPr>
            <w:r>
              <w:rPr>
                <w:rFonts w:hint="eastAsia" w:ascii="宋体" w:hAnsi="宋体" w:eastAsia="宋体" w:cs="宋体"/>
                <w:bCs/>
              </w:rPr>
              <w:t>/</w:t>
            </w:r>
          </w:p>
        </w:tc>
      </w:tr>
    </w:tbl>
    <w:p>
      <w:pPr>
        <w:spacing w:line="360" w:lineRule="auto"/>
        <w:rPr>
          <w:b/>
          <w:bCs/>
          <w:sz w:val="28"/>
          <w:szCs w:val="28"/>
        </w:rPr>
      </w:pPr>
    </w:p>
    <w:p>
      <w:pPr>
        <w:spacing w:line="360" w:lineRule="auto"/>
        <w:rPr>
          <w:b/>
          <w:bCs/>
          <w:sz w:val="28"/>
          <w:szCs w:val="28"/>
        </w:rPr>
      </w:pPr>
      <w:r>
        <w:rPr>
          <w:rFonts w:hint="eastAsia"/>
          <w:b/>
          <w:bCs/>
          <w:sz w:val="28"/>
          <w:szCs w:val="28"/>
        </w:rPr>
        <w:t>四、商务要求</w:t>
      </w:r>
    </w:p>
    <w:p>
      <w:pPr>
        <w:spacing w:line="360" w:lineRule="auto"/>
        <w:ind w:firstLine="482" w:firstLineChars="200"/>
        <w:rPr>
          <w:rFonts w:hint="eastAsia" w:ascii="宋体" w:hAnsi="宋体" w:cs="宋体"/>
          <w:b/>
          <w:bCs/>
          <w:sz w:val="24"/>
        </w:rPr>
      </w:pPr>
      <w:r>
        <w:rPr>
          <w:rFonts w:hint="eastAsia" w:ascii="宋体" w:hAnsi="宋体" w:cs="宋体"/>
          <w:b/>
          <w:bCs/>
          <w:sz w:val="24"/>
        </w:rPr>
        <w:t>（一）项目建设要求</w:t>
      </w:r>
    </w:p>
    <w:p>
      <w:pPr>
        <w:spacing w:line="360" w:lineRule="auto"/>
        <w:ind w:firstLine="480" w:firstLineChars="200"/>
        <w:rPr>
          <w:rFonts w:hint="eastAsia" w:ascii="宋体" w:hAnsi="宋体" w:cs="宋体"/>
          <w:sz w:val="24"/>
        </w:rPr>
      </w:pPr>
      <w:r>
        <w:rPr>
          <w:rFonts w:hint="eastAsia" w:ascii="宋体" w:hAnsi="宋体" w:cs="宋体"/>
          <w:sz w:val="24"/>
        </w:rPr>
        <w:t>1、项目实施进度要求：合同签订后，中标人需在3个月内完成项目的建设并通过采购人验收、交付采购人使用。</w:t>
      </w:r>
    </w:p>
    <w:p>
      <w:pPr>
        <w:spacing w:line="360" w:lineRule="auto"/>
        <w:ind w:firstLine="480" w:firstLineChars="200"/>
        <w:rPr>
          <w:rFonts w:hint="eastAsia" w:ascii="宋体" w:hAnsi="宋体" w:cs="宋体"/>
          <w:sz w:val="24"/>
        </w:rPr>
      </w:pPr>
      <w:r>
        <w:rPr>
          <w:rFonts w:hint="eastAsia" w:ascii="宋体" w:hAnsi="宋体" w:cs="宋体"/>
          <w:sz w:val="24"/>
        </w:rPr>
        <w:t>2、质保期：1年</w:t>
      </w:r>
    </w:p>
    <w:p>
      <w:pPr>
        <w:spacing w:line="360" w:lineRule="auto"/>
        <w:ind w:firstLine="482" w:firstLineChars="200"/>
        <w:rPr>
          <w:rFonts w:hint="eastAsia" w:ascii="宋体" w:hAnsi="宋体" w:cs="宋体"/>
          <w:b/>
          <w:bCs/>
          <w:sz w:val="24"/>
        </w:rPr>
      </w:pPr>
      <w:r>
        <w:rPr>
          <w:rFonts w:hint="eastAsia" w:ascii="宋体" w:hAnsi="宋体" w:cs="宋体"/>
          <w:b/>
          <w:bCs/>
          <w:sz w:val="24"/>
        </w:rPr>
        <w:t>（三）付款方式</w:t>
      </w:r>
    </w:p>
    <w:p>
      <w:pPr>
        <w:spacing w:line="360" w:lineRule="auto"/>
        <w:ind w:firstLine="480" w:firstLineChars="200"/>
        <w:rPr>
          <w:rFonts w:hint="eastAsia" w:ascii="宋体" w:hAnsi="宋体" w:cs="宋体"/>
          <w:sz w:val="24"/>
        </w:rPr>
      </w:pPr>
      <w:r>
        <w:rPr>
          <w:rFonts w:hint="eastAsia" w:ascii="宋体" w:hAnsi="宋体" w:cs="宋体"/>
          <w:sz w:val="24"/>
        </w:rPr>
        <w:t>实施完成验收后，于验收合格并收到发票后三个月内支付全部款项。</w:t>
      </w:r>
    </w:p>
    <w:p>
      <w:pPr>
        <w:spacing w:line="360" w:lineRule="auto"/>
        <w:ind w:firstLine="480" w:firstLineChars="200"/>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五、定标方法</w:t>
      </w:r>
    </w:p>
    <w:p>
      <w:pPr>
        <w:pStyle w:val="3"/>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3"/>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3"/>
        <w:spacing w:line="360" w:lineRule="auto"/>
        <w:ind w:firstLine="0"/>
        <w:rPr>
          <w:rFonts w:hint="eastAsia" w:ascii="宋体" w:hAnsi="宋体" w:cs="宋体"/>
          <w:sz w:val="24"/>
          <w:szCs w:val="24"/>
        </w:rPr>
      </w:pPr>
      <w:r>
        <w:rPr>
          <w:rFonts w:hint="eastAsia" w:ascii="宋体" w:hAnsi="宋体" w:cs="宋体"/>
          <w:sz w:val="24"/>
          <w:szCs w:val="24"/>
        </w:rPr>
        <w:t>3、中标人确定后，采购人将在温州市中医院官网公告中标结果，采购人向中标人发出中标通知书。</w:t>
      </w:r>
    </w:p>
    <w:p>
      <w:pPr>
        <w:rPr>
          <w:b/>
          <w:bCs/>
          <w:sz w:val="28"/>
          <w:szCs w:val="28"/>
        </w:rPr>
      </w:pPr>
      <w:r>
        <w:rPr>
          <w:rFonts w:hint="eastAsia"/>
          <w:b/>
          <w:bCs/>
          <w:sz w:val="28"/>
          <w:szCs w:val="28"/>
        </w:rPr>
        <w:t>六、评分细则</w:t>
      </w:r>
    </w:p>
    <w:p>
      <w:pPr>
        <w:spacing w:line="360" w:lineRule="auto"/>
        <w:ind w:firstLine="480" w:firstLineChars="200"/>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sz w:val="28"/>
          <w:szCs w:val="28"/>
        </w:rPr>
      </w:pPr>
      <w:r>
        <w:rPr>
          <w:rFonts w:hint="eastAsia"/>
          <w:sz w:val="28"/>
          <w:szCs w:val="28"/>
        </w:rPr>
        <w:t>七、附件</w:t>
      </w:r>
    </w:p>
    <w:p>
      <w:pPr>
        <w:spacing w:line="360" w:lineRule="auto"/>
        <w:rPr>
          <w:rFonts w:hint="eastAsia" w:ascii="宋体" w:hAnsi="宋体"/>
          <w:b/>
          <w:sz w:val="24"/>
        </w:rPr>
      </w:pPr>
      <w:r>
        <w:rPr>
          <w:rFonts w:hint="eastAsia" w:ascii="宋体" w:hAnsi="宋体"/>
          <w:b/>
          <w:sz w:val="24"/>
        </w:rPr>
        <w:t>1、技术评分：满分70分</w:t>
      </w:r>
    </w:p>
    <w:tbl>
      <w:tblPr>
        <w:tblStyle w:val="10"/>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554"/>
        <w:gridCol w:w="1298"/>
        <w:gridCol w:w="622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24" w:hRule="atLeast"/>
          <w:jc w:val="center"/>
        </w:trPr>
        <w:tc>
          <w:tcPr>
            <w:tcW w:w="1554"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内容</w:t>
            </w:r>
          </w:p>
        </w:tc>
        <w:tc>
          <w:tcPr>
            <w:tcW w:w="1298"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分值</w:t>
            </w:r>
          </w:p>
        </w:tc>
        <w:tc>
          <w:tcPr>
            <w:tcW w:w="6227"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评分细则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34" w:hRule="atLeast"/>
          <w:jc w:val="center"/>
        </w:trPr>
        <w:tc>
          <w:tcPr>
            <w:tcW w:w="1554" w:type="dxa"/>
            <w:vMerge w:val="restart"/>
            <w:shd w:val="clear" w:color="auto" w:fill="FFFFFF"/>
            <w:vAlign w:val="center"/>
          </w:tcPr>
          <w:p>
            <w:pPr>
              <w:spacing w:before="156" w:line="360" w:lineRule="auto"/>
              <w:jc w:val="center"/>
              <w:rPr>
                <w:rFonts w:hint="eastAsia" w:ascii="宋体" w:hAnsi="宋体"/>
                <w:sz w:val="18"/>
                <w:szCs w:val="18"/>
              </w:rPr>
            </w:pPr>
          </w:p>
          <w:p>
            <w:pPr>
              <w:spacing w:before="156"/>
              <w:jc w:val="center"/>
              <w:rPr>
                <w:rFonts w:hint="eastAsia" w:ascii="宋体" w:hAnsi="宋体"/>
                <w:sz w:val="18"/>
                <w:szCs w:val="18"/>
              </w:rPr>
            </w:pPr>
            <w:r>
              <w:rPr>
                <w:rFonts w:hint="eastAsia" w:ascii="宋体" w:hAnsi="宋体"/>
                <w:b/>
                <w:bCs/>
                <w:szCs w:val="21"/>
              </w:rPr>
              <w:t>资质部分</w:t>
            </w: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投标人已取得ISO9001质量管理体系认证证书3分；没有不得分(提供复印件)；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54" w:type="dxa"/>
            <w:vMerge w:val="continue"/>
            <w:shd w:val="clear" w:color="auto" w:fill="FFFFFF"/>
            <w:vAlign w:val="center"/>
          </w:tcPr>
          <w:p>
            <w:pPr>
              <w:spacing w:before="156" w:line="360" w:lineRule="auto"/>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投标人已取得省级“守合同重信用”企业证书3分；没有不得分(提供复印件)；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14" w:hRule="atLeast"/>
          <w:jc w:val="center"/>
        </w:trPr>
        <w:tc>
          <w:tcPr>
            <w:tcW w:w="1554" w:type="dxa"/>
            <w:vMerge w:val="continue"/>
            <w:shd w:val="clear" w:color="auto" w:fill="FFFFFF"/>
            <w:vAlign w:val="center"/>
          </w:tcPr>
          <w:p>
            <w:pPr>
              <w:spacing w:before="156" w:line="360" w:lineRule="auto"/>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投标人已取得院感监控系统软件著作权登记证书3分；，没有不得分(提供复印件)；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line="360" w:lineRule="auto"/>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9</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提供项目团队人员的数量、专业素质、技术能力，相关类似项目对应的服务经验，项目组人员工作履历、服务单位证明材料等情况：有软考高级证书，有一个证书等3分；</w:t>
            </w:r>
          </w:p>
          <w:p>
            <w:pPr>
              <w:spacing w:before="156"/>
              <w:rPr>
                <w:rFonts w:hint="eastAsia" w:ascii="宋体" w:hAnsi="宋体"/>
                <w:szCs w:val="21"/>
              </w:rPr>
            </w:pPr>
            <w:r>
              <w:rPr>
                <w:rFonts w:hint="eastAsia" w:ascii="宋体" w:hAnsi="宋体"/>
                <w:szCs w:val="21"/>
              </w:rPr>
              <w:t>有软考中级证书，有一个证书等2分；</w:t>
            </w:r>
          </w:p>
          <w:p>
            <w:pPr>
              <w:spacing w:before="156"/>
              <w:rPr>
                <w:rFonts w:hint="eastAsia" w:ascii="宋体" w:hAnsi="宋体"/>
                <w:szCs w:val="21"/>
              </w:rPr>
            </w:pPr>
            <w:r>
              <w:rPr>
                <w:rFonts w:hint="eastAsia" w:ascii="宋体" w:hAnsi="宋体"/>
                <w:szCs w:val="21"/>
              </w:rPr>
              <w:t>有软考初级证书，有一个证书等1分；</w:t>
            </w:r>
          </w:p>
          <w:p>
            <w:pPr>
              <w:spacing w:before="156"/>
              <w:rPr>
                <w:rFonts w:hint="eastAsia" w:ascii="宋体" w:hAnsi="宋体"/>
                <w:szCs w:val="21"/>
              </w:rPr>
            </w:pPr>
            <w:r>
              <w:rPr>
                <w:rFonts w:hint="eastAsia" w:ascii="宋体" w:hAnsi="宋体"/>
                <w:szCs w:val="21"/>
              </w:rPr>
              <w:t>每个人员不能重复得分，最高得9分；(提供3月以上社保证明及证书复印件)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line="360" w:lineRule="auto"/>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cs="微软雅黑"/>
                <w:szCs w:val="21"/>
              </w:rPr>
              <w:t>投标人提供20</w:t>
            </w:r>
            <w:r>
              <w:rPr>
                <w:rFonts w:ascii="宋体" w:hAnsi="宋体" w:cs="微软雅黑"/>
                <w:szCs w:val="21"/>
              </w:rPr>
              <w:t>2</w:t>
            </w:r>
            <w:r>
              <w:rPr>
                <w:rFonts w:hint="eastAsia" w:ascii="宋体" w:hAnsi="宋体" w:cs="微软雅黑"/>
                <w:szCs w:val="21"/>
                <w:lang w:val="en-US" w:eastAsia="zh-CN"/>
              </w:rPr>
              <w:t>2</w:t>
            </w:r>
            <w:r>
              <w:rPr>
                <w:rFonts w:hint="eastAsia" w:ascii="宋体" w:hAnsi="宋体" w:cs="微软雅黑"/>
                <w:szCs w:val="21"/>
              </w:rPr>
              <w:t>年1月1日以来的类似案例业绩，每提供1个业绩得1分，最高得3分（提供合同复印件加盖公章</w:t>
            </w:r>
            <w:r>
              <w:rPr>
                <w:rFonts w:ascii="宋体" w:hAnsi="宋体" w:cs="微软雅黑"/>
                <w:szCs w:val="21"/>
              </w:rPr>
              <w:t>，不提供不得分</w:t>
            </w:r>
            <w:r>
              <w:rPr>
                <w:rFonts w:hint="eastAsia" w:ascii="宋体" w:hAnsi="宋体" w:cs="微软雅黑"/>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54" w:type="dxa"/>
            <w:vMerge w:val="restart"/>
            <w:shd w:val="clear" w:color="auto" w:fill="FFFFFF"/>
            <w:vAlign w:val="center"/>
          </w:tcPr>
          <w:p>
            <w:pPr>
              <w:spacing w:before="156"/>
              <w:jc w:val="center"/>
              <w:rPr>
                <w:rFonts w:hint="eastAsia" w:ascii="宋体" w:hAnsi="宋体"/>
                <w:sz w:val="18"/>
                <w:szCs w:val="18"/>
              </w:rPr>
            </w:pPr>
            <w:r>
              <w:rPr>
                <w:rFonts w:ascii="宋体" w:hAnsi="宋体"/>
                <w:b/>
                <w:bCs/>
                <w:szCs w:val="21"/>
              </w:rPr>
              <w:t>技术部分</w:t>
            </w: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18</w:t>
            </w:r>
          </w:p>
        </w:tc>
        <w:tc>
          <w:tcPr>
            <w:tcW w:w="6227" w:type="dxa"/>
            <w:shd w:val="clear" w:color="auto" w:fill="FFFFFF"/>
            <w:vAlign w:val="center"/>
          </w:tcPr>
          <w:p>
            <w:pPr>
              <w:spacing w:before="156"/>
              <w:rPr>
                <w:rFonts w:hint="eastAsia" w:ascii="宋体" w:hAnsi="宋体"/>
                <w:szCs w:val="21"/>
              </w:rPr>
            </w:pPr>
            <w:r>
              <w:rPr>
                <w:rFonts w:hint="eastAsia"/>
                <w:szCs w:val="21"/>
              </w:rPr>
              <w:t>所供的技术参数均能满足招标文件性能指标及技术参数要求的得18分，有负偏离或缺漏项的每项扣2分，本项扣至0分为止。（需提供截图，未提供视为负偏离）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16</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根据投标人的工期响应速度打分（0-16分）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jc w:val="center"/>
              <w:rPr>
                <w:rFonts w:hint="eastAsia" w:ascii="宋体" w:hAnsi="宋体"/>
                <w:sz w:val="18"/>
                <w:szCs w:val="18"/>
              </w:rPr>
            </w:pPr>
          </w:p>
        </w:tc>
        <w:tc>
          <w:tcPr>
            <w:tcW w:w="1298" w:type="dxa"/>
            <w:shd w:val="clear" w:color="auto" w:fill="FFFFFF"/>
            <w:vAlign w:val="center"/>
          </w:tcPr>
          <w:p>
            <w:pPr>
              <w:spacing w:before="156"/>
              <w:jc w:val="center"/>
              <w:rPr>
                <w:rFonts w:hint="eastAsia" w:ascii="宋体" w:hAnsi="宋体"/>
                <w:szCs w:val="21"/>
              </w:rPr>
            </w:pPr>
            <w:r>
              <w:rPr>
                <w:rFonts w:hint="eastAsia" w:ascii="宋体" w:hAnsi="宋体"/>
                <w:szCs w:val="21"/>
              </w:rPr>
              <w:t>15</w:t>
            </w:r>
          </w:p>
        </w:tc>
        <w:tc>
          <w:tcPr>
            <w:tcW w:w="6227" w:type="dxa"/>
            <w:shd w:val="clear" w:color="auto" w:fill="FFFFFF"/>
            <w:vAlign w:val="center"/>
          </w:tcPr>
          <w:p>
            <w:pPr>
              <w:spacing w:before="156"/>
              <w:rPr>
                <w:rFonts w:hint="eastAsia" w:ascii="宋体" w:hAnsi="宋体"/>
                <w:szCs w:val="21"/>
              </w:rPr>
            </w:pPr>
            <w:r>
              <w:rPr>
                <w:rFonts w:hint="eastAsia" w:ascii="宋体" w:hAnsi="宋体" w:cs="宋体"/>
                <w:color w:val="000000"/>
                <w:kern w:val="0"/>
                <w:szCs w:val="21"/>
                <w:lang w:bidi="ar"/>
              </w:rPr>
              <w:t>投标人项目组织实施方案的科学性、合理性、规范性和可操作性，包括安装调试、组织机构、工作时间进度表、工作程序和步骤、管理和协调方法等。</w:t>
            </w:r>
            <w:r>
              <w:rPr>
                <w:rFonts w:hint="eastAsia" w:ascii="宋体" w:hAnsi="宋体"/>
                <w:szCs w:val="21"/>
              </w:rPr>
              <w:t>（0-15分）</w:t>
            </w:r>
          </w:p>
        </w:tc>
      </w:tr>
    </w:tbl>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numPr>
          <w:ilvl w:val="0"/>
          <w:numId w:val="2"/>
        </w:numPr>
        <w:rPr>
          <w:rFonts w:hint="eastAsia" w:ascii="宋体" w:hAnsi="宋体" w:cs="宋体"/>
          <w:b/>
          <w:bCs/>
          <w:sz w:val="24"/>
        </w:rPr>
      </w:pPr>
      <w:r>
        <w:rPr>
          <w:rFonts w:hint="eastAsia" w:ascii="宋体" w:hAnsi="宋体" w:cs="宋体"/>
          <w:b/>
          <w:bCs/>
          <w:sz w:val="24"/>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sz w:val="22"/>
          <w:szCs w:val="18"/>
        </w:rPr>
      </w:pPr>
      <w:bookmarkStart w:id="2" w:name="_Toc8618"/>
      <w:bookmarkStart w:id="3" w:name="_Toc11964"/>
      <w:r>
        <w:rPr>
          <w:rFonts w:hint="eastAsia" w:ascii="宋体" w:hAnsi="宋体" w:cs="宋体"/>
          <w:b/>
          <w:sz w:val="28"/>
          <w:szCs w:val="28"/>
          <w:lang w:val="zh-CN"/>
        </w:rPr>
        <w:t>报价一览表</w:t>
      </w:r>
      <w:bookmarkEnd w:id="2"/>
      <w:bookmarkEnd w:id="3"/>
      <w:r>
        <w:rPr>
          <w:rFonts w:hint="eastAsia" w:ascii="宋体" w:hAnsi="宋体" w:cs="宋体"/>
          <w:sz w:val="24"/>
        </w:rPr>
        <w:t xml:space="preserve">  </w:t>
      </w:r>
      <w:r>
        <w:rPr>
          <w:rFonts w:hint="eastAsia" w:ascii="宋体" w:hAnsi="宋体" w:cs="宋体"/>
          <w:sz w:val="22"/>
          <w:szCs w:val="18"/>
        </w:rPr>
        <w:t xml:space="preserve">                          </w:t>
      </w:r>
    </w:p>
    <w:tbl>
      <w:tblPr>
        <w:tblStyle w:val="10"/>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545"/>
        <w:gridCol w:w="282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9"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4545"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2826"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747"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09"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4545" w:type="dxa"/>
            <w:vMerge w:val="restart"/>
            <w:vAlign w:val="center"/>
          </w:tcPr>
          <w:p>
            <w:pPr>
              <w:spacing w:line="380" w:lineRule="exact"/>
              <w:jc w:val="center"/>
              <w:rPr>
                <w:rFonts w:hint="eastAsia" w:ascii="宋体" w:hAnsi="宋体" w:eastAsia="宋体" w:cs="宋体"/>
                <w:sz w:val="22"/>
                <w:lang w:val="en-US" w:eastAsia="zh-CN"/>
              </w:rPr>
            </w:pPr>
            <w:r>
              <w:rPr>
                <w:rFonts w:hint="eastAsia" w:ascii="宋体" w:hAnsi="宋体" w:cs="宋体"/>
                <w:sz w:val="22"/>
              </w:rPr>
              <w:t>温州市中医院院感系统云HIS接口改造</w:t>
            </w:r>
            <w:r>
              <w:rPr>
                <w:rFonts w:hint="eastAsia" w:ascii="宋体" w:hAnsi="宋体" w:cs="宋体"/>
                <w:sz w:val="22"/>
                <w:lang w:val="en-US" w:eastAsia="zh-CN"/>
              </w:rPr>
              <w:t>服务</w:t>
            </w:r>
          </w:p>
        </w:tc>
        <w:tc>
          <w:tcPr>
            <w:tcW w:w="2826"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747"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09" w:type="dxa"/>
            <w:vMerge w:val="continue"/>
            <w:vAlign w:val="center"/>
          </w:tcPr>
          <w:p>
            <w:pPr>
              <w:spacing w:line="380" w:lineRule="exact"/>
              <w:jc w:val="center"/>
              <w:rPr>
                <w:rFonts w:hint="eastAsia" w:ascii="宋体" w:hAnsi="宋体" w:cs="宋体"/>
                <w:sz w:val="22"/>
              </w:rPr>
            </w:pPr>
          </w:p>
        </w:tc>
        <w:tc>
          <w:tcPr>
            <w:tcW w:w="4545" w:type="dxa"/>
            <w:vMerge w:val="continue"/>
            <w:vAlign w:val="center"/>
          </w:tcPr>
          <w:p>
            <w:pPr>
              <w:spacing w:line="380" w:lineRule="exact"/>
              <w:jc w:val="center"/>
              <w:rPr>
                <w:rFonts w:hint="eastAsia" w:ascii="宋体" w:hAnsi="宋体" w:cs="宋体"/>
                <w:sz w:val="22"/>
              </w:rPr>
            </w:pPr>
          </w:p>
        </w:tc>
        <w:tc>
          <w:tcPr>
            <w:tcW w:w="2826"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747"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pStyle w:val="2"/>
        <w:ind w:firstLine="442" w:firstLineChars="200"/>
        <w:rPr>
          <w:sz w:val="22"/>
          <w:szCs w:val="22"/>
        </w:rPr>
      </w:pPr>
      <w:r>
        <w:rPr>
          <w:rFonts w:hint="eastAsia"/>
          <w:sz w:val="22"/>
          <w:szCs w:val="22"/>
        </w:rPr>
        <w:t>2、投标总价应包括本项目整个服务期所需的一切设备、材料、软硬件、人工、工具、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sz w:val="22"/>
        </w:rPr>
      </w:pPr>
      <w:r>
        <w:rPr>
          <w:rFonts w:hint="eastAsia" w:hAnsi="宋体" w:cs="宋体"/>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710AF434"/>
    <w:multiLevelType w:val="singleLevel"/>
    <w:tmpl w:val="710AF4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06C2E"/>
    <w:rsid w:val="003D41C7"/>
    <w:rsid w:val="003E091A"/>
    <w:rsid w:val="00537F7B"/>
    <w:rsid w:val="005D6C7D"/>
    <w:rsid w:val="005E43EE"/>
    <w:rsid w:val="006319BF"/>
    <w:rsid w:val="0077449E"/>
    <w:rsid w:val="009C732C"/>
    <w:rsid w:val="00A81427"/>
    <w:rsid w:val="00B40FF8"/>
    <w:rsid w:val="00BD504C"/>
    <w:rsid w:val="00DB7EDC"/>
    <w:rsid w:val="00F446E7"/>
    <w:rsid w:val="00FA6B75"/>
    <w:rsid w:val="0BDA4362"/>
    <w:rsid w:val="0F427144"/>
    <w:rsid w:val="0F9C6A6C"/>
    <w:rsid w:val="1124087B"/>
    <w:rsid w:val="154327F2"/>
    <w:rsid w:val="15F0193F"/>
    <w:rsid w:val="16586A57"/>
    <w:rsid w:val="16F2475C"/>
    <w:rsid w:val="17340047"/>
    <w:rsid w:val="1DD2069B"/>
    <w:rsid w:val="1E612507"/>
    <w:rsid w:val="203F5CE6"/>
    <w:rsid w:val="243769DE"/>
    <w:rsid w:val="253F05F7"/>
    <w:rsid w:val="26614AE7"/>
    <w:rsid w:val="2BF77675"/>
    <w:rsid w:val="2C0B329E"/>
    <w:rsid w:val="2EE23DA1"/>
    <w:rsid w:val="2FFD1365"/>
    <w:rsid w:val="33F15215"/>
    <w:rsid w:val="38620F4A"/>
    <w:rsid w:val="3AA307AA"/>
    <w:rsid w:val="3D4A148F"/>
    <w:rsid w:val="42442951"/>
    <w:rsid w:val="442D7AA8"/>
    <w:rsid w:val="4B3E773E"/>
    <w:rsid w:val="4B9E1807"/>
    <w:rsid w:val="4BB26B7D"/>
    <w:rsid w:val="50250266"/>
    <w:rsid w:val="55C506EE"/>
    <w:rsid w:val="57A36574"/>
    <w:rsid w:val="58D72375"/>
    <w:rsid w:val="58DD5B64"/>
    <w:rsid w:val="5DAF6DF6"/>
    <w:rsid w:val="63750765"/>
    <w:rsid w:val="642B0A6B"/>
    <w:rsid w:val="68C80848"/>
    <w:rsid w:val="724D0AFE"/>
    <w:rsid w:val="72E83474"/>
    <w:rsid w:val="72F62F44"/>
    <w:rsid w:val="73F11CC8"/>
    <w:rsid w:val="75304775"/>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szCs w:val="20"/>
    </w:rPr>
  </w:style>
  <w:style w:type="paragraph" w:styleId="4">
    <w:name w:val="Body Text"/>
    <w:basedOn w:val="1"/>
    <w:next w:val="5"/>
    <w:autoRedefine/>
    <w:qFormat/>
    <w:uiPriority w:val="0"/>
    <w:pPr>
      <w:spacing w:after="120"/>
    </w:pPr>
  </w:style>
  <w:style w:type="paragraph" w:styleId="5">
    <w:name w:val="Body Text First Indent"/>
    <w:basedOn w:val="4"/>
    <w:autoRedefine/>
    <w:semiHidden/>
    <w:unhideWhenUsed/>
    <w:qFormat/>
    <w:uiPriority w:val="99"/>
    <w:pPr>
      <w:ind w:firstLine="420" w:firstLineChars="100"/>
    </w:pPr>
    <w:rPr>
      <w:rFonts w:asciiTheme="minorHAnsi" w:hAnsiTheme="minorHAnsi" w:eastAsiaTheme="minorEastAsia" w:cstheme="minorBidi"/>
      <w:szCs w:val="22"/>
    </w:rPr>
  </w:style>
  <w:style w:type="paragraph" w:styleId="6">
    <w:name w:val="Body Text Indent"/>
    <w:basedOn w:val="1"/>
    <w:next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4"/>
    <w:autoRedefine/>
    <w:qFormat/>
    <w:uiPriority w:val="0"/>
    <w:pPr>
      <w:ind w:firstLine="420" w:firstLineChars="100"/>
    </w:pPr>
  </w:style>
  <w:style w:type="paragraph" w:customStyle="1" w:styleId="14">
    <w:name w:val="BodyText"/>
    <w:basedOn w:val="1"/>
    <w:autoRedefine/>
    <w:qFormat/>
    <w:uiPriority w:val="0"/>
    <w:pPr>
      <w:spacing w:after="120"/>
    </w:pPr>
  </w:style>
  <w:style w:type="paragraph" w:customStyle="1" w:styleId="15">
    <w:name w:val="表格文字"/>
    <w:basedOn w:val="1"/>
    <w:next w:val="4"/>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6">
    <w:name w:val="页眉 字符"/>
    <w:basedOn w:val="12"/>
    <w:link w:val="9"/>
    <w:autoRedefine/>
    <w:qFormat/>
    <w:uiPriority w:val="0"/>
    <w:rPr>
      <w:kern w:val="2"/>
      <w:sz w:val="18"/>
      <w:szCs w:val="18"/>
    </w:rPr>
  </w:style>
  <w:style w:type="character" w:customStyle="1" w:styleId="17">
    <w:name w:val="页脚 字符"/>
    <w:basedOn w:val="12"/>
    <w:link w:val="8"/>
    <w:autoRedefine/>
    <w:qFormat/>
    <w:uiPriority w:val="0"/>
    <w:rPr>
      <w:kern w:val="2"/>
      <w:sz w:val="18"/>
      <w:szCs w:val="18"/>
    </w:rPr>
  </w:style>
  <w:style w:type="paragraph" w:styleId="18">
    <w:name w:val="List Paragraph"/>
    <w:basedOn w:val="1"/>
    <w:autoRedefine/>
    <w:qFormat/>
    <w:uiPriority w:val="0"/>
    <w:pPr>
      <w:ind w:firstLine="420" w:firstLineChars="200"/>
    </w:pPr>
    <w:rPr>
      <w:rFonts w:ascii="Calibri" w:hAnsi="Calibri"/>
      <w:szCs w:val="22"/>
    </w:rPr>
  </w:style>
  <w:style w:type="paragraph" w:customStyle="1" w:styleId="19">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754</Words>
  <Characters>4303</Characters>
  <Lines>35</Lines>
  <Paragraphs>10</Paragraphs>
  <TotalTime>2</TotalTime>
  <ScaleCrop>false</ScaleCrop>
  <LinksUpToDate>false</LinksUpToDate>
  <CharactersWithSpaces>5047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2024-08-26T07:19:00Z</dcterms:created>
  <dc:creator>小米</dc:creator>
  <cp:lastModifiedBy>市渔业应急处置指挥中心</cp:lastModifiedBy>
  <dcterms:modified xsi:type="dcterms:W3CDTF">2025-11-11T06:56:16Z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AFB3774A0C864FAC9B7CBDC2A14C2283_13</vt:lpwstr>
  </property>
</Properties>
</file>