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lang w:val="en-US" w:eastAsia="zh-CN"/>
        </w:rPr>
        <w:t>水心院区光纤链路租赁</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default" w:ascii="宋体" w:hAnsi="宋体" w:cs="宋体"/>
          <w:color w:val="FF0000"/>
          <w:sz w:val="24"/>
          <w:szCs w:val="24"/>
          <w:lang w:val="en-US"/>
        </w:rPr>
      </w:pPr>
      <w:r>
        <w:rPr>
          <w:rFonts w:hint="eastAsia"/>
          <w:b/>
          <w:bCs/>
          <w:sz w:val="28"/>
          <w:szCs w:val="28"/>
        </w:rPr>
        <w:t>一、项目名称</w:t>
      </w:r>
      <w:r>
        <w:rPr>
          <w:rFonts w:hint="eastAsia"/>
          <w:sz w:val="24"/>
        </w:rPr>
        <w:t>：</w:t>
      </w:r>
      <w:bookmarkStart w:id="1" w:name="OLE_LINK1"/>
      <w:r>
        <w:rPr>
          <w:rFonts w:hint="eastAsia"/>
          <w:sz w:val="24"/>
          <w:szCs w:val="24"/>
          <w:lang w:val="en-US" w:eastAsia="zh-CN"/>
        </w:rPr>
        <w:t>水心院区光纤链路租赁</w:t>
      </w:r>
    </w:p>
    <w:bookmarkEnd w:id="1"/>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90000</w:t>
      </w:r>
      <w:r>
        <w:rPr>
          <w:rFonts w:hint="eastAsia" w:ascii="宋体" w:hAnsi="宋体" w:cs="宋体"/>
          <w:sz w:val="24"/>
        </w:rPr>
        <w:t>元</w:t>
      </w:r>
    </w:p>
    <w:p>
      <w:pPr>
        <w:spacing w:line="360" w:lineRule="auto"/>
        <w:rPr>
          <w:rFonts w:hint="default" w:eastAsia="宋体"/>
          <w:b/>
          <w:bCs/>
          <w:sz w:val="28"/>
          <w:szCs w:val="28"/>
          <w:lang w:val="en-US" w:eastAsia="zh-CN"/>
        </w:rPr>
      </w:pPr>
      <w:r>
        <w:rPr>
          <w:rFonts w:hint="eastAsia"/>
          <w:b/>
          <w:bCs/>
          <w:sz w:val="28"/>
          <w:szCs w:val="28"/>
          <w:lang w:val="en-US" w:eastAsia="zh-CN"/>
        </w:rPr>
        <w:t>四</w:t>
      </w:r>
      <w:r>
        <w:rPr>
          <w:rFonts w:hint="eastAsia"/>
          <w:b/>
          <w:bCs/>
          <w:sz w:val="28"/>
          <w:szCs w:val="28"/>
        </w:rPr>
        <w:t>、服务</w:t>
      </w:r>
      <w:r>
        <w:rPr>
          <w:rFonts w:hint="eastAsia"/>
          <w:b/>
          <w:bCs/>
          <w:sz w:val="28"/>
          <w:szCs w:val="28"/>
          <w:lang w:val="en-US" w:eastAsia="zh-CN"/>
        </w:rPr>
        <w:t>内容及要求</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温州市中医院水心院区数据中心机房建设在即，作为医院双节点机房之一，其光纤链路的质量直接决定了跨机房数据交互的实时性、安全性及灾备切换的有效性。为保障业务系统的高可用性与数据传输的稳定性，构建安全、可靠、高效的院区互联链路，需要租赁运营商裸光纤链路7条，其中存储、核心、服务器互联需要配置双运营商双链路。</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1、具体清单如下：</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406"/>
        <w:gridCol w:w="904"/>
        <w:gridCol w:w="1234"/>
        <w:gridCol w:w="1177"/>
        <w:gridCol w:w="3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温州市中医院水心院区光纤链路租赁采购内容清单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链路名称</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A端</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Z端</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链路1</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存储互联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六虹桥院区</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水心院区</w:t>
            </w:r>
          </w:p>
        </w:tc>
        <w:tc>
          <w:tcPr>
            <w:tcW w:w="1940"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用于存储数据备份，互为主备，需要不同运营商做异构处理。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链路2</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4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链路3</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核心互联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40"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用于核心交换机间互联，互为主备，需要不同运营商做异构处理。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链路4</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40" w:type="pct"/>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链路5</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服务器互联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40" w:type="pct"/>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用户服务器交换机间互联，互为主备，需要不同运营商做异构处理。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链路6</w:t>
            </w: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940" w:type="pct"/>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链路7</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院区互联</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1条</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景山院区</w:t>
            </w:r>
          </w:p>
        </w:tc>
        <w:tc>
          <w:tcPr>
            <w:tcW w:w="6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水心院区</w:t>
            </w:r>
          </w:p>
        </w:tc>
        <w:tc>
          <w:tcPr>
            <w:tcW w:w="1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景山院区与水心院区互联</w:t>
            </w:r>
          </w:p>
        </w:tc>
      </w:tr>
    </w:tbl>
    <w:p>
      <w:pPr>
        <w:numPr>
          <w:ilvl w:val="0"/>
          <w:numId w:val="0"/>
        </w:numPr>
        <w:rPr>
          <w:rFonts w:hint="eastAsia" w:ascii="宋体" w:hAnsi="宋体" w:eastAsia="宋体" w:cs="宋体"/>
          <w:b/>
          <w:bCs/>
          <w:sz w:val="21"/>
          <w:szCs w:val="21"/>
          <w:lang w:val="en-US" w:eastAsia="zh-CN"/>
        </w:rPr>
      </w:pPr>
    </w:p>
    <w:p>
      <w:pPr>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2、技术要求</w:t>
      </w:r>
    </w:p>
    <w:p>
      <w:pPr>
        <w:numPr>
          <w:ilvl w:val="0"/>
          <w:numId w:val="0"/>
        </w:numPr>
        <w:rPr>
          <w:rFonts w:hint="eastAsia" w:ascii="宋体" w:hAnsi="宋体" w:eastAsia="宋体" w:cs="宋体"/>
          <w:b/>
          <w:bCs/>
          <w:sz w:val="21"/>
          <w:szCs w:val="21"/>
          <w:lang w:val="en-US" w:eastAsia="zh-CN"/>
        </w:rPr>
      </w:pPr>
    </w:p>
    <w:tbl>
      <w:tblPr>
        <w:tblStyle w:val="15"/>
        <w:tblW w:w="9777"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028"/>
        <w:gridCol w:w="6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77" w:type="dxa"/>
            <w:tcBorders>
              <w:top w:val="single" w:color="000000" w:sz="8" w:space="0"/>
              <w:left w:val="single" w:color="000000" w:sz="8" w:space="0"/>
              <w:bottom w:val="single" w:color="000000" w:sz="8" w:space="0"/>
              <w:right w:val="single" w:color="000000" w:sz="8"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序号</w:t>
            </w:r>
          </w:p>
        </w:tc>
        <w:tc>
          <w:tcPr>
            <w:tcW w:w="2028" w:type="dxa"/>
            <w:tcBorders>
              <w:top w:val="single" w:color="000000" w:sz="8" w:space="0"/>
              <w:left w:val="single" w:color="000000" w:sz="8" w:space="0"/>
              <w:bottom w:val="single" w:color="000000" w:sz="8" w:space="0"/>
              <w:right w:val="single" w:color="000000" w:sz="8"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技术要求</w:t>
            </w:r>
          </w:p>
        </w:tc>
        <w:tc>
          <w:tcPr>
            <w:tcW w:w="6972" w:type="dxa"/>
            <w:tcBorders>
              <w:top w:val="single" w:color="000000" w:sz="8" w:space="0"/>
              <w:left w:val="single" w:color="000000" w:sz="8" w:space="0"/>
              <w:bottom w:val="single" w:color="000000" w:sz="8" w:space="0"/>
              <w:right w:val="single" w:color="000000" w:sz="8" w:space="0"/>
            </w:tcBorders>
            <w:shd w:val="clear" w:color="auto" w:fill="D8D8D8"/>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7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2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链路要求</w:t>
            </w:r>
          </w:p>
        </w:tc>
        <w:tc>
          <w:tcPr>
            <w:tcW w:w="69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提供中医院所需的裸光纤链路，共计7条。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20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性能指标</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端到端平均时延（ms） ≤ 5ms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光衰在-5dB到-9dB之内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7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28"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维护与故障指标</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一般故障响应时间： &lt; 2 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一般故障修复时间： &lt; 4 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7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28"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重大故障修复时间： &lt; 24 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7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链路安全要求</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提供光缆所在的道路管井产权是自建或租赁，确保光缆安全及可用性。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7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建设标准</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传输链路的物理介质的信号衰减、干扰等符合国际、国家和</w:t>
            </w:r>
            <w:r>
              <w:rPr>
                <w:rStyle w:val="34"/>
                <w:rFonts w:hint="eastAsia" w:ascii="宋体" w:hAnsi="宋体" w:eastAsia="宋体" w:cs="宋体"/>
                <w:sz w:val="21"/>
                <w:szCs w:val="21"/>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链路信息</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投标人提供采购人电路维护信息，对应线路编号、距离、接入ODF架编号等。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项目进度</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本项目工期 ， 自签署合同之日起至链路开通10 个工作日完成。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77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02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服务有效期</w:t>
            </w:r>
          </w:p>
        </w:tc>
        <w:tc>
          <w:tcPr>
            <w:tcW w:w="697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highlight w:val="none"/>
              </w:rPr>
              <w:t>本次服务有效期为一年,以开通确认函约定日期起计算。</w:t>
            </w:r>
          </w:p>
        </w:tc>
      </w:tr>
    </w:tbl>
    <w:p>
      <w:pPr>
        <w:spacing w:line="360" w:lineRule="auto"/>
        <w:ind w:firstLine="480" w:firstLineChars="200"/>
        <w:jc w:val="left"/>
        <w:rPr>
          <w:rFonts w:hint="eastAsia" w:ascii="宋体" w:hAnsi="宋体" w:cs="宋体"/>
          <w:sz w:val="24"/>
        </w:rPr>
      </w:pP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其他商务要求</w:t>
      </w:r>
    </w:p>
    <w:p>
      <w:pPr>
        <w:pStyle w:val="3"/>
        <w:pageBreakBefore w:val="0"/>
        <w:widowControl w:val="0"/>
        <w:kinsoku/>
        <w:wordWrap/>
        <w:overflowPunct/>
        <w:topLinePunct w:val="0"/>
        <w:bidi w:val="0"/>
        <w:adjustRightInd w:val="0"/>
        <w:spacing w:before="0" w:beforeLines="0" w:after="0" w:afterLines="0" w:line="360" w:lineRule="auto"/>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bookmarkStart w:id="2" w:name="_Toc28688"/>
      <w:r>
        <w:rPr>
          <w:rFonts w:hint="eastAsia" w:ascii="宋体" w:hAnsi="宋体" w:eastAsia="宋体" w:cs="宋体"/>
          <w:b w:val="0"/>
          <w:bCs w:val="0"/>
          <w:color w:val="auto"/>
          <w:sz w:val="24"/>
          <w:szCs w:val="24"/>
          <w:highlight w:val="none"/>
        </w:rPr>
        <w:t>工期要求</w:t>
      </w:r>
      <w:bookmarkEnd w:id="2"/>
      <w:r>
        <w:rPr>
          <w:rFonts w:hint="eastAsia" w:ascii="宋体" w:hAnsi="宋体" w:eastAsia="宋体" w:cs="宋体"/>
          <w:b w:val="0"/>
          <w:bCs w:val="0"/>
          <w:color w:val="auto"/>
          <w:sz w:val="24"/>
          <w:szCs w:val="24"/>
          <w:highlight w:val="none"/>
          <w:lang w:eastAsia="zh-CN"/>
        </w:rPr>
        <w:t>：</w:t>
      </w: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合同签订之日起的10 个工作日完成链路开通，并交付采购人使用。</w:t>
      </w:r>
    </w:p>
    <w:p>
      <w:pPr>
        <w:pStyle w:val="4"/>
        <w:pageBreakBefore w:val="0"/>
        <w:widowControl w:val="0"/>
        <w:kinsoku/>
        <w:wordWrap/>
        <w:overflowPunct/>
        <w:topLinePunct w:val="0"/>
        <w:bidi w:val="0"/>
        <w:adjustRightInd w:val="0"/>
        <w:snapToGrid/>
        <w:spacing w:after="0" w:afterLines="0" w:line="360" w:lineRule="auto"/>
        <w:ind w:left="0" w:lef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服务期</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1年</w:t>
      </w:r>
      <w:r>
        <w:rPr>
          <w:rFonts w:hint="eastAsia" w:ascii="宋体" w:hAnsi="宋体" w:eastAsia="宋体" w:cs="宋体"/>
          <w:color w:val="auto"/>
          <w:sz w:val="21"/>
          <w:szCs w:val="21"/>
          <w:highlight w:val="none"/>
        </w:rPr>
        <w:t>,以开通确认函约定日期起计算</w:t>
      </w:r>
      <w:r>
        <w:rPr>
          <w:rFonts w:hint="eastAsia" w:ascii="宋体" w:hAnsi="宋体" w:eastAsia="宋体" w:cs="宋体"/>
          <w:color w:val="auto"/>
          <w:sz w:val="21"/>
          <w:szCs w:val="21"/>
          <w:highlight w:val="none"/>
          <w:lang w:eastAsia="zh-CN"/>
        </w:rPr>
        <w:t>。</w:t>
      </w:r>
    </w:p>
    <w:p>
      <w:pPr>
        <w:pStyle w:val="4"/>
        <w:pageBreakBefore w:val="0"/>
        <w:widowControl w:val="0"/>
        <w:kinsoku/>
        <w:wordWrap/>
        <w:overflowPunct/>
        <w:topLinePunct w:val="0"/>
        <w:bidi w:val="0"/>
        <w:adjustRightInd w:val="0"/>
        <w:snapToGrid/>
        <w:spacing w:after="0" w:afterLines="0" w:line="360" w:lineRule="auto"/>
        <w:ind w:left="0" w:lef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质保期：≥</w:t>
      </w:r>
      <w:r>
        <w:rPr>
          <w:rFonts w:hint="eastAsia" w:ascii="宋体" w:hAnsi="宋体" w:eastAsia="宋体" w:cs="宋体"/>
          <w:b w:val="0"/>
          <w:bCs w:val="0"/>
          <w:color w:val="auto"/>
          <w:sz w:val="24"/>
          <w:szCs w:val="24"/>
          <w:highlight w:val="none"/>
          <w:lang w:val="en-US" w:eastAsia="zh-CN"/>
        </w:rPr>
        <w:t>1年，</w:t>
      </w:r>
      <w:r>
        <w:rPr>
          <w:rFonts w:hint="eastAsia" w:ascii="宋体" w:hAnsi="宋体" w:eastAsia="宋体" w:cs="宋体"/>
          <w:color w:val="auto"/>
          <w:sz w:val="21"/>
          <w:szCs w:val="21"/>
          <w:highlight w:val="none"/>
        </w:rPr>
        <w:t>以开通确认函约定日期起计算</w:t>
      </w:r>
      <w:r>
        <w:rPr>
          <w:rFonts w:hint="eastAsia" w:ascii="宋体" w:hAnsi="宋体" w:eastAsia="宋体" w:cs="宋体"/>
          <w:b w:val="0"/>
          <w:bCs w:val="0"/>
          <w:color w:val="auto"/>
          <w:sz w:val="24"/>
          <w:szCs w:val="24"/>
          <w:highlight w:val="none"/>
        </w:rPr>
        <w:t>。</w:t>
      </w:r>
    </w:p>
    <w:p>
      <w:pPr>
        <w:pStyle w:val="4"/>
        <w:spacing w:line="36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、付款方式：</w:t>
      </w:r>
      <w:r>
        <w:rPr>
          <w:rFonts w:hint="eastAsia" w:ascii="宋体" w:hAnsi="宋体" w:cs="宋体"/>
          <w:b w:val="0"/>
          <w:bCs w:val="0"/>
          <w:color w:val="auto"/>
          <w:sz w:val="24"/>
          <w:szCs w:val="24"/>
          <w:highlight w:val="none"/>
          <w:lang w:val="en-US" w:eastAsia="zh-CN"/>
        </w:rPr>
        <w:t>服务到期后</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甲方收到</w:t>
      </w:r>
      <w:r>
        <w:rPr>
          <w:rFonts w:hint="eastAsia" w:ascii="宋体" w:hAnsi="宋体" w:eastAsia="宋体" w:cs="宋体"/>
          <w:b w:val="0"/>
          <w:bCs w:val="0"/>
          <w:color w:val="auto"/>
          <w:sz w:val="24"/>
          <w:szCs w:val="24"/>
          <w:highlight w:val="none"/>
          <w:lang w:val="en-US" w:eastAsia="zh-CN"/>
        </w:rPr>
        <w:t>乙方开具的</w:t>
      </w:r>
      <w:r>
        <w:rPr>
          <w:rFonts w:hint="eastAsia" w:ascii="宋体" w:hAnsi="宋体" w:cs="宋体"/>
          <w:b w:val="0"/>
          <w:bCs w:val="0"/>
          <w:color w:val="auto"/>
          <w:sz w:val="24"/>
          <w:szCs w:val="24"/>
          <w:highlight w:val="none"/>
          <w:lang w:val="en-US" w:eastAsia="zh-CN"/>
        </w:rPr>
        <w:t>全额</w:t>
      </w:r>
      <w:r>
        <w:rPr>
          <w:rFonts w:hint="eastAsia" w:ascii="宋体" w:hAnsi="宋体" w:eastAsia="宋体" w:cs="宋体"/>
          <w:b w:val="0"/>
          <w:bCs w:val="0"/>
          <w:color w:val="auto"/>
          <w:sz w:val="24"/>
          <w:szCs w:val="24"/>
          <w:highlight w:val="none"/>
          <w:lang w:val="en-US" w:eastAsia="zh-CN"/>
        </w:rPr>
        <w:t>发票</w:t>
      </w:r>
      <w:r>
        <w:rPr>
          <w:rFonts w:hint="eastAsia" w:ascii="宋体" w:hAnsi="宋体" w:cs="宋体"/>
          <w:b w:val="0"/>
          <w:bCs w:val="0"/>
          <w:color w:val="auto"/>
          <w:sz w:val="24"/>
          <w:szCs w:val="24"/>
          <w:highlight w:val="none"/>
          <w:lang w:val="en-US" w:eastAsia="zh-CN"/>
        </w:rPr>
        <w:t>后的3个月内</w:t>
      </w:r>
      <w:r>
        <w:rPr>
          <w:rFonts w:hint="eastAsia" w:ascii="宋体" w:hAnsi="宋体" w:eastAsia="宋体" w:cs="宋体"/>
          <w:b w:val="0"/>
          <w:bCs w:val="0"/>
          <w:color w:val="auto"/>
          <w:sz w:val="24"/>
          <w:szCs w:val="24"/>
          <w:highlight w:val="none"/>
          <w:lang w:val="en-US" w:eastAsia="zh-CN"/>
        </w:rPr>
        <w:t>一次性支付合同总价的100%。</w:t>
      </w:r>
    </w:p>
    <w:p>
      <w:pPr>
        <w:spacing w:line="360" w:lineRule="auto"/>
        <w:jc w:val="left"/>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6"/>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5"/>
        <w:spacing w:line="360" w:lineRule="auto"/>
        <w:ind w:left="0" w:leftChars="0" w:firstLine="482" w:firstLineChars="200"/>
        <w:rPr>
          <w:rFonts w:hint="eastAsia" w:ascii="宋体" w:hAnsi="宋体" w:eastAsia="宋体" w:cs="宋体"/>
          <w:b/>
          <w:bCs/>
        </w:rPr>
      </w:pPr>
      <w:r>
        <w:rPr>
          <w:rFonts w:hint="eastAsia" w:ascii="宋体" w:hAnsi="宋体" w:eastAsia="宋体" w:cs="宋体"/>
          <w:b/>
          <w:bCs/>
          <w:i w:val="0"/>
          <w:iCs w:val="0"/>
          <w:color w:val="000000"/>
          <w:kern w:val="0"/>
          <w:sz w:val="24"/>
          <w:szCs w:val="24"/>
          <w:u w:val="none"/>
          <w:lang w:val="en-US" w:eastAsia="zh-CN" w:bidi="ar"/>
        </w:rPr>
        <w:t>1.3第一中标候选人提供</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链路1、链路3、链路5、链路7共计四</w:t>
      </w:r>
      <w:r>
        <w:rPr>
          <w:rFonts w:hint="eastAsia" w:ascii="宋体" w:hAnsi="宋体" w:eastAsia="宋体" w:cs="宋体"/>
          <w:b/>
          <w:bCs/>
          <w:i w:val="0"/>
          <w:iCs w:val="0"/>
          <w:color w:val="000000"/>
          <w:kern w:val="0"/>
          <w:sz w:val="24"/>
          <w:szCs w:val="24"/>
          <w:u w:val="none"/>
          <w:lang w:val="en-US" w:eastAsia="zh-CN" w:bidi="ar"/>
        </w:rPr>
        <w:t>条链路</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；第二中标候选人提供链路2、链路4、链路6共计三条链路</w:t>
      </w:r>
      <w:r>
        <w:rPr>
          <w:rFonts w:hint="eastAsia" w:ascii="宋体" w:hAnsi="宋体" w:eastAsia="宋体" w:cs="宋体"/>
          <w:b/>
          <w:bCs/>
          <w:i w:val="0"/>
          <w:iCs w:val="0"/>
          <w:color w:val="000000"/>
          <w:kern w:val="0"/>
          <w:sz w:val="24"/>
          <w:szCs w:val="24"/>
          <w:u w:val="none"/>
          <w:lang w:val="en-US" w:eastAsia="zh-CN" w:bidi="ar"/>
        </w:rPr>
        <w:t>。</w:t>
      </w:r>
    </w:p>
    <w:p>
      <w:pPr>
        <w:pStyle w:val="6"/>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6"/>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6"/>
        <w:spacing w:line="360" w:lineRule="auto"/>
        <w:ind w:left="0" w:leftChars="0" w:firstLine="0" w:firstLineChars="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pPr>
    </w:p>
    <w:p/>
    <w:p>
      <w:pPr>
        <w:pStyle w:val="2"/>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5"/>
        <w:tblW w:w="9642"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15"/>
        <w:gridCol w:w="762"/>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465" w:type="dxa"/>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915" w:type="dxa"/>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评分内容</w:t>
            </w:r>
          </w:p>
        </w:tc>
        <w:tc>
          <w:tcPr>
            <w:tcW w:w="762" w:type="dxa"/>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分值</w:t>
            </w:r>
          </w:p>
        </w:tc>
        <w:tc>
          <w:tcPr>
            <w:tcW w:w="7500" w:type="dxa"/>
            <w:shd w:val="clear" w:color="auto" w:fill="auto"/>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bidi="ar"/>
              </w:rPr>
              <w:t>评分</w:t>
            </w:r>
            <w:r>
              <w:rPr>
                <w:rFonts w:hint="eastAsia" w:ascii="宋体" w:hAnsi="宋体" w:eastAsia="宋体" w:cs="宋体"/>
                <w:b/>
                <w:bCs/>
                <w:color w:val="000000"/>
                <w:kern w:val="0"/>
                <w:sz w:val="21"/>
                <w:szCs w:val="21"/>
                <w:lang w:val="en-US" w:eastAsia="zh-CN" w:bidi="ar"/>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915"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投标人综合情况</w:t>
            </w:r>
          </w:p>
        </w:tc>
        <w:tc>
          <w:tcPr>
            <w:tcW w:w="762"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7500" w:type="dxa"/>
            <w:shd w:val="clear" w:color="auto" w:fill="auto"/>
            <w:vAlign w:val="center"/>
          </w:tcPr>
          <w:p>
            <w:pPr>
              <w:widowControl/>
              <w:jc w:val="left"/>
              <w:rPr>
                <w:rFonts w:hint="eastAsia" w:ascii="宋体" w:hAnsi="宋体" w:eastAsia="宋体" w:cs="宋体"/>
                <w:sz w:val="21"/>
                <w:szCs w:val="21"/>
              </w:rPr>
            </w:pPr>
            <w:r>
              <w:rPr>
                <w:rFonts w:hint="eastAsia" w:ascii="宋体" w:hAnsi="宋体" w:eastAsia="宋体" w:cs="宋体"/>
                <w:sz w:val="21"/>
                <w:szCs w:val="21"/>
              </w:rPr>
              <w:t>1、投标人具有信息技术服务管理体系证书的得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widowControl/>
              <w:jc w:val="left"/>
              <w:rPr>
                <w:rFonts w:hint="eastAsia" w:ascii="宋体" w:hAnsi="宋体" w:eastAsia="宋体" w:cs="宋体"/>
                <w:sz w:val="21"/>
                <w:szCs w:val="21"/>
              </w:rPr>
            </w:pPr>
            <w:r>
              <w:rPr>
                <w:rFonts w:hint="eastAsia" w:ascii="宋体" w:hAnsi="宋体" w:eastAsia="宋体" w:cs="宋体"/>
                <w:sz w:val="21"/>
                <w:szCs w:val="21"/>
              </w:rPr>
              <w:t>2、投标人具有信息安全管理体系认证证书的得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pPr>
              <w:widowControl/>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、投标人具有</w:t>
            </w:r>
            <w:r>
              <w:rPr>
                <w:rFonts w:hint="eastAsia" w:ascii="宋体" w:hAnsi="宋体" w:eastAsia="宋体" w:cs="宋体"/>
                <w:sz w:val="21"/>
                <w:szCs w:val="21"/>
                <w:lang w:val="en-US" w:eastAsia="zh-CN"/>
              </w:rPr>
              <w:t>质量</w:t>
            </w:r>
            <w:r>
              <w:rPr>
                <w:rFonts w:hint="eastAsia" w:ascii="宋体" w:hAnsi="宋体" w:eastAsia="宋体" w:cs="宋体"/>
                <w:sz w:val="21"/>
                <w:szCs w:val="21"/>
              </w:rPr>
              <w:t>管理体系认证证书的得2分；</w:t>
            </w:r>
          </w:p>
          <w:p>
            <w:pPr>
              <w:widowControl/>
              <w:jc w:val="left"/>
              <w:rPr>
                <w:rFonts w:hint="eastAsia" w:ascii="宋体" w:hAnsi="宋体" w:eastAsia="宋体" w:cs="宋体"/>
                <w:sz w:val="21"/>
                <w:szCs w:val="21"/>
              </w:rPr>
            </w:pPr>
            <w:r>
              <w:rPr>
                <w:rFonts w:hint="eastAsia" w:ascii="宋体" w:hAnsi="宋体" w:eastAsia="宋体" w:cs="宋体"/>
                <w:sz w:val="21"/>
                <w:szCs w:val="21"/>
              </w:rPr>
              <w:t>注：提供有效期内的证书和国家相关认证认可平台查询系统内查询到相关证书信息的截图证明加盖投标人公章，否则不予认可。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915" w:type="dxa"/>
            <w:shd w:val="clear" w:color="auto" w:fill="auto"/>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经验及业绩</w:t>
            </w:r>
          </w:p>
        </w:tc>
        <w:tc>
          <w:tcPr>
            <w:tcW w:w="762"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7500" w:type="dxa"/>
            <w:shd w:val="clear" w:color="auto" w:fill="auto"/>
            <w:vAlign w:val="center"/>
          </w:tcPr>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lang w:bidi="ar"/>
              </w:rPr>
              <w:t>投标人自20</w:t>
            </w:r>
            <w:r>
              <w:rPr>
                <w:rFonts w:hint="eastAsia" w:ascii="宋体" w:hAnsi="宋体" w:eastAsia="宋体" w:cs="宋体"/>
                <w:color w:val="000000"/>
                <w:kern w:val="0"/>
                <w:sz w:val="21"/>
                <w:szCs w:val="21"/>
                <w:highlight w:val="none"/>
                <w:lang w:val="en-US" w:eastAsia="zh-CN" w:bidi="ar"/>
              </w:rPr>
              <w:t>22</w:t>
            </w:r>
            <w:r>
              <w:rPr>
                <w:rFonts w:hint="eastAsia" w:ascii="宋体" w:hAnsi="宋体" w:eastAsia="宋体" w:cs="宋体"/>
                <w:color w:val="000000"/>
                <w:kern w:val="0"/>
                <w:sz w:val="21"/>
                <w:szCs w:val="21"/>
                <w:highlight w:val="none"/>
                <w:lang w:bidi="ar"/>
              </w:rPr>
              <w:t>年1月1日起（以合同签订时间为准），每提供一个类似线路服务的业绩，得</w:t>
            </w: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分，满分</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915"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技术指标要求</w:t>
            </w:r>
          </w:p>
        </w:tc>
        <w:tc>
          <w:tcPr>
            <w:tcW w:w="762" w:type="dxa"/>
            <w:shd w:val="clear" w:color="auto" w:fill="auto"/>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0</w:t>
            </w:r>
          </w:p>
        </w:tc>
        <w:tc>
          <w:tcPr>
            <w:tcW w:w="7500" w:type="dxa"/>
            <w:shd w:val="clear" w:color="auto" w:fill="auto"/>
            <w:vAlign w:val="center"/>
          </w:tcPr>
          <w:p>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根据投标人提供的</w:t>
            </w:r>
            <w:r>
              <w:rPr>
                <w:rFonts w:hint="eastAsia" w:ascii="宋体" w:hAnsi="宋体" w:eastAsia="宋体" w:cs="宋体"/>
                <w:color w:val="000000"/>
                <w:kern w:val="0"/>
                <w:sz w:val="21"/>
                <w:szCs w:val="21"/>
                <w:highlight w:val="none"/>
                <w:lang w:val="en-US" w:eastAsia="zh-CN" w:bidi="ar"/>
              </w:rPr>
              <w:t>裸光纤</w:t>
            </w:r>
            <w:r>
              <w:rPr>
                <w:rFonts w:hint="eastAsia" w:ascii="宋体" w:hAnsi="宋体" w:eastAsia="宋体" w:cs="宋体"/>
                <w:sz w:val="21"/>
                <w:szCs w:val="21"/>
                <w:highlight w:val="none"/>
              </w:rPr>
              <w:t>基本功能和技术指标对招标要求的符合性、偏离情况由专家评审</w:t>
            </w:r>
            <w:r>
              <w:rPr>
                <w:rFonts w:hint="eastAsia" w:ascii="宋体" w:hAnsi="宋体" w:eastAsia="宋体" w:cs="宋体"/>
                <w:color w:val="000000"/>
                <w:kern w:val="0"/>
                <w:sz w:val="21"/>
                <w:szCs w:val="21"/>
                <w:highlight w:val="none"/>
                <w:lang w:bidi="ar"/>
              </w:rPr>
              <w:t>进行评分；每负偏离一项，扣</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分；扣完为止。</w:t>
            </w:r>
          </w:p>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如要求提供相关证明材料的，应按要求内容进行提供，否则按不满足或负偏离认定。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91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技术方案</w:t>
            </w:r>
          </w:p>
        </w:tc>
        <w:tc>
          <w:tcPr>
            <w:tcW w:w="762" w:type="dxa"/>
            <w:shd w:val="clear" w:color="auto" w:fill="auto"/>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c>
          <w:tcPr>
            <w:tcW w:w="7500" w:type="dxa"/>
            <w:shd w:val="clear" w:color="auto" w:fill="auto"/>
            <w:vAlign w:val="center"/>
          </w:tcPr>
          <w:p>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根据投标人提供的裸光纤技术方案，系统建设技术应用方案，由评标委员会进行评分：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优于采购需求的得10分；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完全满足采购需求的得7分；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基本满足采购需求的得3分；</w:t>
            </w:r>
          </w:p>
          <w:p>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rPr>
              <w:t>不满足采购需求的得0分。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91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光纤资源</w:t>
            </w:r>
          </w:p>
        </w:tc>
        <w:tc>
          <w:tcPr>
            <w:tcW w:w="762" w:type="dxa"/>
            <w:shd w:val="clear" w:color="auto" w:fill="auto"/>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c>
          <w:tcPr>
            <w:tcW w:w="7500" w:type="dxa"/>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w:t>
            </w:r>
            <w:r>
              <w:rPr>
                <w:rFonts w:hint="eastAsia" w:ascii="宋体" w:hAnsi="宋体" w:eastAsia="宋体" w:cs="宋体"/>
                <w:sz w:val="21"/>
                <w:szCs w:val="21"/>
                <w:highlight w:val="none"/>
              </w:rPr>
              <w:t>投标人现有裸光纤资源（提供现有裸光纤资源列表）满足项目建设需求情况，由评标委员会进行评分：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优于采购需求的得10分；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完全满足采购需求的得7分；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基本满足采购需求的得3分；</w:t>
            </w:r>
          </w:p>
          <w:p>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sz w:val="21"/>
                <w:szCs w:val="21"/>
                <w:highlight w:val="none"/>
              </w:rPr>
              <w:t>不满足采购需求的得0分。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915" w:type="dxa"/>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维护计划</w:t>
            </w:r>
          </w:p>
        </w:tc>
        <w:tc>
          <w:tcPr>
            <w:tcW w:w="762" w:type="dxa"/>
            <w:shd w:val="clear" w:color="auto" w:fill="auto"/>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c>
          <w:tcPr>
            <w:tcW w:w="7500" w:type="dxa"/>
            <w:shd w:val="clear" w:color="auto" w:fill="auto"/>
            <w:vAlign w:val="center"/>
          </w:tcPr>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根据投标人针对本</w:t>
            </w:r>
            <w:r>
              <w:rPr>
                <w:rFonts w:hint="eastAsia" w:ascii="宋体" w:hAnsi="宋体" w:eastAsia="宋体" w:cs="宋体"/>
                <w:sz w:val="21"/>
                <w:szCs w:val="21"/>
                <w:highlight w:val="none"/>
              </w:rPr>
              <w:t>项目维护计划的有效性等进行综合评分。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优于采购需求的得10分；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完全满足采购需求的得7分；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基本满足采购需求的得3分；</w:t>
            </w:r>
          </w:p>
          <w:p>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不满足采购需求的得0分。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7</w:t>
            </w:r>
          </w:p>
        </w:tc>
        <w:tc>
          <w:tcPr>
            <w:tcW w:w="915"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技术服务力量</w:t>
            </w:r>
          </w:p>
        </w:tc>
        <w:tc>
          <w:tcPr>
            <w:tcW w:w="762" w:type="dxa"/>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val="en-US" w:eastAsia="zh-CN" w:bidi="ar"/>
              </w:rPr>
              <w:t>1</w:t>
            </w:r>
          </w:p>
        </w:tc>
        <w:tc>
          <w:tcPr>
            <w:tcW w:w="7500" w:type="dxa"/>
            <w:shd w:val="clear" w:color="auto" w:fill="auto"/>
            <w:vAlign w:val="center"/>
          </w:tcPr>
          <w:p>
            <w:pPr>
              <w:widowControl/>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1、投标人拟派本项目的项目负责人（1名）持有高级信息系统项目管理师</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软考</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系统架构设计师（软考）</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通信工程师证书，</w:t>
            </w:r>
            <w:r>
              <w:rPr>
                <w:rFonts w:hint="eastAsia" w:ascii="宋体" w:hAnsi="宋体" w:eastAsia="宋体" w:cs="宋体"/>
                <w:color w:val="000000"/>
                <w:kern w:val="0"/>
                <w:sz w:val="21"/>
                <w:szCs w:val="21"/>
                <w:lang w:bidi="ar"/>
              </w:rPr>
              <w:t>每本得2分，最高得</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分；</w:t>
            </w:r>
          </w:p>
          <w:p>
            <w:pPr>
              <w:widowControl/>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2、投标人拟派本项目的技术负责人（1名）具有</w:t>
            </w:r>
            <w:r>
              <w:rPr>
                <w:rFonts w:hint="eastAsia" w:ascii="宋体" w:hAnsi="宋体" w:eastAsia="宋体" w:cs="宋体"/>
                <w:color w:val="000000"/>
                <w:kern w:val="0"/>
                <w:sz w:val="21"/>
                <w:szCs w:val="21"/>
                <w:lang w:val="en-US" w:eastAsia="zh-CN" w:bidi="ar"/>
              </w:rPr>
              <w:t>网络规划设计师（软考）</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系统集成项目管理工程师证书（软考），通信工程师证书，</w:t>
            </w:r>
            <w:r>
              <w:rPr>
                <w:rFonts w:hint="eastAsia" w:ascii="宋体" w:hAnsi="宋体" w:eastAsia="宋体" w:cs="宋体"/>
                <w:color w:val="000000"/>
                <w:kern w:val="0"/>
                <w:sz w:val="21"/>
                <w:szCs w:val="21"/>
                <w:lang w:bidi="ar"/>
              </w:rPr>
              <w:t>每本得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最高2分；</w:t>
            </w:r>
          </w:p>
          <w:p>
            <w:pPr>
              <w:widowControl/>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、投标人拟派本项目的安全负责人（1名）具有高级信息系统项目管理师</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val="en-US" w:eastAsia="zh-CN" w:bidi="ar"/>
              </w:rPr>
              <w:t>软考</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信息安全工程师、</w:t>
            </w:r>
            <w:r>
              <w:rPr>
                <w:rFonts w:hint="eastAsia" w:ascii="宋体" w:hAnsi="宋体" w:eastAsia="宋体" w:cs="宋体"/>
                <w:color w:val="000000"/>
                <w:kern w:val="0"/>
                <w:sz w:val="21"/>
                <w:szCs w:val="21"/>
                <w:lang w:val="en-US" w:eastAsia="zh-CN" w:bidi="ar"/>
              </w:rPr>
              <w:t>高级</w:t>
            </w:r>
            <w:r>
              <w:rPr>
                <w:rFonts w:hint="eastAsia" w:ascii="宋体" w:hAnsi="宋体" w:eastAsia="宋体" w:cs="宋体"/>
                <w:color w:val="000000"/>
                <w:kern w:val="0"/>
                <w:sz w:val="21"/>
                <w:szCs w:val="21"/>
                <w:lang w:bidi="ar"/>
              </w:rPr>
              <w:t>工程师</w:t>
            </w:r>
            <w:r>
              <w:rPr>
                <w:rFonts w:hint="eastAsia" w:ascii="宋体" w:hAnsi="宋体" w:eastAsia="宋体" w:cs="宋体"/>
                <w:color w:val="000000"/>
                <w:kern w:val="0"/>
                <w:sz w:val="21"/>
                <w:szCs w:val="21"/>
                <w:lang w:val="en-US" w:eastAsia="zh-CN" w:bidi="ar"/>
              </w:rPr>
              <w:t>职称证书</w:t>
            </w:r>
            <w:r>
              <w:rPr>
                <w:rFonts w:hint="eastAsia" w:ascii="宋体" w:hAnsi="宋体" w:eastAsia="宋体" w:cs="宋体"/>
                <w:color w:val="000000"/>
                <w:kern w:val="0"/>
                <w:sz w:val="21"/>
                <w:szCs w:val="21"/>
                <w:lang w:bidi="ar"/>
              </w:rPr>
              <w:t>（信息安全</w:t>
            </w:r>
            <w:r>
              <w:rPr>
                <w:rFonts w:hint="eastAsia" w:ascii="宋体" w:hAnsi="宋体" w:eastAsia="宋体" w:cs="宋体"/>
                <w:color w:val="000000"/>
                <w:kern w:val="0"/>
                <w:sz w:val="21"/>
                <w:szCs w:val="21"/>
                <w:lang w:val="en-US" w:eastAsia="zh-CN" w:bidi="ar"/>
              </w:rPr>
              <w:t>方向</w:t>
            </w:r>
            <w:r>
              <w:rPr>
                <w:rFonts w:hint="eastAsia" w:ascii="宋体" w:hAnsi="宋体" w:eastAsia="宋体" w:cs="宋体"/>
                <w:color w:val="000000"/>
                <w:kern w:val="0"/>
                <w:sz w:val="21"/>
                <w:szCs w:val="21"/>
                <w:lang w:bidi="ar"/>
              </w:rPr>
              <w:t>），每本得1分，最高得</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分；</w:t>
            </w:r>
          </w:p>
          <w:p>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、项目组团队人员（除项目负责人、</w:t>
            </w:r>
            <w:r>
              <w:rPr>
                <w:rFonts w:hint="eastAsia" w:ascii="宋体" w:hAnsi="宋体" w:eastAsia="宋体" w:cs="宋体"/>
                <w:color w:val="000000"/>
                <w:kern w:val="0"/>
                <w:sz w:val="21"/>
                <w:szCs w:val="21"/>
                <w:highlight w:val="none"/>
                <w:lang w:val="en-US" w:eastAsia="zh-CN" w:bidi="ar"/>
              </w:rPr>
              <w:t>技术负责人、</w:t>
            </w:r>
            <w:r>
              <w:rPr>
                <w:rFonts w:hint="eastAsia" w:ascii="宋体" w:hAnsi="宋体" w:eastAsia="宋体" w:cs="宋体"/>
                <w:color w:val="000000"/>
                <w:kern w:val="0"/>
                <w:sz w:val="21"/>
                <w:szCs w:val="21"/>
                <w:highlight w:val="none"/>
                <w:lang w:bidi="ar"/>
              </w:rPr>
              <w:t>安全负责人外）拥有</w:t>
            </w:r>
            <w:r>
              <w:rPr>
                <w:rFonts w:hint="eastAsia" w:ascii="宋体" w:hAnsi="宋体" w:eastAsia="宋体" w:cs="宋体"/>
                <w:color w:val="000000"/>
                <w:kern w:val="0"/>
                <w:sz w:val="21"/>
                <w:szCs w:val="21"/>
                <w:highlight w:val="none"/>
                <w:lang w:eastAsia="zh-CN" w:bidi="ar"/>
              </w:rPr>
              <w:t>中</w:t>
            </w:r>
            <w:r>
              <w:rPr>
                <w:rFonts w:hint="eastAsia" w:ascii="宋体" w:hAnsi="宋体" w:eastAsia="宋体" w:cs="宋体"/>
                <w:color w:val="000000"/>
                <w:kern w:val="0"/>
                <w:sz w:val="21"/>
                <w:szCs w:val="21"/>
                <w:highlight w:val="none"/>
                <w:lang w:bidi="ar"/>
              </w:rPr>
              <w:t>级</w:t>
            </w:r>
            <w:r>
              <w:rPr>
                <w:rFonts w:hint="eastAsia" w:ascii="宋体" w:hAnsi="宋体" w:eastAsia="宋体" w:cs="宋体"/>
                <w:color w:val="000000"/>
                <w:kern w:val="0"/>
                <w:sz w:val="21"/>
                <w:szCs w:val="21"/>
                <w:highlight w:val="none"/>
                <w:lang w:eastAsia="zh-CN" w:bidi="ar"/>
              </w:rPr>
              <w:t>及以上工程师</w:t>
            </w:r>
            <w:r>
              <w:rPr>
                <w:rFonts w:hint="eastAsia" w:ascii="宋体" w:hAnsi="宋体" w:eastAsia="宋体" w:cs="宋体"/>
                <w:color w:val="000000"/>
                <w:kern w:val="0"/>
                <w:sz w:val="21"/>
                <w:szCs w:val="21"/>
                <w:highlight w:val="none"/>
                <w:lang w:val="en-US" w:eastAsia="zh-CN" w:bidi="ar"/>
              </w:rPr>
              <w:t>证书</w:t>
            </w:r>
            <w:r>
              <w:rPr>
                <w:rFonts w:hint="eastAsia" w:ascii="宋体" w:hAnsi="宋体" w:eastAsia="宋体" w:cs="宋体"/>
                <w:color w:val="000000"/>
                <w:kern w:val="0"/>
                <w:sz w:val="21"/>
                <w:szCs w:val="21"/>
                <w:highlight w:val="none"/>
                <w:lang w:bidi="ar"/>
              </w:rPr>
              <w:t>，每本证书得1分，最高得</w:t>
            </w:r>
            <w:r>
              <w:rPr>
                <w:rFonts w:hint="eastAsia" w:ascii="宋体" w:hAnsi="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分。</w:t>
            </w:r>
          </w:p>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b/>
                <w:bCs/>
                <w:color w:val="000000"/>
                <w:kern w:val="0"/>
                <w:sz w:val="21"/>
                <w:szCs w:val="21"/>
                <w:highlight w:val="none"/>
                <w:lang w:bidi="ar"/>
              </w:rPr>
              <w:t>（①以上项目人员需提供完整有效的证书扫描件并加盖公章；②提供以上人员在投标截止时间前</w:t>
            </w:r>
            <w:r>
              <w:rPr>
                <w:rFonts w:hint="eastAsia" w:ascii="宋体" w:hAnsi="宋体" w:eastAsia="宋体" w:cs="宋体"/>
                <w:b/>
                <w:bCs/>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bidi="ar"/>
              </w:rPr>
              <w:t>个月</w:t>
            </w:r>
            <w:r>
              <w:rPr>
                <w:rFonts w:hint="eastAsia" w:ascii="宋体" w:hAnsi="宋体" w:eastAsia="宋体" w:cs="宋体"/>
                <w:b/>
                <w:bCs/>
                <w:color w:val="000000"/>
                <w:kern w:val="0"/>
                <w:sz w:val="21"/>
                <w:szCs w:val="21"/>
                <w:highlight w:val="none"/>
                <w:lang w:val="en-US" w:eastAsia="zh-CN" w:bidi="ar"/>
              </w:rPr>
              <w:t>内</w:t>
            </w:r>
            <w:r>
              <w:rPr>
                <w:rFonts w:hint="eastAsia" w:ascii="宋体" w:hAnsi="宋体" w:eastAsia="宋体" w:cs="宋体"/>
                <w:b/>
                <w:bCs/>
                <w:color w:val="000000"/>
                <w:kern w:val="0"/>
                <w:sz w:val="21"/>
                <w:szCs w:val="21"/>
                <w:highlight w:val="none"/>
                <w:lang w:bidi="ar"/>
              </w:rPr>
              <w:t>的社保证明，社保缴纳单位应与投标供应商名称一致，否则不得分</w:t>
            </w:r>
            <w:bookmarkStart w:id="5" w:name="_GoBack"/>
            <w:bookmarkEnd w:id="5"/>
            <w:r>
              <w:rPr>
                <w:rFonts w:hint="eastAsia" w:ascii="宋体" w:hAnsi="宋体" w:eastAsia="宋体" w:cs="宋体"/>
                <w:b/>
                <w:bCs/>
                <w:color w:val="000000"/>
                <w:kern w:val="0"/>
                <w:sz w:val="21"/>
                <w:szCs w:val="21"/>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65" w:type="dxa"/>
            <w:shd w:val="clear" w:color="auto" w:fill="auto"/>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8</w:t>
            </w:r>
          </w:p>
        </w:tc>
        <w:tc>
          <w:tcPr>
            <w:tcW w:w="915" w:type="dxa"/>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售后服务</w:t>
            </w:r>
          </w:p>
        </w:tc>
        <w:tc>
          <w:tcPr>
            <w:tcW w:w="762" w:type="dxa"/>
            <w:shd w:val="clear" w:color="auto" w:fill="auto"/>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10</w:t>
            </w:r>
          </w:p>
        </w:tc>
        <w:tc>
          <w:tcPr>
            <w:tcW w:w="7500" w:type="dxa"/>
            <w:shd w:val="clear" w:color="auto" w:fill="auto"/>
            <w:vAlign w:val="center"/>
          </w:tcPr>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根据投标供应商提供的售后服务承诺的范围和完善程度1）阐述合理、全面，可行性强的</w:t>
            </w:r>
            <w:r>
              <w:rPr>
                <w:rFonts w:hint="eastAsia" w:ascii="宋体" w:hAnsi="宋体" w:eastAsia="宋体" w:cs="宋体"/>
                <w:color w:val="000000"/>
                <w:kern w:val="0"/>
                <w:sz w:val="21"/>
                <w:szCs w:val="21"/>
                <w:lang w:val="en-US" w:eastAsia="zh-CN" w:bidi="ar"/>
              </w:rPr>
              <w:t>10</w:t>
            </w:r>
            <w:r>
              <w:rPr>
                <w:rFonts w:hint="eastAsia" w:ascii="宋体" w:hAnsi="宋体" w:eastAsia="宋体" w:cs="宋体"/>
                <w:color w:val="000000"/>
                <w:kern w:val="0"/>
                <w:sz w:val="21"/>
                <w:szCs w:val="21"/>
                <w:lang w:bidi="ar"/>
              </w:rPr>
              <w:t>分；</w:t>
            </w:r>
          </w:p>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2）阐述较合理、全面，可行性较强的</w:t>
            </w:r>
            <w:r>
              <w:rPr>
                <w:rFonts w:hint="eastAsia" w:ascii="宋体" w:hAnsi="宋体" w:eastAsia="宋体" w:cs="宋体"/>
                <w:color w:val="000000"/>
                <w:kern w:val="0"/>
                <w:sz w:val="21"/>
                <w:szCs w:val="21"/>
                <w:lang w:val="en-US" w:eastAsia="zh-CN" w:bidi="ar"/>
              </w:rPr>
              <w:t>7</w:t>
            </w:r>
            <w:r>
              <w:rPr>
                <w:rFonts w:hint="eastAsia" w:ascii="宋体" w:hAnsi="宋体" w:eastAsia="宋体" w:cs="宋体"/>
                <w:color w:val="000000"/>
                <w:kern w:val="0"/>
                <w:sz w:val="21"/>
                <w:szCs w:val="21"/>
                <w:lang w:bidi="ar"/>
              </w:rPr>
              <w:t>分；</w:t>
            </w:r>
          </w:p>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3）阐述基本合理、全面，可行性一般的</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分；</w:t>
            </w:r>
          </w:p>
          <w:p>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4）阐述欠合理或者存在缺陷，可行性差的1分。</w:t>
            </w:r>
          </w:p>
          <w:p>
            <w:pPr>
              <w:widowControl/>
              <w:jc w:val="left"/>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5）未体现相关内容得0分</w:t>
            </w:r>
          </w:p>
        </w:tc>
      </w:tr>
    </w:tbl>
    <w:p>
      <w:pPr>
        <w:rPr>
          <w:rFonts w:hint="eastAsia" w:ascii="宋体" w:hAnsi="宋体" w:eastAsia="宋体" w:cs="宋体"/>
          <w:b/>
          <w:sz w:val="21"/>
          <w:szCs w:val="21"/>
          <w:lang w:val="en-US" w:eastAsia="zh-CN"/>
        </w:rPr>
      </w:pPr>
    </w:p>
    <w:p>
      <w:pPr>
        <w:pStyle w:val="6"/>
        <w:ind w:firstLine="0"/>
        <w:rPr>
          <w:rFonts w:hint="eastAsia" w:ascii="宋体" w:hAnsi="宋体" w:eastAsia="宋体" w:cs="宋体"/>
          <w:b/>
          <w:bCs/>
          <w:sz w:val="22"/>
          <w:szCs w:val="22"/>
          <w:lang w:eastAsia="zh-CN"/>
        </w:rPr>
      </w:pPr>
    </w:p>
    <w:p>
      <w:pPr>
        <w:rPr>
          <w:rFonts w:hint="eastAsia"/>
          <w:lang w:eastAsia="zh-CN"/>
        </w:rPr>
      </w:pPr>
    </w:p>
    <w:p>
      <w:pPr>
        <w:numPr>
          <w:ilvl w:val="0"/>
          <w:numId w:val="1"/>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3" w:name="_Toc11964"/>
      <w:bookmarkStart w:id="4" w:name="_Toc8618"/>
      <w:r>
        <w:rPr>
          <w:rFonts w:hint="eastAsia" w:ascii="宋体" w:hAnsi="宋体" w:cs="宋体"/>
          <w:b/>
          <w:sz w:val="28"/>
          <w:szCs w:val="28"/>
          <w:lang w:val="zh-CN"/>
        </w:rPr>
        <w:t>报价一览表</w:t>
      </w:r>
      <w:bookmarkEnd w:id="3"/>
      <w:bookmarkEnd w:id="4"/>
    </w:p>
    <w:p>
      <w:pPr>
        <w:spacing w:line="360" w:lineRule="auto"/>
        <w:rPr>
          <w:rFonts w:hint="eastAsia" w:ascii="宋体" w:hAnsi="宋体" w:cs="宋体"/>
          <w:sz w:val="22"/>
          <w:szCs w:val="18"/>
        </w:rPr>
      </w:pPr>
      <w:r>
        <w:rPr>
          <w:rFonts w:hint="eastAsia" w:ascii="宋体" w:hAnsi="宋体" w:cs="宋体"/>
          <w:sz w:val="24"/>
        </w:rPr>
        <w:t xml:space="preserve"> </w:t>
      </w:r>
      <w:r>
        <w:rPr>
          <w:rFonts w:hint="eastAsia" w:ascii="宋体" w:hAnsi="宋体" w:cs="宋体"/>
          <w:sz w:val="22"/>
          <w:szCs w:val="18"/>
        </w:rPr>
        <w:t xml:space="preserve">                            </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998"/>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77"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998"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077"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998" w:type="dxa"/>
            <w:vMerge w:val="restart"/>
            <w:vAlign w:val="center"/>
          </w:tcPr>
          <w:p>
            <w:pPr>
              <w:spacing w:line="380" w:lineRule="exact"/>
              <w:jc w:val="center"/>
              <w:rPr>
                <w:rFonts w:hint="default" w:ascii="宋体" w:hAnsi="宋体" w:eastAsia="宋体" w:cs="宋体"/>
                <w:sz w:val="22"/>
                <w:lang w:val="en-US" w:eastAsia="zh-CN"/>
              </w:rPr>
            </w:pPr>
            <w:r>
              <w:rPr>
                <w:rFonts w:hint="eastAsia" w:ascii="宋体" w:hAnsi="宋体" w:cs="宋体"/>
                <w:sz w:val="22"/>
              </w:rPr>
              <w:t>温州市中医院</w:t>
            </w:r>
            <w:r>
              <w:rPr>
                <w:rFonts w:hint="eastAsia" w:ascii="宋体" w:hAnsi="宋体" w:cs="宋体"/>
                <w:sz w:val="22"/>
                <w:lang w:val="en-US" w:eastAsia="zh-CN"/>
              </w:rPr>
              <w:t>水心院区光纤链路租赁</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77" w:type="dxa"/>
            <w:vMerge w:val="continue"/>
            <w:vAlign w:val="center"/>
          </w:tcPr>
          <w:p>
            <w:pPr>
              <w:spacing w:line="380" w:lineRule="exact"/>
              <w:jc w:val="center"/>
              <w:rPr>
                <w:rFonts w:hint="eastAsia" w:ascii="宋体" w:hAnsi="宋体" w:cs="宋体"/>
                <w:sz w:val="22"/>
              </w:rPr>
            </w:pPr>
          </w:p>
        </w:tc>
        <w:tc>
          <w:tcPr>
            <w:tcW w:w="3998"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pPr>
      <w:r>
        <w:rPr>
          <w:rFonts w:hint="eastAsia" w:ascii="宋体" w:hAnsi="宋体" w:cs="宋体"/>
          <w:sz w:val="22"/>
          <w:szCs w:val="22"/>
        </w:rPr>
        <w:t xml:space="preserve">   日  期：  </w:t>
      </w:r>
    </w:p>
    <w:p/>
    <w:p>
      <w:pPr>
        <w:numPr>
          <w:ilvl w:val="0"/>
          <w:numId w:val="2"/>
        </w:numPr>
        <w:spacing w:line="400" w:lineRule="exact"/>
        <w:jc w:val="center"/>
        <w:outlineLvl w:val="3"/>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分项报价表</w:t>
      </w:r>
    </w:p>
    <w:p>
      <w:pPr>
        <w:pStyle w:val="18"/>
        <w:rPr>
          <w:rFonts w:hint="eastAsia"/>
          <w:lang w:val="zh-CN"/>
        </w:rPr>
      </w:pPr>
    </w:p>
    <w:tbl>
      <w:tblPr>
        <w:tblStyle w:val="1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640"/>
        <w:gridCol w:w="1833"/>
        <w:gridCol w:w="1785"/>
        <w:gridCol w:w="2099"/>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 w:type="pct"/>
            <w:shd w:val="clear" w:color="auto" w:fill="auto"/>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851" w:type="pct"/>
            <w:shd w:val="clear" w:color="auto" w:fill="auto"/>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内容</w:t>
            </w:r>
          </w:p>
        </w:tc>
        <w:tc>
          <w:tcPr>
            <w:tcW w:w="951" w:type="pct"/>
            <w:shd w:val="clear" w:color="auto" w:fill="auto"/>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主要功能</w:t>
            </w:r>
          </w:p>
        </w:tc>
        <w:tc>
          <w:tcPr>
            <w:tcW w:w="926" w:type="pct"/>
            <w:shd w:val="clear" w:color="auto" w:fill="auto"/>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数量</w:t>
            </w:r>
          </w:p>
        </w:tc>
        <w:tc>
          <w:tcPr>
            <w:tcW w:w="1089" w:type="pct"/>
            <w:shd w:val="clear" w:color="auto" w:fill="auto"/>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单价（元）</w:t>
            </w:r>
          </w:p>
        </w:tc>
        <w:tc>
          <w:tcPr>
            <w:tcW w:w="724" w:type="pct"/>
            <w:shd w:val="clear" w:color="auto" w:fill="auto"/>
            <w:vAlign w:val="center"/>
          </w:tcPr>
          <w:p>
            <w:pPr>
              <w:spacing w:line="240" w:lineRule="auto"/>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6" w:type="pct"/>
            <w:shd w:val="clear" w:color="auto" w:fill="auto"/>
            <w:vAlign w:val="center"/>
          </w:tcPr>
          <w:p>
            <w:pPr>
              <w:numPr>
                <w:ilvl w:val="0"/>
                <w:numId w:val="0"/>
              </w:num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链路1</w:t>
            </w:r>
          </w:p>
        </w:tc>
        <w:tc>
          <w:tcPr>
            <w:tcW w:w="951" w:type="pct"/>
            <w:vMerge w:val="restar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存储互联</w:t>
            </w: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链路2</w:t>
            </w:r>
          </w:p>
        </w:tc>
        <w:tc>
          <w:tcPr>
            <w:tcW w:w="951" w:type="pct"/>
            <w:vMerge w:val="continue"/>
            <w:shd w:val="clear" w:color="auto" w:fill="auto"/>
            <w:vAlign w:val="center"/>
          </w:tcPr>
          <w:p>
            <w:pPr>
              <w:spacing w:line="240" w:lineRule="auto"/>
              <w:jc w:val="center"/>
              <w:rPr>
                <w:rFonts w:hint="eastAsia" w:ascii="宋体" w:hAnsi="宋体" w:eastAsia="宋体" w:cs="宋体"/>
                <w:color w:val="000000"/>
                <w:sz w:val="22"/>
                <w:szCs w:val="22"/>
                <w:lang w:val="en-US" w:eastAsia="zh-CN"/>
              </w:rPr>
            </w:pP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链路3</w:t>
            </w:r>
          </w:p>
        </w:tc>
        <w:tc>
          <w:tcPr>
            <w:tcW w:w="951" w:type="pct"/>
            <w:vMerge w:val="restart"/>
            <w:shd w:val="clear" w:color="auto" w:fill="auto"/>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核心互联</w:t>
            </w: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2"/>
                <w:szCs w:val="22"/>
              </w:rPr>
            </w:pPr>
            <w:r>
              <w:rPr>
                <w:rFonts w:hint="eastAsia" w:ascii="宋体" w:hAnsi="宋体" w:eastAsia="宋体" w:cs="宋体"/>
                <w:kern w:val="2"/>
                <w:sz w:val="22"/>
                <w:szCs w:val="22"/>
                <w:lang w:val="en-US" w:eastAsia="zh-CN" w:bidi="ar-SA"/>
              </w:rPr>
              <w:t>4</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链路4</w:t>
            </w:r>
          </w:p>
        </w:tc>
        <w:tc>
          <w:tcPr>
            <w:tcW w:w="951" w:type="pct"/>
            <w:vMerge w:val="continue"/>
            <w:shd w:val="clear" w:color="auto" w:fill="auto"/>
            <w:vAlign w:val="center"/>
          </w:tcPr>
          <w:p>
            <w:pPr>
              <w:spacing w:line="240" w:lineRule="auto"/>
              <w:jc w:val="center"/>
              <w:rPr>
                <w:rFonts w:hint="eastAsia" w:ascii="宋体" w:hAnsi="宋体" w:eastAsia="宋体" w:cs="宋体"/>
                <w:color w:val="000000"/>
                <w:sz w:val="22"/>
                <w:szCs w:val="22"/>
                <w:lang w:val="en-US" w:eastAsia="zh-CN"/>
              </w:rPr>
            </w:pP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2"/>
                <w:szCs w:val="22"/>
              </w:rPr>
            </w:pPr>
            <w:r>
              <w:rPr>
                <w:rFonts w:hint="eastAsia" w:ascii="宋体" w:hAnsi="宋体" w:eastAsia="宋体" w:cs="宋体"/>
                <w:kern w:val="2"/>
                <w:sz w:val="22"/>
                <w:szCs w:val="22"/>
                <w:lang w:val="en-US" w:eastAsia="zh-CN" w:bidi="ar-SA"/>
              </w:rPr>
              <w:t>5</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链路5</w:t>
            </w:r>
          </w:p>
        </w:tc>
        <w:tc>
          <w:tcPr>
            <w:tcW w:w="951" w:type="pct"/>
            <w:vMerge w:val="restart"/>
            <w:shd w:val="clear" w:color="auto" w:fill="auto"/>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服务器互联</w:t>
            </w: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链路6</w:t>
            </w:r>
          </w:p>
        </w:tc>
        <w:tc>
          <w:tcPr>
            <w:tcW w:w="951" w:type="pct"/>
            <w:vMerge w:val="continue"/>
            <w:shd w:val="clear" w:color="auto" w:fill="auto"/>
            <w:vAlign w:val="center"/>
          </w:tcPr>
          <w:p>
            <w:pPr>
              <w:spacing w:line="240" w:lineRule="auto"/>
              <w:jc w:val="center"/>
              <w:rPr>
                <w:rFonts w:hint="eastAsia" w:ascii="宋体" w:hAnsi="宋体" w:eastAsia="宋体" w:cs="宋体"/>
                <w:color w:val="000000"/>
                <w:sz w:val="22"/>
                <w:szCs w:val="22"/>
                <w:lang w:val="en-US" w:eastAsia="zh-CN"/>
              </w:rPr>
            </w:pP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链路7</w:t>
            </w:r>
          </w:p>
        </w:tc>
        <w:tc>
          <w:tcPr>
            <w:tcW w:w="951" w:type="pct"/>
            <w:shd w:val="clear" w:color="auto" w:fill="auto"/>
            <w:vAlign w:val="center"/>
          </w:tcPr>
          <w:p>
            <w:pPr>
              <w:spacing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院区互联</w:t>
            </w:r>
          </w:p>
        </w:tc>
        <w:tc>
          <w:tcPr>
            <w:tcW w:w="926" w:type="pct"/>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1条</w:t>
            </w:r>
          </w:p>
        </w:tc>
        <w:tc>
          <w:tcPr>
            <w:tcW w:w="1089" w:type="pct"/>
            <w:shd w:val="clear" w:color="auto" w:fill="auto"/>
            <w:vAlign w:val="center"/>
          </w:tcPr>
          <w:p>
            <w:pPr>
              <w:spacing w:line="240" w:lineRule="auto"/>
              <w:jc w:val="center"/>
              <w:rPr>
                <w:rFonts w:hint="eastAsia" w:ascii="宋体" w:hAnsi="宋体" w:eastAsia="宋体" w:cs="宋体"/>
                <w:sz w:val="22"/>
                <w:szCs w:val="22"/>
                <w:lang w:val="en-US" w:eastAsia="zh-CN"/>
              </w:rPr>
            </w:pPr>
          </w:p>
        </w:tc>
        <w:tc>
          <w:tcPr>
            <w:tcW w:w="724" w:type="pct"/>
            <w:shd w:val="clear" w:color="auto" w:fill="auto"/>
            <w:vAlign w:val="center"/>
          </w:tcPr>
          <w:p>
            <w:pPr>
              <w:spacing w:line="240" w:lineRule="auto"/>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851"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税金</w:t>
            </w:r>
          </w:p>
        </w:tc>
        <w:tc>
          <w:tcPr>
            <w:tcW w:w="3692" w:type="pct"/>
            <w:gridSpan w:val="4"/>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851" w:type="pct"/>
            <w:shd w:val="clear" w:color="auto" w:fill="auto"/>
            <w:vAlign w:val="center"/>
          </w:tcPr>
          <w:p>
            <w:pPr>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其他</w:t>
            </w:r>
          </w:p>
        </w:tc>
        <w:tc>
          <w:tcPr>
            <w:tcW w:w="3692" w:type="pct"/>
            <w:gridSpan w:val="4"/>
            <w:shd w:val="clear" w:color="auto" w:fill="auto"/>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7" w:type="pct"/>
            <w:gridSpan w:val="2"/>
            <w:shd w:val="clear" w:color="auto" w:fill="auto"/>
            <w:vAlign w:val="center"/>
          </w:tcPr>
          <w:p>
            <w:pP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    计   价</w:t>
            </w:r>
          </w:p>
        </w:tc>
        <w:tc>
          <w:tcPr>
            <w:tcW w:w="3692" w:type="pct"/>
            <w:gridSpan w:val="4"/>
            <w:shd w:val="clear" w:color="auto" w:fill="auto"/>
            <w:vAlign w:val="center"/>
          </w:tcPr>
          <w:p>
            <w:pPr>
              <w:spacing w:line="240" w:lineRule="auto"/>
              <w:jc w:val="center"/>
              <w:rPr>
                <w:rFonts w:hint="eastAsia" w:ascii="宋体" w:hAnsi="宋体" w:eastAsia="宋体" w:cs="宋体"/>
                <w:color w:val="auto"/>
                <w:sz w:val="22"/>
                <w:szCs w:val="22"/>
                <w:highlight w:val="none"/>
                <w:lang w:val="en-US" w:eastAsia="zh-CN"/>
              </w:rPr>
            </w:pPr>
          </w:p>
        </w:tc>
      </w:tr>
    </w:tbl>
    <w:p>
      <w:pPr>
        <w:pStyle w:val="23"/>
        <w:numPr>
          <w:ilvl w:val="0"/>
          <w:numId w:val="0"/>
        </w:numPr>
        <w:rPr>
          <w:rFonts w:hint="eastAsia"/>
          <w:lang w:val="zh-CN"/>
        </w:rPr>
      </w:pPr>
    </w:p>
    <w:p>
      <w:pPr>
        <w:spacing w:line="360" w:lineRule="auto"/>
        <w:rPr>
          <w:rFonts w:ascii="宋体" w:hAnsi="宋体" w:cs="宋体"/>
          <w:color w:val="auto"/>
          <w:sz w:val="22"/>
          <w:szCs w:val="22"/>
          <w:highlight w:val="none"/>
        </w:rPr>
      </w:pPr>
    </w:p>
    <w:p>
      <w:pPr>
        <w:spacing w:line="380" w:lineRule="exact"/>
        <w:rPr>
          <w:rFonts w:ascii="宋体" w:hAnsi="宋体" w:cs="宋体"/>
          <w:b/>
          <w:color w:val="auto"/>
          <w:sz w:val="22"/>
          <w:szCs w:val="22"/>
          <w:highlight w:val="none"/>
        </w:rPr>
      </w:pPr>
    </w:p>
    <w:p>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w:t>
      </w:r>
      <w:r>
        <w:rPr>
          <w:rFonts w:hint="eastAsia" w:ascii="宋体" w:hAnsi="宋体" w:cs="宋体"/>
          <w:b/>
          <w:bCs/>
          <w:color w:val="auto"/>
          <w:sz w:val="22"/>
          <w:szCs w:val="22"/>
          <w:highlight w:val="none"/>
        </w:rPr>
        <w:t>报价一览表”中报价相一致。</w:t>
      </w:r>
    </w:p>
    <w:p>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pPr>
        <w:spacing w:line="380" w:lineRule="exact"/>
        <w:ind w:firstLine="720"/>
        <w:rPr>
          <w:rFonts w:ascii="宋体" w:hAnsi="宋体" w:cs="宋体"/>
          <w:color w:val="auto"/>
          <w:sz w:val="22"/>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pPr>
        <w:spacing w:line="360" w:lineRule="auto"/>
        <w:jc w:val="left"/>
        <w:rPr>
          <w:rFonts w:hint="eastAsia" w:ascii="宋体" w:hAnsi="宋体" w:cs="宋体"/>
          <w:color w:val="auto"/>
          <w:sz w:val="22"/>
          <w:szCs w:val="22"/>
          <w:highlight w:val="none"/>
        </w:rPr>
      </w:pPr>
    </w:p>
    <w:p>
      <w:pPr>
        <w:spacing w:line="360" w:lineRule="auto"/>
        <w:jc w:val="left"/>
        <w:rPr>
          <w:rFonts w:hint="eastAsia" w:ascii="宋体" w:hAnsi="宋体" w:cs="宋体"/>
          <w:color w:val="auto"/>
          <w:sz w:val="22"/>
          <w:szCs w:val="22"/>
          <w:highlight w:val="none"/>
        </w:rPr>
      </w:pPr>
    </w:p>
    <w:p>
      <w:pPr>
        <w:pStyle w:val="23"/>
        <w:rPr>
          <w:rFonts w:hint="eastAsia" w:ascii="宋体" w:hAnsi="宋体" w:cs="宋体"/>
          <w:color w:val="auto"/>
          <w:sz w:val="22"/>
          <w:szCs w:val="22"/>
          <w:highlight w:val="none"/>
        </w:rPr>
      </w:pPr>
    </w:p>
    <w:p>
      <w:pPr>
        <w:pStyle w:val="8"/>
        <w:rPr>
          <w:rFonts w:hint="eastAsia"/>
        </w:rPr>
      </w:pPr>
    </w:p>
    <w:p>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pPr>
        <w:spacing w:line="360" w:lineRule="auto"/>
        <w:jc w:val="left"/>
        <w:rPr>
          <w:rFonts w:hint="eastAsia"/>
          <w:color w:val="auto"/>
        </w:rPr>
      </w:pPr>
      <w:r>
        <w:rPr>
          <w:rFonts w:hint="eastAsia" w:ascii="宋体" w:hAnsi="宋体" w:cs="宋体"/>
          <w:color w:val="auto"/>
          <w:sz w:val="22"/>
          <w:szCs w:val="22"/>
          <w:highlight w:val="none"/>
        </w:rPr>
        <w:t>日    期：</w:t>
      </w:r>
    </w:p>
    <w:p>
      <w:pPr>
        <w:pStyle w:val="18"/>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26575"/>
    <w:multiLevelType w:val="singleLevel"/>
    <w:tmpl w:val="85626575"/>
    <w:lvl w:ilvl="0" w:tentative="0">
      <w:start w:val="2"/>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4B3293D"/>
    <w:rsid w:val="09572537"/>
    <w:rsid w:val="0A2930B0"/>
    <w:rsid w:val="0B57681E"/>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DA52879"/>
    <w:rsid w:val="2EE23DA1"/>
    <w:rsid w:val="2F251DD2"/>
    <w:rsid w:val="304676BA"/>
    <w:rsid w:val="32EC217B"/>
    <w:rsid w:val="33F15215"/>
    <w:rsid w:val="364762A9"/>
    <w:rsid w:val="37792A93"/>
    <w:rsid w:val="38620F4A"/>
    <w:rsid w:val="39072D82"/>
    <w:rsid w:val="391D4A58"/>
    <w:rsid w:val="39873EC3"/>
    <w:rsid w:val="3AA307AA"/>
    <w:rsid w:val="3D4A148F"/>
    <w:rsid w:val="3D696B9D"/>
    <w:rsid w:val="3E3C64D5"/>
    <w:rsid w:val="3EBF27E8"/>
    <w:rsid w:val="442D7AA8"/>
    <w:rsid w:val="453B7E5D"/>
    <w:rsid w:val="47530AB5"/>
    <w:rsid w:val="48B24308"/>
    <w:rsid w:val="48C177AA"/>
    <w:rsid w:val="4BB26B7D"/>
    <w:rsid w:val="4E08517B"/>
    <w:rsid w:val="50250266"/>
    <w:rsid w:val="51FD48CA"/>
    <w:rsid w:val="53303AC0"/>
    <w:rsid w:val="56AC1DB5"/>
    <w:rsid w:val="57A36574"/>
    <w:rsid w:val="58D72375"/>
    <w:rsid w:val="59F74833"/>
    <w:rsid w:val="5BA46462"/>
    <w:rsid w:val="5DAF6DF6"/>
    <w:rsid w:val="5E5A675C"/>
    <w:rsid w:val="5EBD3D5F"/>
    <w:rsid w:val="5F74670D"/>
    <w:rsid w:val="60B50725"/>
    <w:rsid w:val="61084368"/>
    <w:rsid w:val="61D56991"/>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2"/>
    <w:basedOn w:val="1"/>
    <w:next w:val="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4"/>
    <w:autoRedefine/>
    <w:qFormat/>
    <w:uiPriority w:val="1"/>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Body Text First Indent 2"/>
    <w:basedOn w:val="5"/>
    <w:next w:val="1"/>
    <w:autoRedefine/>
    <w:semiHidden/>
    <w:unhideWhenUsed/>
    <w:qFormat/>
    <w:uiPriority w:val="99"/>
    <w:pPr>
      <w:ind w:firstLine="420" w:firstLineChars="200"/>
    </w:pPr>
  </w:style>
  <w:style w:type="paragraph" w:styleId="5">
    <w:name w:val="Body Text Indent"/>
    <w:basedOn w:val="1"/>
    <w:next w:val="6"/>
    <w:autoRedefine/>
    <w:qFormat/>
    <w:uiPriority w:val="0"/>
    <w:pPr>
      <w:ind w:left="480" w:hanging="480" w:hangingChars="200"/>
    </w:pPr>
    <w:rPr>
      <w:sz w:val="24"/>
    </w:rPr>
  </w:style>
  <w:style w:type="paragraph" w:styleId="6">
    <w:name w:val="Normal Indent"/>
    <w:basedOn w:val="1"/>
    <w:next w:val="5"/>
    <w:autoRedefine/>
    <w:qFormat/>
    <w:uiPriority w:val="0"/>
    <w:pPr>
      <w:ind w:firstLine="420"/>
    </w:pPr>
    <w:rPr>
      <w:szCs w:val="20"/>
    </w:rPr>
  </w:style>
  <w:style w:type="paragraph" w:styleId="8">
    <w:name w:val="Body Text"/>
    <w:basedOn w:val="1"/>
    <w:next w:val="1"/>
    <w:autoRedefine/>
    <w:qFormat/>
    <w:uiPriority w:val="0"/>
    <w:pPr>
      <w:spacing w:after="120"/>
    </w:p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5"/>
    <w:autoRedefine/>
    <w:qFormat/>
    <w:uiPriority w:val="0"/>
    <w:pPr>
      <w:tabs>
        <w:tab w:val="center" w:pos="4153"/>
        <w:tab w:val="right" w:pos="8306"/>
      </w:tabs>
      <w:snapToGrid w:val="0"/>
      <w:jc w:val="left"/>
    </w:pPr>
    <w:rPr>
      <w:sz w:val="18"/>
      <w:szCs w:val="18"/>
    </w:rPr>
  </w:style>
  <w:style w:type="paragraph" w:styleId="12">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4">
    <w:name w:val="Body Text First Indent"/>
    <w:basedOn w:val="8"/>
    <w:autoRedefine/>
    <w:semiHidden/>
    <w:unhideWhenUsed/>
    <w:qFormat/>
    <w:uiPriority w:val="99"/>
    <w:pPr>
      <w:ind w:firstLine="420" w:firstLineChars="100"/>
    </w:pPr>
    <w:rPr>
      <w:rFonts w:asciiTheme="minorHAnsi" w:hAnsiTheme="minorHAnsi" w:eastAsiaTheme="minorEastAsia" w:cstheme="minorBidi"/>
      <w:szCs w:val="2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正文首行缩进 21"/>
    <w:basedOn w:val="20"/>
    <w:autoRedefine/>
    <w:qFormat/>
    <w:uiPriority w:val="0"/>
    <w:pPr>
      <w:ind w:firstLine="420"/>
    </w:pPr>
    <w:rPr>
      <w:szCs w:val="22"/>
    </w:rPr>
  </w:style>
  <w:style w:type="paragraph" w:customStyle="1" w:styleId="20">
    <w:name w:val="正文文本缩进1"/>
    <w:basedOn w:val="1"/>
    <w:autoRedefine/>
    <w:qFormat/>
    <w:uiPriority w:val="0"/>
    <w:pPr>
      <w:spacing w:line="500" w:lineRule="exact"/>
      <w:ind w:firstLine="880" w:firstLineChars="200"/>
    </w:pPr>
  </w:style>
  <w:style w:type="paragraph" w:customStyle="1" w:styleId="21">
    <w:name w:val="BodyText1I"/>
    <w:basedOn w:val="22"/>
    <w:autoRedefine/>
    <w:qFormat/>
    <w:uiPriority w:val="0"/>
    <w:pPr>
      <w:ind w:firstLine="420" w:firstLineChars="100"/>
    </w:pPr>
  </w:style>
  <w:style w:type="paragraph" w:customStyle="1" w:styleId="22">
    <w:name w:val="BodyText"/>
    <w:basedOn w:val="1"/>
    <w:autoRedefine/>
    <w:qFormat/>
    <w:uiPriority w:val="0"/>
    <w:pPr>
      <w:spacing w:after="120"/>
    </w:pPr>
  </w:style>
  <w:style w:type="paragraph" w:customStyle="1" w:styleId="23">
    <w:name w:val="表格文字"/>
    <w:basedOn w:val="1"/>
    <w:next w:val="8"/>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4">
    <w:name w:val="页眉 字符"/>
    <w:basedOn w:val="17"/>
    <w:link w:val="12"/>
    <w:autoRedefine/>
    <w:qFormat/>
    <w:uiPriority w:val="0"/>
    <w:rPr>
      <w:kern w:val="2"/>
      <w:sz w:val="18"/>
      <w:szCs w:val="18"/>
    </w:rPr>
  </w:style>
  <w:style w:type="character" w:customStyle="1" w:styleId="25">
    <w:name w:val="页脚 字符"/>
    <w:basedOn w:val="17"/>
    <w:link w:val="11"/>
    <w:autoRedefine/>
    <w:qFormat/>
    <w:uiPriority w:val="0"/>
    <w:rPr>
      <w:kern w:val="2"/>
      <w:sz w:val="18"/>
      <w:szCs w:val="18"/>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列出段落1"/>
    <w:basedOn w:val="1"/>
    <w:autoRedefine/>
    <w:qFormat/>
    <w:uiPriority w:val="0"/>
    <w:pPr>
      <w:widowControl/>
      <w:spacing w:after="160" w:line="360" w:lineRule="auto"/>
      <w:ind w:left="720"/>
      <w:contextualSpacing/>
      <w:jc w:val="left"/>
    </w:pPr>
    <w:rPr>
      <w:szCs w:val="22"/>
    </w:rPr>
  </w:style>
  <w:style w:type="table" w:customStyle="1" w:styleId="28">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next w:val="8"/>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30">
    <w:name w:val="font41"/>
    <w:basedOn w:val="17"/>
    <w:autoRedefine/>
    <w:qFormat/>
    <w:uiPriority w:val="0"/>
    <w:rPr>
      <w:rFonts w:hint="default" w:ascii="Times New Roman" w:hAnsi="Times New Roman" w:cs="Times New Roman"/>
      <w:color w:val="000000"/>
      <w:sz w:val="21"/>
      <w:szCs w:val="21"/>
      <w:u w:val="none"/>
    </w:rPr>
  </w:style>
  <w:style w:type="character" w:customStyle="1" w:styleId="31">
    <w:name w:val="font21"/>
    <w:basedOn w:val="17"/>
    <w:autoRedefine/>
    <w:qFormat/>
    <w:uiPriority w:val="0"/>
    <w:rPr>
      <w:rFonts w:hint="eastAsia" w:ascii="宋体" w:hAnsi="宋体" w:eastAsia="宋体" w:cs="宋体"/>
      <w:color w:val="000000"/>
      <w:sz w:val="21"/>
      <w:szCs w:val="21"/>
      <w:u w:val="none"/>
    </w:rPr>
  </w:style>
  <w:style w:type="paragraph" w:customStyle="1" w:styleId="32">
    <w:name w:val="Normal Indent"/>
    <w:basedOn w:val="1"/>
    <w:autoRedefine/>
    <w:qFormat/>
    <w:uiPriority w:val="0"/>
    <w:pPr>
      <w:widowControl/>
      <w:ind w:firstLine="420"/>
      <w:jc w:val="left"/>
    </w:pPr>
    <w:rPr>
      <w:rFonts w:ascii="Times New Roman" w:hAnsi="Times New Roman"/>
      <w:kern w:val="0"/>
      <w:szCs w:val="20"/>
    </w:rPr>
  </w:style>
  <w:style w:type="paragraph" w:customStyle="1" w:styleId="33">
    <w:name w:val="Body Text First Indent 21"/>
    <w:basedOn w:val="1"/>
    <w:autoRedefine/>
    <w:qFormat/>
    <w:uiPriority w:val="0"/>
    <w:pPr>
      <w:autoSpaceDE w:val="0"/>
      <w:autoSpaceDN w:val="0"/>
      <w:adjustRightInd w:val="0"/>
      <w:spacing w:after="120"/>
      <w:ind w:left="420" w:leftChars="200" w:firstLine="420"/>
    </w:pPr>
    <w:rPr>
      <w:rFonts w:ascii="宋体" w:hAnsi="宋体" w:cs="宋体"/>
      <w:sz w:val="24"/>
      <w:szCs w:val="21"/>
    </w:rPr>
  </w:style>
  <w:style w:type="character" w:customStyle="1" w:styleId="34">
    <w:name w:val="font11"/>
    <w:basedOn w:val="17"/>
    <w:autoRedefine/>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12</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2025-11-11T02:27:44Z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