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sz w:val="36"/>
          <w:szCs w:val="36"/>
        </w:rPr>
        <w:t>采购</w:t>
      </w:r>
      <w:r>
        <w:rPr>
          <w:rFonts w:hint="eastAsia"/>
          <w:b/>
          <w:bCs/>
          <w:sz w:val="36"/>
          <w:szCs w:val="36"/>
          <w:lang w:val="en-US" w:eastAsia="zh-CN"/>
        </w:rPr>
        <w:t>内容及要求</w:t>
      </w:r>
    </w:p>
    <w:p>
      <w:pPr>
        <w:numPr>
          <w:ilvl w:val="0"/>
          <w:numId w:val="1"/>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4"/>
        </w:rPr>
        <w:t>项</w:t>
      </w:r>
      <w:r>
        <w:rPr>
          <w:rFonts w:hint="eastAsia" w:ascii="宋体" w:hAnsi="宋体" w:eastAsia="宋体" w:cs="宋体"/>
          <w:b/>
          <w:bCs/>
          <w:sz w:val="28"/>
          <w:szCs w:val="28"/>
        </w:rPr>
        <w:t>目名称：</w:t>
      </w:r>
      <w:r>
        <w:rPr>
          <w:rFonts w:hint="eastAsia" w:ascii="宋体" w:hAnsi="宋体" w:eastAsia="宋体" w:cs="宋体"/>
          <w:b/>
          <w:bCs/>
          <w:sz w:val="28"/>
          <w:szCs w:val="28"/>
          <w:lang w:val="en-US" w:eastAsia="zh-CN"/>
        </w:rPr>
        <w:t>温州市中医院</w:t>
      </w:r>
      <w:bookmarkStart w:id="0" w:name="OLE_LINK8"/>
      <w:r>
        <w:rPr>
          <w:rFonts w:hint="eastAsia" w:ascii="宋体" w:hAnsi="宋体" w:eastAsia="宋体" w:cs="宋体"/>
          <w:b/>
          <w:bCs/>
          <w:sz w:val="28"/>
          <w:szCs w:val="28"/>
          <w:lang w:val="en-US" w:eastAsia="zh-CN"/>
        </w:rPr>
        <w:t>一批陪人椅采购</w:t>
      </w:r>
    </w:p>
    <w:bookmarkEnd w:id="0"/>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二、预算金额：15500元</w:t>
      </w:r>
    </w:p>
    <w:p>
      <w:pPr>
        <w:pStyle w:val="2"/>
        <w:spacing w:line="360" w:lineRule="auto"/>
        <w:ind w:firstLine="0" w:firstLineChars="0"/>
        <w:rPr>
          <w:rFonts w:hint="eastAsia" w:ascii="宋体" w:hAnsi="宋体" w:eastAsia="宋体" w:cs="宋体"/>
          <w:b/>
          <w:bCs/>
          <w:sz w:val="28"/>
          <w:szCs w:val="28"/>
          <w:u w:val="single"/>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三</w:t>
      </w:r>
      <w:r>
        <w:rPr>
          <w:rFonts w:hint="eastAsia" w:ascii="宋体" w:hAnsi="宋体" w:eastAsia="宋体" w:cs="宋体"/>
          <w:b/>
          <w:bCs/>
          <w:sz w:val="28"/>
          <w:szCs w:val="28"/>
          <w:u w:val="single"/>
        </w:rPr>
        <w:t>、项目概况及要求：</w:t>
      </w:r>
    </w:p>
    <w:tbl>
      <w:tblPr>
        <w:tblStyle w:val="7"/>
        <w:tblW w:w="1551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7"/>
        <w:gridCol w:w="1181"/>
        <w:gridCol w:w="2362"/>
        <w:gridCol w:w="750"/>
        <w:gridCol w:w="705"/>
        <w:gridCol w:w="5955"/>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17"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8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2362"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规格</w:t>
            </w:r>
          </w:p>
        </w:tc>
        <w:tc>
          <w:tcPr>
            <w:tcW w:w="750"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705"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5955"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具体要求</w:t>
            </w:r>
          </w:p>
        </w:tc>
        <w:tc>
          <w:tcPr>
            <w:tcW w:w="3840"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5" w:hRule="atLeast"/>
        </w:trPr>
        <w:tc>
          <w:tcPr>
            <w:tcW w:w="71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18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陪人椅</w:t>
            </w:r>
          </w:p>
        </w:tc>
        <w:tc>
          <w:tcPr>
            <w:tcW w:w="2362" w:type="dxa"/>
            <w:shd w:val="clear" w:color="auto" w:fill="auto"/>
            <w:noWrap/>
            <w:vAlign w:val="center"/>
          </w:tcPr>
          <w:p>
            <w:pPr>
              <w:keepNext w:val="0"/>
              <w:keepLines w:val="0"/>
              <w:widowControl/>
              <w:suppressLineNumbers w:val="0"/>
              <w:jc w:val="left"/>
              <w:rPr>
                <w:rFonts w:hint="eastAsia" w:ascii="新宋体" w:hAnsi="新宋体" w:eastAsia="新宋体" w:cs="新宋体"/>
                <w:color w:val="000000"/>
                <w:kern w:val="0"/>
                <w:sz w:val="22"/>
                <w:szCs w:val="22"/>
                <w:lang w:val="en-US" w:eastAsia="zh-CN" w:bidi="ar"/>
              </w:rPr>
            </w:pPr>
            <w:r>
              <w:rPr>
                <w:rFonts w:hint="eastAsia" w:ascii="新宋体" w:hAnsi="新宋体" w:eastAsia="新宋体" w:cs="新宋体"/>
                <w:color w:val="000000"/>
                <w:kern w:val="0"/>
                <w:sz w:val="22"/>
                <w:szCs w:val="22"/>
                <w:lang w:val="en-US" w:eastAsia="zh-CN" w:bidi="ar"/>
              </w:rPr>
              <w:t>平放：</w:t>
            </w:r>
          </w:p>
          <w:p>
            <w:pPr>
              <w:keepNext w:val="0"/>
              <w:keepLines w:val="0"/>
              <w:widowControl/>
              <w:suppressLineNumbers w:val="0"/>
              <w:jc w:val="left"/>
              <w:rPr>
                <w:rFonts w:ascii="新宋体" w:hAnsi="新宋体" w:eastAsia="新宋体" w:cs="新宋体"/>
                <w:color w:val="000000"/>
                <w:kern w:val="0"/>
                <w:sz w:val="22"/>
                <w:szCs w:val="22"/>
                <w:lang w:val="en-US" w:eastAsia="zh-CN" w:bidi="ar"/>
              </w:rPr>
            </w:pPr>
            <w:r>
              <w:rPr>
                <w:rFonts w:ascii="新宋体" w:hAnsi="新宋体" w:eastAsia="新宋体" w:cs="新宋体"/>
                <w:color w:val="000000"/>
                <w:kern w:val="0"/>
                <w:sz w:val="22"/>
                <w:szCs w:val="22"/>
                <w:lang w:val="en-US" w:eastAsia="zh-CN" w:bidi="ar"/>
              </w:rPr>
              <w:t>1860*600*450mm</w:t>
            </w:r>
          </w:p>
          <w:p>
            <w:pPr>
              <w:pStyle w:val="2"/>
              <w:rPr>
                <w:lang w:val="en-US" w:eastAsia="zh-CN"/>
              </w:rPr>
            </w:pPr>
          </w:p>
          <w:p>
            <w:pPr>
              <w:keepNext w:val="0"/>
              <w:keepLines w:val="0"/>
              <w:widowControl/>
              <w:suppressLineNumbers w:val="0"/>
              <w:jc w:val="left"/>
              <w:rPr>
                <w:sz w:val="22"/>
                <w:szCs w:val="22"/>
              </w:rPr>
            </w:pPr>
            <w:r>
              <w:rPr>
                <w:rFonts w:ascii="新宋体" w:hAnsi="新宋体" w:eastAsia="新宋体" w:cs="新宋体"/>
                <w:color w:val="000000"/>
                <w:kern w:val="0"/>
                <w:sz w:val="22"/>
                <w:szCs w:val="22"/>
                <w:lang w:val="en-US" w:eastAsia="zh-CN" w:bidi="ar"/>
              </w:rPr>
              <w:t>拉起</w:t>
            </w:r>
            <w:r>
              <w:rPr>
                <w:rFonts w:hint="eastAsia" w:ascii="新宋体" w:hAnsi="新宋体" w:eastAsia="新宋体" w:cs="新宋体"/>
                <w:color w:val="000000"/>
                <w:kern w:val="0"/>
                <w:sz w:val="22"/>
                <w:szCs w:val="22"/>
                <w:lang w:val="en-US" w:eastAsia="zh-CN" w:bidi="ar"/>
              </w:rPr>
              <w:t>：</w:t>
            </w:r>
            <w:r>
              <w:rPr>
                <w:rFonts w:ascii="新宋体" w:hAnsi="新宋体" w:eastAsia="新宋体" w:cs="新宋体"/>
                <w:color w:val="000000"/>
                <w:kern w:val="0"/>
                <w:sz w:val="22"/>
                <w:szCs w:val="22"/>
                <w:lang w:val="en-US" w:eastAsia="zh-CN" w:bidi="ar"/>
              </w:rPr>
              <w:t>800*600*950mm±30mm</w:t>
            </w:r>
          </w:p>
          <w:p>
            <w:pPr>
              <w:keepNext w:val="0"/>
              <w:keepLines w:val="0"/>
              <w:widowControl/>
              <w:suppressLineNumbers w:val="0"/>
              <w:ind w:firstLine="220" w:firstLineChars="10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75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w:t>
            </w:r>
          </w:p>
        </w:tc>
        <w:tc>
          <w:tcPr>
            <w:tcW w:w="70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bookmarkStart w:id="1" w:name="OLE_LINK4"/>
            <w:r>
              <w:rPr>
                <w:rFonts w:hint="eastAsia" w:ascii="宋体" w:hAnsi="宋体" w:eastAsia="宋体" w:cs="宋体"/>
                <w:b w:val="0"/>
                <w:bCs w:val="0"/>
                <w:i w:val="0"/>
                <w:iCs w:val="0"/>
                <w:color w:val="000000"/>
                <w:sz w:val="22"/>
                <w:szCs w:val="22"/>
                <w:u w:val="none"/>
                <w:lang w:val="en-US" w:eastAsia="zh-CN"/>
              </w:rPr>
              <w:t>张</w:t>
            </w:r>
            <w:bookmarkEnd w:id="1"/>
          </w:p>
        </w:tc>
        <w:tc>
          <w:tcPr>
            <w:tcW w:w="5955" w:type="dxa"/>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1、</w:t>
            </w:r>
            <w:r>
              <w:rPr>
                <w:rFonts w:hint="eastAsia" w:ascii="宋体" w:hAnsi="宋体" w:eastAsia="宋体" w:cs="宋体"/>
                <w:b w:val="0"/>
                <w:bCs w:val="0"/>
                <w:i w:val="0"/>
                <w:iCs w:val="0"/>
                <w:color w:val="000000"/>
                <w:sz w:val="21"/>
                <w:szCs w:val="21"/>
                <w:u w:val="none"/>
                <w:lang w:val="en-US" w:eastAsia="zh-CN"/>
              </w:rPr>
              <w:t>平放与拉起</w:t>
            </w:r>
            <w:r>
              <w:rPr>
                <w:rFonts w:hint="eastAsia" w:ascii="宋体" w:hAnsi="宋体" w:eastAsia="宋体" w:cs="宋体"/>
                <w:b w:val="0"/>
                <w:bCs w:val="0"/>
                <w:i w:val="0"/>
                <w:iCs w:val="0"/>
                <w:color w:val="000000"/>
                <w:sz w:val="21"/>
                <w:szCs w:val="21"/>
                <w:u w:val="none"/>
                <w:lang w:eastAsia="zh-CN"/>
              </w:rPr>
              <w:t>两种模式随心切换，上抬拉动坐板，可轻松实现座椅转换平躺模式。</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2、框架：主体材料采用￠38*1.5mm、￠30*1.5mm、￠25*1.5mm 优质碳钢制作，长期使用不变色、不脱粉。</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 xml:space="preserve">3、椅面：椅垫表面采用优质抗菌医用皮，内层采用 </w:t>
            </w:r>
            <w:r>
              <w:rPr>
                <w:rFonts w:hint="default" w:ascii="Arial" w:hAnsi="Arial" w:eastAsia="宋体" w:cs="Arial"/>
                <w:b w:val="0"/>
                <w:bCs w:val="0"/>
                <w:i w:val="0"/>
                <w:iCs w:val="0"/>
                <w:color w:val="000000"/>
                <w:sz w:val="21"/>
                <w:szCs w:val="21"/>
                <w:u w:val="none"/>
                <w:lang w:eastAsia="zh-CN"/>
              </w:rPr>
              <w:t>≥</w:t>
            </w:r>
            <w:r>
              <w:rPr>
                <w:rFonts w:hint="eastAsia" w:ascii="Arial" w:hAnsi="Arial" w:eastAsia="宋体" w:cs="Arial"/>
                <w:b w:val="0"/>
                <w:bCs w:val="0"/>
                <w:i w:val="0"/>
                <w:iCs w:val="0"/>
                <w:color w:val="000000"/>
                <w:sz w:val="21"/>
                <w:szCs w:val="21"/>
                <w:u w:val="none"/>
                <w:lang w:val="en-US" w:eastAsia="zh-CN"/>
              </w:rPr>
              <w:t>5</w:t>
            </w:r>
            <w:r>
              <w:rPr>
                <w:rFonts w:hint="eastAsia" w:ascii="宋体" w:hAnsi="宋体" w:eastAsia="宋体" w:cs="宋体"/>
                <w:b w:val="0"/>
                <w:bCs w:val="0"/>
                <w:i w:val="0"/>
                <w:iCs w:val="0"/>
                <w:color w:val="000000"/>
                <w:sz w:val="21"/>
                <w:szCs w:val="21"/>
                <w:u w:val="none"/>
                <w:lang w:eastAsia="zh-CN"/>
              </w:rPr>
              <w:t>cm 高密度回弹海绵，柔软舒适，不易塌陷，</w:t>
            </w:r>
            <w:r>
              <w:rPr>
                <w:rFonts w:hint="eastAsia" w:ascii="宋体" w:hAnsi="宋体" w:eastAsia="宋体" w:cs="宋体"/>
                <w:b w:val="0"/>
                <w:bCs w:val="0"/>
                <w:i w:val="0"/>
                <w:iCs w:val="0"/>
                <w:color w:val="000000"/>
                <w:sz w:val="21"/>
                <w:szCs w:val="21"/>
                <w:u w:val="none"/>
                <w:lang w:val="en-US" w:eastAsia="zh-CN"/>
              </w:rPr>
              <w:t>配置</w:t>
            </w:r>
            <w:r>
              <w:rPr>
                <w:rFonts w:hint="eastAsia" w:ascii="宋体" w:hAnsi="宋体" w:eastAsia="宋体" w:cs="宋体"/>
                <w:b w:val="0"/>
                <w:bCs w:val="0"/>
                <w:i w:val="0"/>
                <w:iCs w:val="0"/>
                <w:color w:val="000000"/>
                <w:sz w:val="21"/>
                <w:szCs w:val="21"/>
                <w:u w:val="none"/>
                <w:lang w:eastAsia="zh-CN"/>
              </w:rPr>
              <w:t>一体式头枕。</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val="en-US" w:eastAsia="zh-CN"/>
              </w:rPr>
              <w:t>4</w:t>
            </w:r>
            <w:r>
              <w:rPr>
                <w:rFonts w:hint="eastAsia" w:ascii="宋体" w:hAnsi="宋体" w:eastAsia="宋体" w:cs="宋体"/>
                <w:b w:val="0"/>
                <w:bCs w:val="0"/>
                <w:i w:val="0"/>
                <w:iCs w:val="0"/>
                <w:color w:val="000000"/>
                <w:sz w:val="21"/>
                <w:szCs w:val="21"/>
                <w:u w:val="none"/>
                <w:lang w:eastAsia="zh-CN"/>
              </w:rPr>
              <w:t>、配置内置通开锁，一把锁可以打开所有的陪护椅，便于医护人员管理。</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val="en-US" w:eastAsia="zh-CN"/>
              </w:rPr>
              <w:t>5</w:t>
            </w:r>
            <w:r>
              <w:rPr>
                <w:rFonts w:hint="eastAsia" w:ascii="宋体" w:hAnsi="宋体" w:eastAsia="宋体" w:cs="宋体"/>
                <w:b w:val="0"/>
                <w:bCs w:val="0"/>
                <w:i w:val="0"/>
                <w:iCs w:val="0"/>
                <w:color w:val="000000"/>
                <w:sz w:val="21"/>
                <w:szCs w:val="21"/>
                <w:u w:val="none"/>
                <w:lang w:eastAsia="zh-CN"/>
              </w:rPr>
              <w:t>、椅面拉伸部分：大、小脚均配高静音万向脚轮，座椅、陪床状态时四脚稳固着地，移动时轻抬即可轻松移动。</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val="en-US" w:eastAsia="zh-CN"/>
              </w:rPr>
              <w:t>6</w:t>
            </w:r>
            <w:r>
              <w:rPr>
                <w:rFonts w:hint="eastAsia" w:ascii="宋体" w:hAnsi="宋体" w:eastAsia="宋体" w:cs="宋体"/>
                <w:b w:val="0"/>
                <w:bCs w:val="0"/>
                <w:i w:val="0"/>
                <w:iCs w:val="0"/>
                <w:color w:val="000000"/>
                <w:sz w:val="21"/>
                <w:szCs w:val="21"/>
                <w:u w:val="none"/>
                <w:lang w:eastAsia="zh-CN"/>
              </w:rPr>
              <w:t>、椅脚：椅腿下方装有塑胶脚套，防止与地面摩擦产生噪音和损伤地面。</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val="en-US" w:eastAsia="zh-CN"/>
              </w:rPr>
              <w:t>7</w:t>
            </w:r>
            <w:r>
              <w:rPr>
                <w:rFonts w:hint="eastAsia" w:ascii="宋体" w:hAnsi="宋体" w:eastAsia="宋体" w:cs="宋体"/>
                <w:b w:val="0"/>
                <w:bCs w:val="0"/>
                <w:i w:val="0"/>
                <w:iCs w:val="0"/>
                <w:color w:val="000000"/>
                <w:sz w:val="21"/>
                <w:szCs w:val="21"/>
                <w:u w:val="none"/>
                <w:lang w:eastAsia="zh-CN"/>
              </w:rPr>
              <w:t>、左右扶手：由￠38*1.5mm 圆管组成弯曲焊接而成，表面喷涂工艺，外表平整光滑。</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val="en-US" w:eastAsia="zh-CN"/>
              </w:rPr>
              <w:t>8</w:t>
            </w:r>
            <w:r>
              <w:rPr>
                <w:rFonts w:hint="eastAsia" w:ascii="宋体" w:hAnsi="宋体" w:eastAsia="宋体" w:cs="宋体"/>
                <w:b w:val="0"/>
                <w:bCs w:val="0"/>
                <w:i w:val="0"/>
                <w:iCs w:val="0"/>
                <w:color w:val="000000"/>
                <w:sz w:val="21"/>
                <w:szCs w:val="21"/>
                <w:u w:val="none"/>
                <w:lang w:eastAsia="zh-CN"/>
              </w:rPr>
              <w:t>、配备手提式尼龙带，折叠提起时方便又省力。</w:t>
            </w:r>
          </w:p>
          <w:p>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w:t>
            </w:r>
            <w:r>
              <w:rPr>
                <w:rFonts w:hint="eastAsia" w:ascii="宋体" w:hAnsi="宋体" w:eastAsia="宋体" w:cs="宋体"/>
                <w:b w:val="0"/>
                <w:bCs w:val="0"/>
                <w:i w:val="0"/>
                <w:iCs w:val="0"/>
                <w:color w:val="000000"/>
                <w:sz w:val="21"/>
                <w:szCs w:val="21"/>
                <w:u w:val="none"/>
                <w:lang w:eastAsia="zh-CN"/>
              </w:rPr>
              <w:t>、多颜色可选，宽度可按病房空间定制。</w:t>
            </w:r>
            <w:bookmarkStart w:id="2" w:name="_GoBack"/>
            <w:bookmarkEnd w:id="2"/>
          </w:p>
        </w:tc>
        <w:tc>
          <w:tcPr>
            <w:tcW w:w="3840" w:type="dxa"/>
            <w:shd w:val="clear" w:color="auto" w:fill="auto"/>
            <w:noWrap/>
            <w:vAlign w:val="center"/>
          </w:tcPr>
          <w:p>
            <w:pPr>
              <w:jc w:val="distribute"/>
              <w:rPr>
                <w:rFonts w:hint="eastAsia" w:ascii="宋体" w:hAnsi="宋体" w:eastAsia="宋体" w:cs="宋体"/>
                <w:b w:val="0"/>
                <w:bCs w:val="0"/>
                <w:i w:val="0"/>
                <w:iCs w:val="0"/>
                <w:color w:val="000000"/>
                <w:kern w:val="0"/>
                <w:sz w:val="21"/>
                <w:szCs w:val="21"/>
                <w:u w:val="none"/>
                <w:bdr w:val="single" w:color="000000" w:sz="4" w:space="0"/>
                <w:lang w:val="en-US" w:eastAsia="zh-CN" w:bidi="ar"/>
              </w:rPr>
            </w:pPr>
            <w:r>
              <w:rPr>
                <w:rFonts w:hint="eastAsia" w:ascii="宋体" w:hAnsi="宋体" w:eastAsia="宋体" w:cs="宋体"/>
                <w:b w:val="0"/>
                <w:bCs w:val="0"/>
                <w:sz w:val="21"/>
                <w:szCs w:val="21"/>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687705</wp:posOffset>
                      </wp:positionV>
                      <wp:extent cx="2240280" cy="3520440"/>
                      <wp:effectExtent l="0" t="0" r="7620" b="3810"/>
                      <wp:wrapNone/>
                      <wp:docPr id="6" name="文本框 6"/>
                      <wp:cNvGraphicFramePr/>
                      <a:graphic xmlns:a="http://schemas.openxmlformats.org/drawingml/2006/main">
                        <a:graphicData uri="http://schemas.microsoft.com/office/word/2010/wordprocessingShape">
                          <wps:wsp>
                            <wps:cNvSpPr txBox="1"/>
                            <wps:spPr>
                              <a:xfrm>
                                <a:off x="7882255" y="2570480"/>
                                <a:ext cx="2240280" cy="35204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
                                  <w:pPr>
                                    <w:pStyle w:val="2"/>
                                  </w:pPr>
                                </w:p>
                                <w:p>
                                  <w:pPr>
                                    <w:pStyle w:val="2"/>
                                    <w:ind w:left="0" w:leftChars="0" w:firstLine="0" w:firstLineChars="0"/>
                                  </w:pPr>
                                  <w:r>
                                    <w:drawing>
                                      <wp:inline distT="0" distB="0" distL="114300" distR="114300">
                                        <wp:extent cx="2051050" cy="2665730"/>
                                        <wp:effectExtent l="0" t="0" r="635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051050" cy="26657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5pt;margin-top:54.15pt;height:277.2pt;width:176.4pt;z-index:251659264;mso-width-relative:page;mso-height-relative:page;" fillcolor="#FFFFFF [3201]" filled="t" stroked="f" coordsize="21600,21600" o:gfxdata="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65hFnV&#10;AAAACQEAAA8AAAAAAAAAAQAgAAAAIgAAAGRycy9kb3ducmV2LnhtbFBLAQIUABQAAAAIAIdO4kBh&#10;JGi1XAIAAJwEAAAOAAAAAAAAAAEAIAAAACQBAABkcnMvZTJvRG9jLnhtbFBLBQYAAAAABgAGAFkB&#10;AADyBQAAAAA=&#10;">
                      <v:fill on="t" focussize="0,0"/>
                      <v:stroke on="f" weight="0.5pt"/>
                      <v:imagedata o:title=""/>
                      <o:lock v:ext="edit" aspectratio="f"/>
                      <v:textbox>
                        <w:txbxContent>
                          <w:p/>
                          <w:p>
                            <w:pPr>
                              <w:pStyle w:val="2"/>
                            </w:pPr>
                          </w:p>
                          <w:p>
                            <w:pPr>
                              <w:pStyle w:val="2"/>
                              <w:ind w:left="0" w:leftChars="0" w:firstLine="0" w:firstLineChars="0"/>
                            </w:pPr>
                            <w:r>
                              <w:drawing>
                                <wp:inline distT="0" distB="0" distL="114300" distR="114300">
                                  <wp:extent cx="2051050" cy="2665730"/>
                                  <wp:effectExtent l="0" t="0" r="635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051050" cy="2665730"/>
                                          </a:xfrm>
                                          <a:prstGeom prst="rect">
                                            <a:avLst/>
                                          </a:prstGeom>
                                          <a:noFill/>
                                          <a:ln>
                                            <a:noFill/>
                                          </a:ln>
                                        </pic:spPr>
                                      </pic:pic>
                                    </a:graphicData>
                                  </a:graphic>
                                </wp:inline>
                              </w:drawing>
                            </w:r>
                          </w:p>
                        </w:txbxContent>
                      </v:textbox>
                    </v:shape>
                  </w:pict>
                </mc:Fallback>
              </mc:AlternateContent>
            </w:r>
          </w:p>
        </w:tc>
      </w:tr>
    </w:tbl>
    <w:p>
      <w:pPr>
        <w:pStyle w:val="2"/>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注：1、以上各产品规格尺寸仅做参考，具体以现场实际测量为准。</w:t>
      </w:r>
    </w:p>
    <w:p>
      <w:pPr>
        <w:pStyle w:val="2"/>
        <w:numPr>
          <w:ilvl w:val="0"/>
          <w:numId w:val="2"/>
        </w:numPr>
        <w:spacing w:line="360" w:lineRule="auto"/>
        <w:ind w:left="480" w:leftChars="0" w:firstLine="0" w:firstLineChars="0"/>
        <w:rPr>
          <w:rFonts w:hint="default" w:ascii="宋体" w:hAnsi="宋体" w:eastAsia="宋体" w:cs="宋体"/>
          <w:b/>
          <w:bCs/>
          <w:sz w:val="24"/>
          <w:u w:val="none"/>
          <w:lang w:val="en-US" w:eastAsia="zh-CN"/>
        </w:rPr>
      </w:pPr>
      <w:r>
        <w:rPr>
          <w:rFonts w:hint="eastAsia" w:ascii="宋体" w:hAnsi="宋体" w:eastAsia="宋体" w:cs="宋体"/>
          <w:b/>
          <w:bCs/>
          <w:sz w:val="24"/>
          <w:u w:val="none"/>
          <w:lang w:val="en-US" w:eastAsia="zh-CN"/>
        </w:rPr>
        <w:t>投标人超过预算金额的投标报价将作无效标处理。</w:t>
      </w:r>
    </w:p>
    <w:p>
      <w:pPr>
        <w:pStyle w:val="2"/>
        <w:numPr>
          <w:ilvl w:val="0"/>
          <w:numId w:val="0"/>
        </w:numPr>
        <w:spacing w:line="360" w:lineRule="auto"/>
        <w:ind w:left="480" w:leftChars="0"/>
        <w:rPr>
          <w:rFonts w:hint="default" w:ascii="宋体" w:hAnsi="宋体" w:eastAsia="宋体" w:cs="宋体"/>
          <w:b/>
          <w:bCs/>
          <w:sz w:val="24"/>
          <w:u w:val="none"/>
          <w:lang w:val="en-US" w:eastAsia="zh-CN"/>
        </w:rPr>
      </w:pPr>
    </w:p>
    <w:p>
      <w:pPr>
        <w:pStyle w:val="2"/>
        <w:numPr>
          <w:ilvl w:val="0"/>
          <w:numId w:val="0"/>
        </w:numPr>
        <w:spacing w:line="360" w:lineRule="auto"/>
        <w:rPr>
          <w:rFonts w:hint="eastAsia" w:ascii="宋体" w:hAnsi="宋体" w:eastAsia="宋体" w:cs="宋体"/>
          <w:b/>
          <w:bCs/>
          <w:sz w:val="28"/>
          <w:szCs w:val="28"/>
          <w:u w:val="single"/>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四、付款方式：</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全部货物交付完毕并经最终验收合格后，乙方向甲方开具与合同同等金额的发票，甲方在收到发票后</w:t>
      </w:r>
      <w:r>
        <w:rPr>
          <w:rFonts w:hint="eastAsia" w:ascii="宋体" w:hAnsi="宋体" w:eastAsia="宋体" w:cs="宋体"/>
          <w:b/>
          <w:bCs/>
          <w:sz w:val="28"/>
          <w:szCs w:val="28"/>
          <w:u w:val="single"/>
          <w:lang w:val="en-US" w:eastAsia="zh-CN"/>
        </w:rPr>
        <w:t xml:space="preserve">90天 </w:t>
      </w:r>
      <w:r>
        <w:rPr>
          <w:rFonts w:hint="eastAsia" w:ascii="宋体" w:hAnsi="宋体" w:eastAsia="宋体" w:cs="宋体"/>
          <w:sz w:val="28"/>
          <w:szCs w:val="28"/>
          <w:lang w:val="en-US" w:eastAsia="zh-CN"/>
        </w:rPr>
        <w:t>内向乙方支付全部合同价款。</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ind w:leftChars="0"/>
        <w:rPr>
          <w:rFonts w:hint="eastAsia" w:ascii="宋体" w:hAnsi="宋体" w:eastAsia="宋体" w:cs="宋体"/>
          <w:b/>
          <w:bCs/>
          <w:sz w:val="28"/>
          <w:szCs w:val="28"/>
          <w:u w:val="single"/>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五、货物质量保证和标准</w:t>
      </w:r>
    </w:p>
    <w:p>
      <w:pPr>
        <w:pStyle w:val="2"/>
        <w:numPr>
          <w:ilvl w:val="0"/>
          <w:numId w:val="0"/>
        </w:numPr>
        <w:spacing w:line="360" w:lineRule="auto"/>
        <w:ind w:firstLine="560" w:firstLineChars="200"/>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t xml:space="preserve">1、本项目所有产品应提供自货物验收合格并交付使用后 </w:t>
      </w:r>
      <w:r>
        <w:rPr>
          <w:rFonts w:hint="eastAsia" w:ascii="宋体" w:hAnsi="宋体" w:eastAsia="宋体" w:cs="宋体"/>
          <w:b/>
          <w:bCs/>
          <w:sz w:val="28"/>
          <w:szCs w:val="28"/>
          <w:u w:val="single"/>
          <w:lang w:val="en-US" w:eastAsia="zh-CN"/>
        </w:rPr>
        <w:t xml:space="preserve">至少 3年 </w:t>
      </w:r>
      <w:r>
        <w:rPr>
          <w:rFonts w:hint="eastAsia" w:ascii="宋体" w:hAnsi="宋体" w:eastAsia="宋体" w:cs="宋体"/>
          <w:b w:val="0"/>
          <w:bCs w:val="0"/>
          <w:sz w:val="28"/>
          <w:szCs w:val="28"/>
          <w:u w:val="single"/>
          <w:lang w:val="en-US" w:eastAsia="zh-CN"/>
        </w:rPr>
        <w:t>的现场免费质保期，如厂商本身承诺的产品质保期高于此要求的则按照厂商承诺执行。在质量保证期内，卖方对由于产品设计、工艺、材料、配套件的缺陷而造成的任何产品质量问题或故障负责。</w:t>
      </w:r>
    </w:p>
    <w:p>
      <w:pPr>
        <w:pStyle w:val="2"/>
        <w:numPr>
          <w:ilvl w:val="0"/>
          <w:numId w:val="0"/>
        </w:numPr>
        <w:spacing w:line="360" w:lineRule="auto"/>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2、货物的设计、制造、质量验收标准应符合国家（或国际）最新颁布的有关标准/规范要求或相应的国际标准。</w:t>
      </w:r>
    </w:p>
    <w:p>
      <w:pPr>
        <w:pStyle w:val="2"/>
        <w:numPr>
          <w:ilvl w:val="0"/>
          <w:numId w:val="0"/>
        </w:numPr>
        <w:spacing w:line="360" w:lineRule="auto"/>
        <w:ind w:leftChars="0"/>
        <w:rPr>
          <w:rFonts w:hint="eastAsia" w:ascii="宋体" w:hAnsi="宋体" w:eastAsia="宋体" w:cs="宋体"/>
          <w:b w:val="0"/>
          <w:bCs w:val="0"/>
          <w:sz w:val="28"/>
          <w:szCs w:val="28"/>
          <w:lang w:val="en-US" w:eastAsia="zh-CN"/>
        </w:rPr>
      </w:pPr>
    </w:p>
    <w:p>
      <w:pPr>
        <w:pStyle w:val="2"/>
        <w:numPr>
          <w:ilvl w:val="0"/>
          <w:numId w:val="0"/>
        </w:numPr>
        <w:spacing w:line="360" w:lineRule="auto"/>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六、质量保证及售后服务</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1、所供应的货物是最新生产的符合国家技术规格和质量标准的出厂原装合格产品。</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（1）更换：由乙方承担所发生的全部费用。</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（2）贬值处理：由甲乙双方合议定价。</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3、在质保期内，乙方应对货物出现的质量及安全问题负责处理解决并承担一切费用。</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七、货物的到货、安装、调试和验收</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1、到货 </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卖方必须在中标之日起20个工作日内完成货物的供货</w:t>
      </w:r>
      <w:r>
        <w:rPr>
          <w:rFonts w:hint="eastAsia" w:ascii="宋体" w:hAnsi="宋体" w:eastAsia="宋体" w:cs="宋体"/>
          <w:sz w:val="28"/>
          <w:szCs w:val="28"/>
          <w:lang w:val="en-US" w:eastAsia="zh-CN"/>
        </w:rPr>
        <w:t>。货物到达现场后，卖方必须派员到现场与买方一起开箱并按供货清单验收，若有缺少或损坏，卖方应立即补足或更换全新同规格产品，直至买方满意为止。</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2、安装</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  货物到达买方指定地点后，卖方应按买方规定的日期指派工程技术人员对货物进行安装调试，直至通过验收。货物的安装调试及现场培训应在合同规定的期限内完成。</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  设备的安装必须符合有关标准和规范。安装过程中买方将对货物的安装质量进行监督。</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3、调试</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4、验收</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5、若因卖方产品质量或安装技术问题导致货物二次验收都不合格，买方有权选择退货，并保留向卖方索赔的权利。</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6、卖方在货物到货、安装、调试和验收期间应接受买方的协调和管理，卖方应采取严格的防范措施，承担由于自身原因所造成的事故责任及其发生的一切费用。</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八、技术服务和人员培训</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合同规定的期限内，卖方应派遣有经验的工程技术人员在安装调试现场对买方指派人员进行操作和保养培训，使其能独立操作、维护、保养。培训计划方案（培训人数、时间、地点、教材、费用）应在投标文件中详细说明。其费用可单独报价，计入总价，如免费培训需在投标文件中作出说明。</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3、质保期满后，卖方工程技术、维修人员也须不定期的进行回访，并为买方提供优质、优价的终身维修和产品维护保养。</w:t>
      </w:r>
    </w:p>
    <w:sectPr>
      <w:pgSz w:w="16838" w:h="11906" w:orient="landscape"/>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8542D"/>
    <w:multiLevelType w:val="singleLevel"/>
    <w:tmpl w:val="2498542D"/>
    <w:lvl w:ilvl="0" w:tentative="0">
      <w:start w:val="2"/>
      <w:numFmt w:val="decimal"/>
      <w:suff w:val="nothing"/>
      <w:lvlText w:val="%1、"/>
      <w:lvlJc w:val="left"/>
      <w:pPr>
        <w:ind w:left="480" w:leftChars="0" w:firstLine="0" w:firstLineChars="0"/>
      </w:pPr>
    </w:lvl>
  </w:abstractNum>
  <w:abstractNum w:abstractNumId="1">
    <w:nsid w:val="3CDC3E80"/>
    <w:multiLevelType w:val="singleLevel"/>
    <w:tmpl w:val="3CDC3E8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2386A93"/>
    <w:rsid w:val="04684506"/>
    <w:rsid w:val="04A46A0A"/>
    <w:rsid w:val="06043E9E"/>
    <w:rsid w:val="066606B5"/>
    <w:rsid w:val="06E15E3C"/>
    <w:rsid w:val="0B0656AA"/>
    <w:rsid w:val="0C01678A"/>
    <w:rsid w:val="0C300A04"/>
    <w:rsid w:val="10352EA6"/>
    <w:rsid w:val="10C71F5A"/>
    <w:rsid w:val="14E05AD6"/>
    <w:rsid w:val="162F62BA"/>
    <w:rsid w:val="17826EFA"/>
    <w:rsid w:val="19B3259F"/>
    <w:rsid w:val="1D3C515C"/>
    <w:rsid w:val="1E067C30"/>
    <w:rsid w:val="226E2973"/>
    <w:rsid w:val="229D2E28"/>
    <w:rsid w:val="25BD0C2D"/>
    <w:rsid w:val="25D373E2"/>
    <w:rsid w:val="291122AA"/>
    <w:rsid w:val="2B4B6177"/>
    <w:rsid w:val="2B8B6847"/>
    <w:rsid w:val="2C77430D"/>
    <w:rsid w:val="2CAF6062"/>
    <w:rsid w:val="2E051CB2"/>
    <w:rsid w:val="2EBF307B"/>
    <w:rsid w:val="321B0A6F"/>
    <w:rsid w:val="3252214B"/>
    <w:rsid w:val="36E64E27"/>
    <w:rsid w:val="37B235FD"/>
    <w:rsid w:val="38A82EBF"/>
    <w:rsid w:val="3A571AE7"/>
    <w:rsid w:val="3E0E6DF5"/>
    <w:rsid w:val="462A298B"/>
    <w:rsid w:val="467B5249"/>
    <w:rsid w:val="47FD3F63"/>
    <w:rsid w:val="48C84ABD"/>
    <w:rsid w:val="48F2201E"/>
    <w:rsid w:val="4B751DCD"/>
    <w:rsid w:val="4FD147A1"/>
    <w:rsid w:val="536C61AC"/>
    <w:rsid w:val="586D09FC"/>
    <w:rsid w:val="5A0F768E"/>
    <w:rsid w:val="5A3C73F0"/>
    <w:rsid w:val="5BEE68A4"/>
    <w:rsid w:val="62BD2580"/>
    <w:rsid w:val="6664674F"/>
    <w:rsid w:val="6DC9627D"/>
    <w:rsid w:val="6EAD47D5"/>
    <w:rsid w:val="6ECD3B4B"/>
    <w:rsid w:val="747B3DF6"/>
    <w:rsid w:val="75956E1A"/>
    <w:rsid w:val="7748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0"/>
    <w:pPr>
      <w:ind w:firstLine="555"/>
    </w:pPr>
  </w:style>
  <w:style w:type="paragraph" w:styleId="4">
    <w:name w:val="Balloon Text"/>
    <w:basedOn w:val="1"/>
    <w:link w:val="9"/>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2156</Words>
  <Characters>2325</Characters>
  <Lines>1</Lines>
  <Paragraphs>1</Paragraphs>
  <TotalTime>9</TotalTime>
  <ScaleCrop>false</ScaleCrop>
  <LinksUpToDate>false</LinksUpToDate>
  <CharactersWithSpaces>2340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2025-10-28T00:25:10Z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