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lang w:val="en-US"/>
        </w:rPr>
      </w:pPr>
      <w:r>
        <w:rPr>
          <w:rFonts w:hint="eastAsia"/>
          <w:sz w:val="36"/>
          <w:szCs w:val="36"/>
          <w:lang w:val="en-US" w:eastAsia="zh-CN"/>
        </w:rPr>
        <w:t>附件一、</w:t>
      </w:r>
      <w:r>
        <w:rPr>
          <w:rFonts w:hint="eastAsia"/>
          <w:sz w:val="36"/>
          <w:szCs w:val="36"/>
        </w:rPr>
        <w:t>采购</w:t>
      </w:r>
      <w:r>
        <w:rPr>
          <w:rFonts w:hint="eastAsia"/>
          <w:sz w:val="36"/>
          <w:szCs w:val="36"/>
          <w:lang w:val="en-US" w:eastAsia="zh-CN"/>
        </w:rPr>
        <w:t>内容及要求（重）</w:t>
      </w:r>
    </w:p>
    <w:p>
      <w:pPr>
        <w:spacing w:line="500" w:lineRule="exact"/>
        <w:rPr>
          <w:rFonts w:hint="default" w:ascii="宋体" w:hAnsi="宋体" w:eastAsia="宋体" w:cs="宋体"/>
          <w:b/>
          <w:bCs/>
          <w:sz w:val="24"/>
          <w:u w:val="none"/>
          <w:lang w:val="en-US" w:eastAsia="zh-CN"/>
        </w:rPr>
      </w:pPr>
      <w:r>
        <w:rPr>
          <w:rFonts w:hint="eastAsia" w:ascii="宋体" w:hAnsi="宋体" w:eastAsia="宋体" w:cs="宋体"/>
          <w:b/>
          <w:bCs/>
          <w:sz w:val="24"/>
        </w:rPr>
        <w:t>一、项目名称：</w:t>
      </w:r>
      <w:r>
        <w:rPr>
          <w:rFonts w:hint="eastAsia"/>
          <w:b/>
          <w:sz w:val="24"/>
        </w:rPr>
        <w:t>膏方包装机</w:t>
      </w:r>
      <w:r>
        <w:rPr>
          <w:rFonts w:hint="eastAsia" w:ascii="宋体" w:hAnsi="宋体" w:eastAsia="宋体" w:cs="宋体"/>
          <w:b/>
          <w:bCs/>
          <w:sz w:val="24"/>
          <w:u w:val="none"/>
          <w:lang w:val="en-US" w:eastAsia="zh-CN"/>
        </w:rPr>
        <w:t>采购（重）</w:t>
      </w:r>
      <w:bookmarkStart w:id="0" w:name="_GoBack"/>
      <w:bookmarkEnd w:id="0"/>
    </w:p>
    <w:p>
      <w:pPr>
        <w:pStyle w:val="8"/>
        <w:spacing w:line="360" w:lineRule="auto"/>
        <w:ind w:firstLine="0" w:firstLineChars="0"/>
        <w:rPr>
          <w:rFonts w:hint="default" w:ascii="宋体" w:hAnsi="宋体" w:eastAsia="宋体" w:cs="宋体"/>
          <w:b/>
          <w:bCs/>
          <w:sz w:val="24"/>
          <w:lang w:val="en-US" w:eastAsia="zh-CN"/>
        </w:rPr>
      </w:pPr>
      <w:r>
        <w:rPr>
          <w:rFonts w:hint="eastAsia" w:ascii="宋体" w:hAnsi="宋体" w:eastAsia="宋体" w:cs="宋体"/>
          <w:b/>
          <w:bCs/>
          <w:sz w:val="24"/>
          <w:lang w:val="en-US" w:eastAsia="zh-CN"/>
        </w:rPr>
        <w:t>二</w:t>
      </w:r>
      <w:r>
        <w:rPr>
          <w:rFonts w:hint="eastAsia" w:ascii="宋体" w:hAnsi="宋体" w:eastAsia="宋体" w:cs="宋体"/>
          <w:b/>
          <w:bCs/>
          <w:sz w:val="24"/>
        </w:rPr>
        <w:t>、项目预算：</w:t>
      </w:r>
      <w:r>
        <w:rPr>
          <w:rFonts w:hint="eastAsia" w:ascii="宋体" w:hAnsi="宋体" w:eastAsia="宋体" w:cs="宋体"/>
          <w:b/>
          <w:bCs/>
          <w:sz w:val="24"/>
          <w:lang w:val="en-US" w:eastAsia="zh-CN"/>
        </w:rPr>
        <w:t>30000元</w:t>
      </w:r>
    </w:p>
    <w:p>
      <w:pPr>
        <w:pStyle w:val="8"/>
        <w:spacing w:line="360" w:lineRule="auto"/>
        <w:ind w:firstLine="0" w:firstLineChars="0"/>
        <w:rPr>
          <w:rFonts w:hint="eastAsia" w:ascii="宋体" w:hAnsi="宋体" w:eastAsia="宋体" w:cs="宋体"/>
          <w:b/>
          <w:bCs/>
        </w:rPr>
      </w:pPr>
      <w:r>
        <w:rPr>
          <w:rFonts w:hint="eastAsia" w:ascii="宋体" w:hAnsi="宋体" w:eastAsia="宋体" w:cs="宋体"/>
          <w:b/>
          <w:bCs/>
          <w:sz w:val="24"/>
          <w:lang w:val="en-US" w:eastAsia="zh-CN"/>
        </w:rPr>
        <w:t>三</w:t>
      </w:r>
      <w:r>
        <w:rPr>
          <w:rFonts w:hint="eastAsia" w:ascii="宋体" w:hAnsi="宋体" w:eastAsia="宋体" w:cs="宋体"/>
          <w:b/>
          <w:bCs/>
          <w:sz w:val="24"/>
        </w:rPr>
        <w:t>、项目概况及要求</w:t>
      </w:r>
      <w:r>
        <w:rPr>
          <w:rFonts w:hint="eastAsia" w:ascii="宋体" w:hAnsi="宋体" w:eastAsia="宋体" w:cs="宋体"/>
          <w:b/>
          <w:bCs/>
        </w:rPr>
        <w:t>：</w:t>
      </w:r>
    </w:p>
    <w:tbl>
      <w:tblPr>
        <w:tblStyle w:val="9"/>
        <w:tblW w:w="514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
        <w:gridCol w:w="1521"/>
        <w:gridCol w:w="1033"/>
        <w:gridCol w:w="952"/>
        <w:gridCol w:w="6217"/>
        <w:gridCol w:w="4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blHeader/>
        </w:trPr>
        <w:tc>
          <w:tcPr>
            <w:tcW w:w="294" w:type="pct"/>
            <w:shd w:val="clear" w:color="auto" w:fill="auto"/>
            <w:vAlign w:val="center"/>
          </w:tcPr>
          <w:p>
            <w:pPr>
              <w:widowControl/>
              <w:spacing w:line="440" w:lineRule="exact"/>
              <w:jc w:val="center"/>
              <w:rPr>
                <w:rFonts w:ascii="宋体" w:hAnsi="宋体" w:eastAsia="宋体" w:cs="宋体"/>
                <w:b/>
                <w:bCs/>
                <w:sz w:val="24"/>
              </w:rPr>
            </w:pPr>
            <w:r>
              <w:rPr>
                <w:rFonts w:hint="eastAsia" w:ascii="宋体" w:hAnsi="宋体" w:cs="宋体"/>
                <w:b/>
                <w:bCs/>
                <w:sz w:val="24"/>
              </w:rPr>
              <w:t>序</w:t>
            </w:r>
            <w:r>
              <w:rPr>
                <w:rFonts w:hint="eastAsia" w:ascii="宋体" w:hAnsi="宋体" w:eastAsia="宋体" w:cs="宋体"/>
                <w:b/>
                <w:bCs/>
                <w:sz w:val="24"/>
              </w:rPr>
              <w:t>号</w:t>
            </w:r>
          </w:p>
        </w:tc>
        <w:tc>
          <w:tcPr>
            <w:tcW w:w="511" w:type="pct"/>
            <w:shd w:val="clear" w:color="auto" w:fill="auto"/>
            <w:vAlign w:val="center"/>
          </w:tcPr>
          <w:p>
            <w:pPr>
              <w:spacing w:line="440" w:lineRule="exact"/>
              <w:jc w:val="center"/>
              <w:rPr>
                <w:rFonts w:hint="default" w:ascii="宋体" w:hAnsi="宋体" w:eastAsia="宋体" w:cs="宋体"/>
                <w:b/>
                <w:bCs/>
                <w:sz w:val="24"/>
                <w:lang w:val="en-US" w:eastAsia="zh-CN"/>
              </w:rPr>
            </w:pPr>
            <w:r>
              <w:rPr>
                <w:rFonts w:hint="eastAsia" w:ascii="宋体" w:hAnsi="宋体" w:eastAsia="宋体" w:cs="宋体"/>
                <w:b/>
                <w:bCs/>
                <w:sz w:val="24"/>
                <w:lang w:val="en-US" w:eastAsia="zh-CN"/>
              </w:rPr>
              <w:t>产品名称</w:t>
            </w:r>
          </w:p>
        </w:tc>
        <w:tc>
          <w:tcPr>
            <w:tcW w:w="347" w:type="pct"/>
            <w:shd w:val="clear" w:color="auto" w:fill="auto"/>
            <w:vAlign w:val="center"/>
          </w:tcPr>
          <w:p>
            <w:pPr>
              <w:spacing w:line="440" w:lineRule="exact"/>
              <w:jc w:val="center"/>
              <w:rPr>
                <w:rFonts w:ascii="宋体" w:hAnsi="宋体" w:eastAsia="宋体" w:cs="宋体"/>
                <w:b/>
                <w:bCs/>
                <w:sz w:val="24"/>
              </w:rPr>
            </w:pPr>
            <w:r>
              <w:rPr>
                <w:rFonts w:hint="eastAsia" w:ascii="宋体" w:hAnsi="宋体" w:eastAsia="宋体" w:cs="宋体"/>
                <w:b/>
                <w:bCs/>
                <w:sz w:val="24"/>
              </w:rPr>
              <w:t>数量</w:t>
            </w:r>
          </w:p>
        </w:tc>
        <w:tc>
          <w:tcPr>
            <w:tcW w:w="320" w:type="pct"/>
            <w:vAlign w:val="center"/>
          </w:tcPr>
          <w:p>
            <w:pPr>
              <w:spacing w:line="440" w:lineRule="exact"/>
              <w:jc w:val="center"/>
              <w:rPr>
                <w:rFonts w:ascii="宋体" w:hAnsi="宋体" w:eastAsia="宋体" w:cs="宋体"/>
                <w:b/>
                <w:bCs/>
                <w:sz w:val="24"/>
              </w:rPr>
            </w:pPr>
            <w:r>
              <w:rPr>
                <w:rFonts w:hint="eastAsia" w:ascii="宋体" w:hAnsi="宋体" w:eastAsia="宋体" w:cs="宋体"/>
                <w:b/>
                <w:bCs/>
                <w:sz w:val="24"/>
              </w:rPr>
              <w:t>单位</w:t>
            </w:r>
          </w:p>
        </w:tc>
        <w:tc>
          <w:tcPr>
            <w:tcW w:w="2089" w:type="pct"/>
            <w:shd w:val="clear" w:color="auto" w:fill="auto"/>
            <w:vAlign w:val="center"/>
          </w:tcPr>
          <w:p>
            <w:pPr>
              <w:spacing w:line="440" w:lineRule="exact"/>
              <w:jc w:val="center"/>
              <w:rPr>
                <w:rFonts w:hint="default" w:ascii="宋体" w:hAnsi="宋体" w:eastAsia="宋体" w:cs="宋体"/>
                <w:b/>
                <w:bCs/>
                <w:sz w:val="24"/>
                <w:lang w:val="en-US" w:eastAsia="zh-CN"/>
              </w:rPr>
            </w:pPr>
            <w:r>
              <w:rPr>
                <w:rFonts w:hint="eastAsia" w:ascii="宋体" w:hAnsi="宋体" w:eastAsia="宋体" w:cs="宋体"/>
                <w:b/>
                <w:bCs/>
                <w:sz w:val="24"/>
                <w:lang w:val="en-US" w:eastAsia="zh-CN"/>
              </w:rPr>
              <w:t>参数要求</w:t>
            </w:r>
          </w:p>
        </w:tc>
        <w:tc>
          <w:tcPr>
            <w:tcW w:w="1437" w:type="pct"/>
            <w:shd w:val="clear" w:color="auto" w:fill="auto"/>
            <w:vAlign w:val="center"/>
          </w:tcPr>
          <w:p>
            <w:pPr>
              <w:spacing w:line="440" w:lineRule="exact"/>
              <w:jc w:val="center"/>
              <w:rPr>
                <w:rFonts w:hint="default" w:ascii="宋体" w:hAnsi="宋体" w:eastAsia="宋体" w:cs="宋体"/>
                <w:b/>
                <w:bCs/>
                <w:sz w:val="24"/>
                <w:lang w:val="en-US" w:eastAsia="zh-CN"/>
              </w:rPr>
            </w:pPr>
            <w:r>
              <w:rPr>
                <w:rFonts w:hint="eastAsia" w:ascii="宋体" w:hAnsi="宋体" w:eastAsia="宋体" w:cs="宋体"/>
                <w:b/>
                <w:bCs/>
                <w:sz w:val="24"/>
                <w:lang w:val="en-US" w:eastAsia="zh-CN"/>
              </w:rPr>
              <w:t>样式图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7" w:hRule="atLeast"/>
          <w:tblHeader/>
        </w:trPr>
        <w:tc>
          <w:tcPr>
            <w:tcW w:w="294" w:type="pct"/>
            <w:shd w:val="clear" w:color="auto" w:fill="auto"/>
            <w:vAlign w:val="center"/>
          </w:tcPr>
          <w:p>
            <w:pPr>
              <w:spacing w:line="440" w:lineRule="exact"/>
              <w:jc w:val="center"/>
              <w:rPr>
                <w:rFonts w:ascii="宋体" w:hAnsi="宋体" w:eastAsia="宋体" w:cs="宋体"/>
                <w:sz w:val="24"/>
              </w:rPr>
            </w:pPr>
            <w:r>
              <w:rPr>
                <w:rFonts w:hint="eastAsia" w:ascii="宋体" w:hAnsi="宋体" w:eastAsia="宋体" w:cs="宋体"/>
                <w:sz w:val="24"/>
              </w:rPr>
              <w:t>1</w:t>
            </w:r>
          </w:p>
        </w:tc>
        <w:tc>
          <w:tcPr>
            <w:tcW w:w="511" w:type="pct"/>
            <w:shd w:val="clear" w:color="auto" w:fill="auto"/>
            <w:vAlign w:val="center"/>
          </w:tcPr>
          <w:p>
            <w:pPr>
              <w:spacing w:line="440" w:lineRule="exact"/>
              <w:jc w:val="center"/>
              <w:rPr>
                <w:rFonts w:hint="eastAsia" w:ascii="宋体" w:hAnsi="宋体" w:eastAsia="宋体" w:cs="宋体"/>
                <w:sz w:val="24"/>
                <w:lang w:eastAsia="zh-CN"/>
              </w:rPr>
            </w:pPr>
            <w:r>
              <w:rPr>
                <w:rFonts w:hint="eastAsia" w:ascii="宋体" w:hAnsi="宋体" w:eastAsia="宋体" w:cs="宋体"/>
                <w:sz w:val="24"/>
                <w:lang w:val="en-US" w:eastAsia="zh-CN"/>
              </w:rPr>
              <w:t>膏方包装机</w:t>
            </w:r>
          </w:p>
        </w:tc>
        <w:tc>
          <w:tcPr>
            <w:tcW w:w="347" w:type="pct"/>
            <w:shd w:val="clear" w:color="auto" w:fill="auto"/>
            <w:vAlign w:val="center"/>
          </w:tcPr>
          <w:p>
            <w:pPr>
              <w:spacing w:line="44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2</w:t>
            </w:r>
          </w:p>
        </w:tc>
        <w:tc>
          <w:tcPr>
            <w:tcW w:w="320" w:type="pct"/>
            <w:vAlign w:val="center"/>
          </w:tcPr>
          <w:p>
            <w:pPr>
              <w:spacing w:line="440" w:lineRule="exact"/>
              <w:jc w:val="center"/>
              <w:rPr>
                <w:rFonts w:hint="eastAsia" w:ascii="宋体" w:hAnsi="宋体" w:eastAsia="宋体" w:cs="宋体"/>
                <w:sz w:val="24"/>
                <w:lang w:eastAsia="zh-CN"/>
              </w:rPr>
            </w:pPr>
            <w:r>
              <w:rPr>
                <w:rFonts w:hint="eastAsia" w:ascii="宋体" w:hAnsi="宋体" w:eastAsia="宋体" w:cs="宋体"/>
                <w:sz w:val="24"/>
                <w:lang w:val="en-US" w:eastAsia="zh-CN"/>
              </w:rPr>
              <w:t>台</w:t>
            </w:r>
          </w:p>
        </w:tc>
        <w:tc>
          <w:tcPr>
            <w:tcW w:w="2089" w:type="pct"/>
            <w:shd w:val="clear" w:color="auto" w:fill="auto"/>
            <w:vAlign w:val="center"/>
          </w:tcPr>
          <w:p>
            <w:pPr>
              <w:spacing w:line="500" w:lineRule="exact"/>
              <w:rPr>
                <w:rFonts w:hint="eastAsia" w:ascii="宋体" w:hAnsi="宋体" w:eastAsiaTheme="minorEastAsia"/>
                <w:sz w:val="24"/>
                <w:szCs w:val="24"/>
                <w:lang w:eastAsia="zh-CN"/>
              </w:rPr>
            </w:pPr>
            <w:r>
              <w:rPr>
                <w:rFonts w:hint="eastAsia" w:ascii="宋体" w:hAnsi="宋体"/>
                <w:sz w:val="24"/>
                <w:szCs w:val="24"/>
                <w:lang w:val="en-US" w:eastAsia="zh-CN"/>
              </w:rPr>
              <w:t>1）</w:t>
            </w:r>
            <w:r>
              <w:rPr>
                <w:rFonts w:hint="eastAsia" w:ascii="宋体" w:hAnsi="宋体"/>
                <w:sz w:val="24"/>
                <w:szCs w:val="24"/>
              </w:rPr>
              <w:t>包装量：10-50ml</w:t>
            </w:r>
            <w:r>
              <w:rPr>
                <w:rFonts w:hint="eastAsia" w:ascii="宋体" w:hAnsi="宋体"/>
                <w:sz w:val="24"/>
                <w:szCs w:val="24"/>
                <w:lang w:eastAsia="zh-CN"/>
              </w:rPr>
              <w:t>，</w:t>
            </w:r>
            <w:r>
              <w:rPr>
                <w:rFonts w:hint="eastAsia" w:ascii="宋体" w:hAnsi="宋体"/>
                <w:sz w:val="24"/>
                <w:szCs w:val="24"/>
              </w:rPr>
              <w:t>可调整包装容量</w:t>
            </w:r>
          </w:p>
          <w:p>
            <w:pPr>
              <w:spacing w:line="500" w:lineRule="exact"/>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功率：</w:t>
            </w:r>
            <w:r>
              <w:rPr>
                <w:rFonts w:hint="default" w:ascii="Arial" w:hAnsi="Arial" w:cs="Arial"/>
                <w:sz w:val="24"/>
                <w:szCs w:val="24"/>
              </w:rPr>
              <w:t>≥</w:t>
            </w:r>
            <w:r>
              <w:rPr>
                <w:rFonts w:hint="eastAsia" w:ascii="宋体" w:hAnsi="宋体"/>
                <w:sz w:val="24"/>
                <w:szCs w:val="24"/>
                <w:lang w:val="en-US" w:eastAsia="zh-CN"/>
              </w:rPr>
              <w:t xml:space="preserve"> </w:t>
            </w:r>
            <w:r>
              <w:rPr>
                <w:rFonts w:hint="eastAsia" w:ascii="宋体" w:hAnsi="宋体"/>
                <w:sz w:val="24"/>
                <w:szCs w:val="24"/>
              </w:rPr>
              <w:t>2</w:t>
            </w:r>
            <w:r>
              <w:rPr>
                <w:rFonts w:hint="eastAsia" w:ascii="宋体" w:hAnsi="宋体"/>
                <w:sz w:val="24"/>
                <w:szCs w:val="24"/>
                <w:lang w:val="en-US" w:eastAsia="zh-CN"/>
              </w:rPr>
              <w:t>5</w:t>
            </w:r>
            <w:r>
              <w:rPr>
                <w:rFonts w:hint="eastAsia" w:ascii="宋体" w:hAnsi="宋体"/>
                <w:sz w:val="24"/>
                <w:szCs w:val="24"/>
              </w:rPr>
              <w:t>00W</w:t>
            </w:r>
          </w:p>
          <w:p>
            <w:pPr>
              <w:spacing w:line="500" w:lineRule="exact"/>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电压：AC220V</w:t>
            </w:r>
          </w:p>
          <w:p>
            <w:pPr>
              <w:spacing w:line="500" w:lineRule="exact"/>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尺寸：560*560*1300（mm</w:t>
            </w:r>
            <w:r>
              <w:rPr>
                <w:rFonts w:ascii="宋体" w:hAnsi="宋体"/>
                <w:sz w:val="24"/>
                <w:szCs w:val="24"/>
              </w:rPr>
              <w:t>）</w:t>
            </w:r>
          </w:p>
          <w:p>
            <w:pPr>
              <w:spacing w:line="500" w:lineRule="exact"/>
              <w:rPr>
                <w:rFonts w:hint="eastAsia" w:ascii="宋体" w:hAnsi="宋体"/>
                <w:sz w:val="24"/>
                <w:szCs w:val="24"/>
              </w:rPr>
            </w:pPr>
            <w:r>
              <w:rPr>
                <w:rFonts w:hint="eastAsia" w:ascii="宋体" w:hAnsi="宋体"/>
                <w:sz w:val="24"/>
                <w:szCs w:val="24"/>
                <w:lang w:val="en-US" w:eastAsia="zh-CN"/>
              </w:rPr>
              <w:t>5）实现</w:t>
            </w:r>
            <w:r>
              <w:rPr>
                <w:rFonts w:hint="eastAsia" w:ascii="宋体" w:hAnsi="宋体"/>
                <w:sz w:val="24"/>
                <w:szCs w:val="24"/>
              </w:rPr>
              <w:t>自动包装，</w:t>
            </w:r>
            <w:r>
              <w:rPr>
                <w:rFonts w:hint="eastAsia" w:ascii="宋体" w:hAnsi="宋体"/>
                <w:sz w:val="24"/>
                <w:szCs w:val="24"/>
                <w:lang w:val="en-US" w:eastAsia="zh-CN"/>
              </w:rPr>
              <w:t>保证</w:t>
            </w:r>
            <w:r>
              <w:rPr>
                <w:rFonts w:hint="eastAsia" w:ascii="宋体" w:hAnsi="宋体"/>
                <w:sz w:val="24"/>
                <w:szCs w:val="24"/>
              </w:rPr>
              <w:t>卫生健康。</w:t>
            </w:r>
          </w:p>
          <w:p>
            <w:pPr>
              <w:spacing w:line="500" w:lineRule="exact"/>
              <w:rPr>
                <w:rFonts w:hint="eastAsia" w:ascii="宋体" w:hAnsi="宋体"/>
                <w:sz w:val="24"/>
                <w:szCs w:val="24"/>
              </w:rPr>
            </w:pPr>
            <w:r>
              <w:rPr>
                <w:rFonts w:hint="eastAsia" w:ascii="宋体" w:hAnsi="宋体"/>
                <w:sz w:val="24"/>
                <w:szCs w:val="24"/>
                <w:lang w:val="en-US" w:eastAsia="zh-CN"/>
              </w:rPr>
              <w:t>6）能实现</w:t>
            </w:r>
            <w:r>
              <w:rPr>
                <w:rFonts w:hint="eastAsia" w:ascii="宋体" w:hAnsi="宋体"/>
                <w:sz w:val="24"/>
                <w:szCs w:val="24"/>
              </w:rPr>
              <w:t>包装温度、包装袋数自动显示。</w:t>
            </w:r>
          </w:p>
          <w:p>
            <w:pPr>
              <w:spacing w:line="500" w:lineRule="exact"/>
              <w:rPr>
                <w:rFonts w:hint="eastAsia" w:ascii="宋体" w:hAnsi="宋体"/>
                <w:sz w:val="24"/>
                <w:szCs w:val="24"/>
              </w:rPr>
            </w:pPr>
            <w:r>
              <w:rPr>
                <w:rFonts w:hint="eastAsia" w:ascii="宋体" w:hAnsi="宋体"/>
                <w:sz w:val="24"/>
                <w:szCs w:val="24"/>
                <w:lang w:val="en-US" w:eastAsia="zh-CN"/>
              </w:rPr>
              <w:t>7）</w:t>
            </w:r>
            <w:r>
              <w:rPr>
                <w:rFonts w:hint="eastAsia" w:ascii="宋体" w:hAnsi="宋体"/>
                <w:sz w:val="24"/>
                <w:szCs w:val="24"/>
              </w:rPr>
              <w:t>封合温度数字化控制。</w:t>
            </w:r>
          </w:p>
          <w:p>
            <w:pPr>
              <w:numPr>
                <w:ilvl w:val="0"/>
                <w:numId w:val="0"/>
              </w:numPr>
              <w:spacing w:line="500" w:lineRule="exact"/>
              <w:ind w:leftChars="0"/>
              <w:rPr>
                <w:rFonts w:hint="eastAsia" w:ascii="宋体" w:hAnsi="宋体"/>
                <w:sz w:val="24"/>
                <w:szCs w:val="24"/>
              </w:rPr>
            </w:pPr>
            <w:r>
              <w:rPr>
                <w:rFonts w:hint="eastAsia" w:ascii="宋体" w:hAnsi="宋体"/>
                <w:sz w:val="24"/>
                <w:szCs w:val="24"/>
                <w:lang w:val="en-US" w:eastAsia="zh-CN"/>
              </w:rPr>
              <w:t>8）</w:t>
            </w:r>
            <w:r>
              <w:rPr>
                <w:rFonts w:hint="eastAsia" w:ascii="宋体" w:hAnsi="宋体"/>
                <w:sz w:val="24"/>
                <w:szCs w:val="24"/>
              </w:rPr>
              <w:t>适用于粘稠液和膏方包装。</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bCs/>
                <w:sz w:val="24"/>
                <w:lang w:eastAsia="zh-CN"/>
              </w:rPr>
            </w:pPr>
          </w:p>
        </w:tc>
        <w:tc>
          <w:tcPr>
            <w:tcW w:w="143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eastAsiaTheme="minorEastAsia"/>
                <w:sz w:val="24"/>
                <w:highlight w:val="yellow"/>
                <w:lang w:eastAsia="zh-CN"/>
              </w:rPr>
            </w:pPr>
            <w:r>
              <w:drawing>
                <wp:anchor distT="0" distB="0" distL="114300" distR="114300" simplePos="0" relativeHeight="251659264" behindDoc="1" locked="0" layoutInCell="1" allowOverlap="1">
                  <wp:simplePos x="0" y="0"/>
                  <wp:positionH relativeFrom="column">
                    <wp:posOffset>418465</wp:posOffset>
                  </wp:positionH>
                  <wp:positionV relativeFrom="paragraph">
                    <wp:posOffset>83185</wp:posOffset>
                  </wp:positionV>
                  <wp:extent cx="2010410" cy="3362325"/>
                  <wp:effectExtent l="0" t="0" r="8890" b="9525"/>
                  <wp:wrapTight wrapText="bothSides">
                    <wp:wrapPolygon>
                      <wp:start x="0" y="0"/>
                      <wp:lineTo x="0" y="21539"/>
                      <wp:lineTo x="21491" y="21539"/>
                      <wp:lineTo x="21491" y="0"/>
                      <wp:lineTo x="0" y="0"/>
                    </wp:wrapPolygon>
                  </wp:wrapTight>
                  <wp:docPr id="2" name="图片 3" descr="膏方44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膏方44444"/>
                          <pic:cNvPicPr>
                            <a:picLocks noChangeAspect="1"/>
                          </pic:cNvPicPr>
                        </pic:nvPicPr>
                        <pic:blipFill>
                          <a:blip r:embed="rId4"/>
                          <a:stretch>
                            <a:fillRect/>
                          </a:stretch>
                        </pic:blipFill>
                        <pic:spPr>
                          <a:xfrm>
                            <a:off x="0" y="0"/>
                            <a:ext cx="2010410" cy="3362325"/>
                          </a:xfrm>
                          <a:prstGeom prst="rect">
                            <a:avLst/>
                          </a:prstGeom>
                          <a:noFill/>
                          <a:ln>
                            <a:noFill/>
                          </a:ln>
                        </pic:spPr>
                      </pic:pic>
                    </a:graphicData>
                  </a:graphic>
                </wp:anchor>
              </w:drawing>
            </w:r>
          </w:p>
        </w:tc>
      </w:tr>
    </w:tbl>
    <w:p>
      <w:pPr>
        <w:pStyle w:val="8"/>
        <w:ind w:firstLine="0" w:firstLineChars="0"/>
        <w:rPr>
          <w:rFonts w:hint="default" w:ascii="宋体" w:hAnsi="宋体" w:eastAsia="宋体" w:cs="宋体"/>
          <w:sz w:val="24"/>
          <w:lang w:val="en-US" w:eastAsia="zh-CN"/>
        </w:rPr>
      </w:pPr>
    </w:p>
    <w:p>
      <w:pPr>
        <w:pStyle w:val="8"/>
        <w:numPr>
          <w:ilvl w:val="0"/>
          <w:numId w:val="1"/>
        </w:numPr>
        <w:spacing w:line="360" w:lineRule="auto"/>
        <w:ind w:firstLine="0" w:firstLineChars="0"/>
        <w:rPr>
          <w:rFonts w:hint="eastAsia" w:ascii="宋体" w:hAnsi="宋体" w:eastAsia="宋体" w:cs="宋体"/>
          <w:b/>
          <w:bCs/>
          <w:sz w:val="24"/>
          <w:lang w:val="en-US" w:eastAsia="zh-CN"/>
        </w:rPr>
      </w:pPr>
      <w:r>
        <w:rPr>
          <w:rFonts w:hint="eastAsia" w:ascii="宋体" w:hAnsi="宋体" w:eastAsia="宋体" w:cs="宋体"/>
          <w:b/>
          <w:bCs/>
          <w:sz w:val="24"/>
          <w:lang w:val="en-US" w:eastAsia="zh-CN"/>
        </w:rPr>
        <w:t>付款方式：</w:t>
      </w:r>
    </w:p>
    <w:p>
      <w:pPr>
        <w:pStyle w:val="8"/>
        <w:numPr>
          <w:ilvl w:val="0"/>
          <w:numId w:val="0"/>
        </w:numPr>
        <w:spacing w:line="360" w:lineRule="auto"/>
        <w:ind w:firstLine="480" w:firstLineChars="200"/>
        <w:rPr>
          <w:rFonts w:hint="default" w:ascii="宋体" w:hAnsi="宋体" w:eastAsia="宋体" w:cs="宋体"/>
          <w:sz w:val="24"/>
          <w:lang w:val="en-US" w:eastAsia="zh-CN"/>
        </w:rPr>
      </w:pPr>
      <w:r>
        <w:rPr>
          <w:rFonts w:hint="default" w:ascii="宋体" w:hAnsi="宋体" w:eastAsia="宋体" w:cs="宋体"/>
          <w:sz w:val="24"/>
          <w:lang w:val="en-US" w:eastAsia="zh-CN"/>
        </w:rPr>
        <w:t>全部货物交付完毕并经最终验收合格后，乙方向甲方开具</w:t>
      </w:r>
      <w:r>
        <w:rPr>
          <w:rFonts w:hint="eastAsia" w:ascii="宋体" w:hAnsi="宋体" w:eastAsia="宋体" w:cs="宋体"/>
          <w:sz w:val="24"/>
          <w:lang w:val="en-US" w:eastAsia="zh-CN"/>
        </w:rPr>
        <w:t>与</w:t>
      </w:r>
      <w:r>
        <w:rPr>
          <w:rFonts w:hint="default" w:ascii="宋体" w:hAnsi="宋体" w:eastAsia="宋体" w:cs="宋体"/>
          <w:sz w:val="24"/>
          <w:lang w:val="en-US" w:eastAsia="zh-CN"/>
        </w:rPr>
        <w:t>合同同等金额</w:t>
      </w:r>
      <w:r>
        <w:rPr>
          <w:rFonts w:hint="eastAsia" w:ascii="宋体" w:hAnsi="宋体" w:eastAsia="宋体" w:cs="宋体"/>
          <w:sz w:val="24"/>
          <w:lang w:val="en-US" w:eastAsia="zh-CN"/>
        </w:rPr>
        <w:t>的</w:t>
      </w:r>
      <w:r>
        <w:rPr>
          <w:rFonts w:hint="default" w:ascii="宋体" w:hAnsi="宋体" w:eastAsia="宋体" w:cs="宋体"/>
          <w:sz w:val="24"/>
          <w:lang w:val="en-US" w:eastAsia="zh-CN"/>
        </w:rPr>
        <w:t>发票，甲方在收到发票后</w:t>
      </w:r>
      <w:r>
        <w:rPr>
          <w:rFonts w:hint="eastAsia" w:ascii="宋体" w:hAnsi="宋体" w:eastAsia="宋体" w:cs="宋体"/>
          <w:sz w:val="24"/>
          <w:lang w:val="en-US" w:eastAsia="zh-CN"/>
        </w:rPr>
        <w:t>3个月</w:t>
      </w:r>
      <w:r>
        <w:rPr>
          <w:rFonts w:hint="default" w:ascii="宋体" w:hAnsi="宋体" w:eastAsia="宋体" w:cs="宋体"/>
          <w:sz w:val="24"/>
          <w:lang w:val="en-US" w:eastAsia="zh-CN"/>
        </w:rPr>
        <w:t>内向乙方支付全部合同价款。</w:t>
      </w:r>
    </w:p>
    <w:p>
      <w:pPr>
        <w:pStyle w:val="8"/>
        <w:numPr>
          <w:ilvl w:val="0"/>
          <w:numId w:val="1"/>
        </w:numPr>
        <w:spacing w:line="360" w:lineRule="auto"/>
        <w:ind w:left="0" w:leftChars="0" w:firstLine="0" w:firstLineChars="0"/>
        <w:rPr>
          <w:rFonts w:hint="eastAsia"/>
          <w:sz w:val="24"/>
          <w:szCs w:val="24"/>
          <w:lang w:eastAsia="zh-CN"/>
        </w:rPr>
      </w:pPr>
      <w:r>
        <w:rPr>
          <w:rFonts w:hint="eastAsia" w:ascii="宋体" w:hAnsi="宋体" w:eastAsia="宋体" w:cs="宋体"/>
          <w:b/>
          <w:bCs/>
          <w:sz w:val="24"/>
          <w:lang w:val="en-US" w:eastAsia="zh-CN"/>
        </w:rPr>
        <w:t>质保期≥1年</w:t>
      </w:r>
      <w:r>
        <w:rPr>
          <w:rFonts w:hint="eastAsia"/>
          <w:b/>
          <w:bCs/>
          <w:sz w:val="24"/>
          <w:szCs w:val="24"/>
        </w:rPr>
        <w:t>（自交货验收合格之日起计）</w:t>
      </w:r>
      <w:r>
        <w:rPr>
          <w:rFonts w:hint="eastAsia"/>
          <w:b/>
          <w:bCs/>
          <w:sz w:val="24"/>
          <w:szCs w:val="24"/>
          <w:lang w:eastAsia="zh-CN"/>
        </w:rPr>
        <w:t>。</w:t>
      </w:r>
    </w:p>
    <w:p>
      <w:pPr>
        <w:pStyle w:val="8"/>
        <w:numPr>
          <w:ilvl w:val="0"/>
          <w:numId w:val="0"/>
        </w:numPr>
        <w:spacing w:line="360" w:lineRule="auto"/>
        <w:ind w:leftChars="0"/>
        <w:rPr>
          <w:rFonts w:hint="eastAsia"/>
          <w:b/>
          <w:bCs/>
          <w:sz w:val="24"/>
          <w:szCs w:val="24"/>
          <w:lang w:val="en-US" w:eastAsia="zh-CN"/>
        </w:rPr>
      </w:pPr>
      <w:r>
        <w:rPr>
          <w:rFonts w:hint="eastAsia"/>
          <w:b/>
          <w:bCs/>
          <w:sz w:val="24"/>
          <w:szCs w:val="24"/>
          <w:lang w:val="en-US" w:eastAsia="zh-CN"/>
        </w:rPr>
        <w:t>六、质量保证及售后服务</w:t>
      </w:r>
    </w:p>
    <w:p>
      <w:pPr>
        <w:pStyle w:val="8"/>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1、所供应的商品是最新生产的符合国家技术规格和质量标准的出厂原装合格产品。</w:t>
      </w:r>
    </w:p>
    <w:p>
      <w:pPr>
        <w:pStyle w:val="8"/>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2、所提供的货物在质保期内因货物本身发生质量问题的，供应商应负责免费更换。对达不到质量要求者，根据实际情况，经双方协商，可按以下办法处理：</w:t>
      </w:r>
    </w:p>
    <w:p>
      <w:pPr>
        <w:pStyle w:val="8"/>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（1）更换：由乙方承担所发生的全部费用。</w:t>
      </w:r>
    </w:p>
    <w:p>
      <w:pPr>
        <w:pStyle w:val="8"/>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（2）贬值处理：由甲乙双方合议定价。</w:t>
      </w:r>
    </w:p>
    <w:p>
      <w:pPr>
        <w:pStyle w:val="8"/>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（3）退货处理：乙方应退还甲方支付的合同款，同时应承担该货物的直接费用（运输、保险、检验、货款利息及银行手续费等）。</w:t>
      </w:r>
    </w:p>
    <w:p>
      <w:pPr>
        <w:pStyle w:val="8"/>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3、在质保期内，乙方应对货物出现的质量及安全问题负责处理解决并承担一切费用。</w:t>
      </w:r>
    </w:p>
    <w:p>
      <w:pPr>
        <w:pStyle w:val="8"/>
        <w:numPr>
          <w:ilvl w:val="0"/>
          <w:numId w:val="0"/>
        </w:numPr>
        <w:spacing w:line="360" w:lineRule="auto"/>
        <w:rPr>
          <w:rFonts w:hint="default"/>
          <w:b/>
          <w:bCs/>
          <w:sz w:val="24"/>
          <w:szCs w:val="24"/>
          <w:lang w:val="en-US" w:eastAsia="zh-CN"/>
        </w:rPr>
      </w:pPr>
      <w:r>
        <w:rPr>
          <w:rFonts w:hint="eastAsia"/>
          <w:b/>
          <w:bCs/>
          <w:sz w:val="24"/>
          <w:szCs w:val="24"/>
          <w:lang w:val="en-US" w:eastAsia="zh-CN"/>
        </w:rPr>
        <w:t>七、</w:t>
      </w:r>
      <w:r>
        <w:rPr>
          <w:rFonts w:hint="default"/>
          <w:b/>
          <w:bCs/>
          <w:sz w:val="24"/>
          <w:szCs w:val="24"/>
          <w:lang w:val="en-US" w:eastAsia="zh-CN"/>
        </w:rPr>
        <w:t>货物的到货、安装、调试和验收</w:t>
      </w:r>
    </w:p>
    <w:p>
      <w:pPr>
        <w:pStyle w:val="8"/>
        <w:numPr>
          <w:ilvl w:val="0"/>
          <w:numId w:val="0"/>
        </w:numPr>
        <w:spacing w:line="360" w:lineRule="auto"/>
        <w:ind w:firstLine="480" w:firstLineChars="200"/>
        <w:rPr>
          <w:rFonts w:hint="default"/>
          <w:sz w:val="24"/>
          <w:szCs w:val="24"/>
          <w:lang w:val="en-US" w:eastAsia="zh-CN"/>
        </w:rPr>
      </w:pPr>
      <w:r>
        <w:rPr>
          <w:rFonts w:hint="eastAsia"/>
          <w:sz w:val="24"/>
          <w:szCs w:val="24"/>
          <w:lang w:val="en-US" w:eastAsia="zh-CN"/>
        </w:rPr>
        <w:t>1、</w:t>
      </w:r>
      <w:r>
        <w:rPr>
          <w:rFonts w:hint="default"/>
          <w:sz w:val="24"/>
          <w:szCs w:val="24"/>
          <w:lang w:val="en-US" w:eastAsia="zh-CN"/>
        </w:rPr>
        <w:t xml:space="preserve">到货 </w:t>
      </w:r>
    </w:p>
    <w:p>
      <w:pPr>
        <w:pStyle w:val="8"/>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卖方必须在合同规定的时间内完成货物的供货。货物到达现场后，卖方必须派员到现场与买方一起开箱并按供货清单验收</w:t>
      </w:r>
      <w:r>
        <w:rPr>
          <w:rFonts w:hint="eastAsia"/>
          <w:sz w:val="24"/>
          <w:szCs w:val="24"/>
          <w:lang w:val="en-US" w:eastAsia="zh-CN"/>
        </w:rPr>
        <w:t>，</w:t>
      </w:r>
      <w:r>
        <w:rPr>
          <w:rFonts w:hint="default"/>
          <w:sz w:val="24"/>
          <w:szCs w:val="24"/>
          <w:lang w:val="en-US" w:eastAsia="zh-CN"/>
        </w:rPr>
        <w:t>若有缺少或损坏，卖方应立即补足或更换全新同规格产品，直至买方满意为止。</w:t>
      </w:r>
    </w:p>
    <w:p>
      <w:pPr>
        <w:pStyle w:val="8"/>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2</w:t>
      </w:r>
      <w:r>
        <w:rPr>
          <w:rFonts w:hint="eastAsia"/>
          <w:sz w:val="24"/>
          <w:szCs w:val="24"/>
          <w:lang w:val="en-US" w:eastAsia="zh-CN"/>
        </w:rPr>
        <w:t>、</w:t>
      </w:r>
      <w:r>
        <w:rPr>
          <w:rFonts w:hint="default"/>
          <w:sz w:val="24"/>
          <w:szCs w:val="24"/>
          <w:lang w:val="en-US" w:eastAsia="zh-CN"/>
        </w:rPr>
        <w:t>安装</w:t>
      </w:r>
    </w:p>
    <w:p>
      <w:pPr>
        <w:pStyle w:val="8"/>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2.1</w:t>
      </w:r>
      <w:r>
        <w:rPr>
          <w:rFonts w:hint="eastAsia"/>
          <w:sz w:val="24"/>
          <w:szCs w:val="24"/>
          <w:lang w:val="en-US" w:eastAsia="zh-CN"/>
        </w:rPr>
        <w:t xml:space="preserve">  </w:t>
      </w:r>
      <w:r>
        <w:rPr>
          <w:rFonts w:hint="default"/>
          <w:sz w:val="24"/>
          <w:szCs w:val="24"/>
          <w:lang w:val="en-US" w:eastAsia="zh-CN"/>
        </w:rPr>
        <w:t>货物到达买方指定地点后，卖方应按买方规定的日期指派工程技术人员对货物进行安装调试，直至通过验收。货物的安装调试及现场培训应在合同规定的期限内完成。</w:t>
      </w:r>
    </w:p>
    <w:p>
      <w:pPr>
        <w:pStyle w:val="8"/>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2.2  设备的安装必须符合有关标准和规范。安装过程中买方将对货物的安装质量进行监督。</w:t>
      </w:r>
    </w:p>
    <w:p>
      <w:pPr>
        <w:pStyle w:val="8"/>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3</w:t>
      </w:r>
      <w:r>
        <w:rPr>
          <w:rFonts w:hint="eastAsia"/>
          <w:sz w:val="24"/>
          <w:szCs w:val="24"/>
          <w:lang w:val="en-US" w:eastAsia="zh-CN"/>
        </w:rPr>
        <w:t>、</w:t>
      </w:r>
      <w:r>
        <w:rPr>
          <w:rFonts w:hint="default"/>
          <w:sz w:val="24"/>
          <w:szCs w:val="24"/>
          <w:lang w:val="en-US" w:eastAsia="zh-CN"/>
        </w:rPr>
        <w:t>调试</w:t>
      </w:r>
    </w:p>
    <w:p>
      <w:pPr>
        <w:pStyle w:val="8"/>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货物安装就位、校准后，卖方应按事先被买方认可的调试验收计划对货物进行调试，并对货物所标注的各项技术参数进行测试，测试报告将在货物验收完毕后提交给买方，但卖方应对测试的各种数据的真实性负责。买方也可以要求具有检测资质的第三方用专用仪器对货物进行功能 、性能测试，卖方负责所需的一切费用。</w:t>
      </w:r>
    </w:p>
    <w:p>
      <w:pPr>
        <w:pStyle w:val="8"/>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4</w:t>
      </w:r>
      <w:r>
        <w:rPr>
          <w:rFonts w:hint="eastAsia"/>
          <w:sz w:val="24"/>
          <w:szCs w:val="24"/>
          <w:lang w:val="en-US" w:eastAsia="zh-CN"/>
        </w:rPr>
        <w:t>、</w:t>
      </w:r>
      <w:r>
        <w:rPr>
          <w:rFonts w:hint="default"/>
          <w:sz w:val="24"/>
          <w:szCs w:val="24"/>
          <w:lang w:val="en-US" w:eastAsia="zh-CN"/>
        </w:rPr>
        <w:t>验收</w:t>
      </w:r>
    </w:p>
    <w:p>
      <w:pPr>
        <w:pStyle w:val="8"/>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货物经过试运行考核无故障（或存在的故障和隐患均已全部排除），并经相关部门检验合格，所有的技术资料和图纸已向买方提交并被接受，验收视为合格，买卖双方签署验收合格证书。 若因卖方产品质量或安装技术问题导致验收不合格，卖方应及时予以处理，直至验收合格，期间发生的一切相关费用由卖方承担，买方保留向卖方索赔的权利。</w:t>
      </w:r>
    </w:p>
    <w:p>
      <w:pPr>
        <w:pStyle w:val="8"/>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5</w:t>
      </w:r>
      <w:r>
        <w:rPr>
          <w:rFonts w:hint="eastAsia"/>
          <w:sz w:val="24"/>
          <w:szCs w:val="24"/>
          <w:lang w:val="en-US" w:eastAsia="zh-CN"/>
        </w:rPr>
        <w:t>、</w:t>
      </w:r>
      <w:r>
        <w:rPr>
          <w:rFonts w:hint="default"/>
          <w:sz w:val="24"/>
          <w:szCs w:val="24"/>
          <w:lang w:val="en-US" w:eastAsia="zh-CN"/>
        </w:rPr>
        <w:t>若因卖方产品质量或安装技术问题导致货物二次验收都不合格，买方有权选择退货，并保留向卖方索赔的权利。</w:t>
      </w:r>
    </w:p>
    <w:p>
      <w:pPr>
        <w:pStyle w:val="8"/>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6</w:t>
      </w:r>
      <w:r>
        <w:rPr>
          <w:rFonts w:hint="eastAsia"/>
          <w:sz w:val="24"/>
          <w:szCs w:val="24"/>
          <w:lang w:val="en-US" w:eastAsia="zh-CN"/>
        </w:rPr>
        <w:t>、</w:t>
      </w:r>
      <w:r>
        <w:rPr>
          <w:rFonts w:hint="default"/>
          <w:sz w:val="24"/>
          <w:szCs w:val="24"/>
          <w:lang w:val="en-US" w:eastAsia="zh-CN"/>
        </w:rPr>
        <w:t>卖方在货物到货、安装、调试和验收期间应接受买方的协调和管理，卖方应采取严格的防范措施，承担由于自身原因所造成的事故责任及其发生的一切费用。</w:t>
      </w:r>
    </w:p>
    <w:p>
      <w:pPr>
        <w:pStyle w:val="8"/>
        <w:numPr>
          <w:ilvl w:val="0"/>
          <w:numId w:val="0"/>
        </w:numPr>
        <w:spacing w:line="360" w:lineRule="auto"/>
        <w:rPr>
          <w:rFonts w:hint="default"/>
          <w:b/>
          <w:bCs/>
          <w:sz w:val="24"/>
          <w:szCs w:val="24"/>
          <w:lang w:val="en-US" w:eastAsia="zh-CN"/>
        </w:rPr>
      </w:pPr>
      <w:r>
        <w:rPr>
          <w:rFonts w:hint="eastAsia"/>
          <w:b/>
          <w:bCs/>
          <w:sz w:val="24"/>
          <w:szCs w:val="24"/>
          <w:lang w:val="en-US" w:eastAsia="zh-CN"/>
        </w:rPr>
        <w:t>八、</w:t>
      </w:r>
      <w:r>
        <w:rPr>
          <w:rFonts w:hint="default"/>
          <w:b/>
          <w:bCs/>
          <w:sz w:val="24"/>
          <w:szCs w:val="24"/>
          <w:lang w:val="en-US" w:eastAsia="zh-CN"/>
        </w:rPr>
        <w:t>技术服务和人员培训</w:t>
      </w:r>
    </w:p>
    <w:p>
      <w:pPr>
        <w:pStyle w:val="8"/>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1</w:t>
      </w:r>
      <w:r>
        <w:rPr>
          <w:rFonts w:hint="eastAsia"/>
          <w:sz w:val="24"/>
          <w:szCs w:val="24"/>
          <w:lang w:val="en-US" w:eastAsia="zh-CN"/>
        </w:rPr>
        <w:t>、</w:t>
      </w:r>
      <w:r>
        <w:rPr>
          <w:rFonts w:hint="default"/>
          <w:sz w:val="24"/>
          <w:szCs w:val="24"/>
          <w:lang w:val="en-US" w:eastAsia="zh-CN"/>
        </w:rPr>
        <w:t>维修技术服务。出现质量问题而买方无法自行解决的，卖方在接到买方的维修电话或传真通知后10分钟内作出响应，电话沟通无法解决的，卖方维修人员应在60分钟内到达现场进行维修，排除故障，重大质量问题一时无法解决的，卖方应提出解决问题的应急处理预案。提供7×24小时电话咨询服务。</w:t>
      </w:r>
    </w:p>
    <w:p>
      <w:pPr>
        <w:pStyle w:val="8"/>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2</w:t>
      </w:r>
      <w:r>
        <w:rPr>
          <w:rFonts w:hint="eastAsia"/>
          <w:sz w:val="24"/>
          <w:szCs w:val="24"/>
          <w:lang w:val="en-US" w:eastAsia="zh-CN"/>
        </w:rPr>
        <w:t>、</w:t>
      </w:r>
      <w:r>
        <w:rPr>
          <w:rFonts w:hint="default"/>
          <w:sz w:val="24"/>
          <w:szCs w:val="24"/>
          <w:lang w:val="en-US" w:eastAsia="zh-CN"/>
        </w:rPr>
        <w:t>合同规定的期限内，卖方应派遣有经验的工程技术人员在安装调试现场对买方指派人员进行操作和保养培训，使其能独立操作、维护、包养。培训计划方案（培训人数、时间、地点、教材、费用）应在投标文件中详细说明。其费用可单独报价，计入总价，如免费培训需在投标文件中作出说明。</w:t>
      </w:r>
    </w:p>
    <w:p>
      <w:pPr>
        <w:pStyle w:val="8"/>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3</w:t>
      </w:r>
      <w:r>
        <w:rPr>
          <w:rFonts w:hint="eastAsia"/>
          <w:sz w:val="24"/>
          <w:szCs w:val="24"/>
          <w:lang w:val="en-US" w:eastAsia="zh-CN"/>
        </w:rPr>
        <w:t>、</w:t>
      </w:r>
      <w:r>
        <w:rPr>
          <w:rFonts w:hint="default"/>
          <w:sz w:val="24"/>
          <w:szCs w:val="24"/>
          <w:lang w:val="en-US" w:eastAsia="zh-CN"/>
        </w:rPr>
        <w:t>质保期满后，卖方工程技术、维修人员也须不定期的进行回访，并为买方提供优质、优价的终身维修和产品维护保养。</w:t>
      </w:r>
    </w:p>
    <w:p>
      <w:pPr>
        <w:pStyle w:val="8"/>
        <w:numPr>
          <w:ilvl w:val="0"/>
          <w:numId w:val="0"/>
        </w:numPr>
        <w:spacing w:line="360" w:lineRule="auto"/>
        <w:rPr>
          <w:rFonts w:hint="eastAsia"/>
          <w:b/>
          <w:bCs/>
          <w:sz w:val="24"/>
          <w:szCs w:val="24"/>
          <w:lang w:val="en-US" w:eastAsia="zh-CN"/>
        </w:rPr>
      </w:pPr>
      <w:r>
        <w:rPr>
          <w:rFonts w:hint="eastAsia"/>
          <w:b/>
          <w:bCs/>
          <w:sz w:val="24"/>
          <w:szCs w:val="24"/>
          <w:lang w:val="en-US" w:eastAsia="zh-CN"/>
        </w:rPr>
        <w:t>九、其他</w:t>
      </w:r>
    </w:p>
    <w:p>
      <w:pPr>
        <w:pStyle w:val="8"/>
        <w:numPr>
          <w:ilvl w:val="0"/>
          <w:numId w:val="0"/>
        </w:numPr>
        <w:spacing w:line="360" w:lineRule="auto"/>
        <w:ind w:firstLine="480" w:firstLineChars="200"/>
        <w:rPr>
          <w:rFonts w:hint="default"/>
          <w:b w:val="0"/>
          <w:bCs w:val="0"/>
          <w:sz w:val="24"/>
          <w:szCs w:val="24"/>
          <w:u w:val="single"/>
          <w:lang w:val="en-US" w:eastAsia="zh-CN"/>
        </w:rPr>
      </w:pPr>
      <w:r>
        <w:rPr>
          <w:rFonts w:hint="eastAsia"/>
          <w:b w:val="0"/>
          <w:bCs w:val="0"/>
          <w:sz w:val="24"/>
          <w:szCs w:val="24"/>
          <w:lang w:val="en-US" w:eastAsia="zh-CN"/>
        </w:rPr>
        <w:t>1、合同签订后乙方须在</w:t>
      </w:r>
      <w:r>
        <w:rPr>
          <w:rFonts w:hint="eastAsia"/>
          <w:b w:val="0"/>
          <w:bCs w:val="0"/>
          <w:sz w:val="24"/>
          <w:szCs w:val="24"/>
          <w:u w:val="single"/>
          <w:lang w:val="en-US" w:eastAsia="zh-CN"/>
        </w:rPr>
        <w:t xml:space="preserve"> 10 </w:t>
      </w:r>
      <w:r>
        <w:rPr>
          <w:rFonts w:hint="eastAsia"/>
          <w:b w:val="0"/>
          <w:bCs w:val="0"/>
          <w:sz w:val="24"/>
          <w:szCs w:val="24"/>
          <w:u w:val="none"/>
          <w:lang w:val="en-US" w:eastAsia="zh-CN"/>
        </w:rPr>
        <w:t>个</w:t>
      </w:r>
      <w:r>
        <w:rPr>
          <w:rFonts w:hint="eastAsia"/>
          <w:b w:val="0"/>
          <w:bCs w:val="0"/>
          <w:sz w:val="24"/>
          <w:szCs w:val="24"/>
          <w:lang w:val="en-US" w:eastAsia="zh-CN"/>
        </w:rPr>
        <w:t>工作日内完成全部产品的到货。</w:t>
      </w:r>
    </w:p>
    <w:p>
      <w:pPr>
        <w:pStyle w:val="8"/>
        <w:numPr>
          <w:ilvl w:val="0"/>
          <w:numId w:val="0"/>
        </w:numPr>
        <w:spacing w:line="360" w:lineRule="auto"/>
        <w:rPr>
          <w:rFonts w:hint="default"/>
          <w:b/>
          <w:bCs/>
          <w:sz w:val="24"/>
          <w:szCs w:val="24"/>
          <w:lang w:val="en-US" w:eastAsia="zh-CN"/>
        </w:rPr>
      </w:pPr>
      <w:r>
        <w:rPr>
          <w:rFonts w:hint="eastAsia"/>
          <w:b/>
          <w:bCs/>
          <w:sz w:val="24"/>
          <w:szCs w:val="24"/>
          <w:lang w:val="en-US" w:eastAsia="zh-CN"/>
        </w:rPr>
        <w:t>十</w:t>
      </w:r>
      <w:r>
        <w:rPr>
          <w:rFonts w:hint="default"/>
          <w:b/>
          <w:bCs/>
          <w:sz w:val="24"/>
          <w:szCs w:val="24"/>
          <w:lang w:val="en-US" w:eastAsia="zh-CN"/>
        </w:rPr>
        <w:t>、</w:t>
      </w:r>
      <w:r>
        <w:rPr>
          <w:rFonts w:hint="eastAsia"/>
          <w:b/>
          <w:bCs/>
          <w:sz w:val="24"/>
          <w:szCs w:val="24"/>
          <w:lang w:val="en-US" w:eastAsia="zh-CN"/>
        </w:rPr>
        <w:t>合同签署-</w:t>
      </w:r>
      <w:r>
        <w:rPr>
          <w:rFonts w:hint="default"/>
          <w:b/>
          <w:bCs/>
          <w:sz w:val="24"/>
          <w:szCs w:val="24"/>
          <w:lang w:val="en-US" w:eastAsia="zh-CN"/>
        </w:rPr>
        <w:t>违约责任</w:t>
      </w:r>
    </w:p>
    <w:p>
      <w:pPr>
        <w:pStyle w:val="8"/>
        <w:numPr>
          <w:ilvl w:val="0"/>
          <w:numId w:val="0"/>
        </w:num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1、甲方无正当理由拒收货物的，甲方向乙方偿付拒收货款总值的 百分之五 违约金。</w:t>
      </w:r>
    </w:p>
    <w:p>
      <w:pPr>
        <w:pStyle w:val="8"/>
        <w:numPr>
          <w:ilvl w:val="0"/>
          <w:numId w:val="0"/>
        </w:num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2、乙方逾期交付货物的，乙方应按逾期交货总额每日 千分之六 向甲方支付违约金，由甲方从待付货款中扣除。逾期超过约定日期 10 个工作日不能交货的，甲方可解除合同。乙方因逾期交货或因其他违约行为导致甲方解除合同的，乙方应向甲方支付合同总值 5 %的违约金，如造成甲方损失超过违约金的，超出部分由乙方继续承担赔偿责任。</w:t>
      </w:r>
    </w:p>
    <w:p>
      <w:pPr>
        <w:pStyle w:val="8"/>
        <w:numPr>
          <w:ilvl w:val="0"/>
          <w:numId w:val="0"/>
        </w:num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乙方所交的货物品种、型号、规格、技术参数、质量不符合合同规定及招标文件规定标准的，甲方有权拒收该货物，乙方愿意更换货物，但逾期交货的，按乙方逾期交货处理。乙方拒绝更换货物的，甲方可单方面解除合同。</w:t>
      </w:r>
    </w:p>
    <w:p>
      <w:pPr>
        <w:pStyle w:val="8"/>
        <w:numPr>
          <w:ilvl w:val="0"/>
          <w:numId w:val="0"/>
        </w:num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4、由于乙方所提供的货物存在问题，给第三人人身或财产造成损害的，由乙方承担赔偿责任。若甲方承担赔偿责任后，有权向乙方追偿，包括但不限于律师费、诉讼费、交通费等。</w:t>
      </w:r>
    </w:p>
    <w:p>
      <w:pPr>
        <w:pStyle w:val="8"/>
        <w:numPr>
          <w:ilvl w:val="0"/>
          <w:numId w:val="0"/>
        </w:numPr>
        <w:spacing w:line="360" w:lineRule="auto"/>
        <w:rPr>
          <w:rFonts w:hint="default"/>
          <w:b/>
          <w:bCs/>
          <w:sz w:val="24"/>
          <w:szCs w:val="24"/>
          <w:lang w:val="en-US" w:eastAsia="zh-CN"/>
        </w:rPr>
      </w:pPr>
      <w:r>
        <w:rPr>
          <w:rFonts w:hint="eastAsia"/>
          <w:b/>
          <w:bCs/>
          <w:sz w:val="24"/>
          <w:szCs w:val="24"/>
          <w:lang w:val="en-US" w:eastAsia="zh-CN"/>
        </w:rPr>
        <w:t>十一</w:t>
      </w:r>
      <w:r>
        <w:rPr>
          <w:rFonts w:hint="default"/>
          <w:b/>
          <w:bCs/>
          <w:sz w:val="24"/>
          <w:szCs w:val="24"/>
          <w:lang w:val="en-US" w:eastAsia="zh-CN"/>
        </w:rPr>
        <w:t>、</w:t>
      </w:r>
      <w:r>
        <w:rPr>
          <w:rFonts w:hint="eastAsia"/>
          <w:b/>
          <w:bCs/>
          <w:sz w:val="24"/>
          <w:szCs w:val="24"/>
          <w:lang w:val="en-US" w:eastAsia="zh-CN"/>
        </w:rPr>
        <w:t>合同签署-</w:t>
      </w:r>
      <w:r>
        <w:rPr>
          <w:rFonts w:hint="default"/>
          <w:b/>
          <w:bCs/>
          <w:sz w:val="24"/>
          <w:szCs w:val="24"/>
          <w:lang w:val="en-US" w:eastAsia="zh-CN"/>
        </w:rPr>
        <w:t>不可抗力事件处理</w:t>
      </w:r>
    </w:p>
    <w:p>
      <w:pPr>
        <w:pStyle w:val="8"/>
        <w:numPr>
          <w:ilvl w:val="0"/>
          <w:numId w:val="0"/>
        </w:num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1、在合同有效期内，任何一方因不可抗力事件导致不能履行合同，则合同履行期可延长，其延长期与不可抗力影响期相同。</w:t>
      </w:r>
    </w:p>
    <w:p>
      <w:pPr>
        <w:pStyle w:val="8"/>
        <w:numPr>
          <w:ilvl w:val="0"/>
          <w:numId w:val="0"/>
        </w:num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2、不可抗力事件发生后，应立即通知对方，并寄送有关权威机构出具的证明。</w:t>
      </w:r>
    </w:p>
    <w:p>
      <w:pPr>
        <w:pStyle w:val="8"/>
        <w:numPr>
          <w:ilvl w:val="0"/>
          <w:numId w:val="0"/>
        </w:num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3、不可抗力事件延续 120天以上，双方应通过友好协商，确定是否继续履行合同。</w:t>
      </w:r>
    </w:p>
    <w:p>
      <w:pPr>
        <w:pStyle w:val="8"/>
        <w:numPr>
          <w:ilvl w:val="0"/>
          <w:numId w:val="0"/>
        </w:numPr>
        <w:spacing w:line="360" w:lineRule="auto"/>
        <w:rPr>
          <w:rFonts w:hint="default"/>
          <w:b/>
          <w:bCs/>
          <w:sz w:val="24"/>
          <w:szCs w:val="24"/>
          <w:lang w:val="en-US" w:eastAsia="zh-CN"/>
        </w:rPr>
      </w:pPr>
      <w:r>
        <w:rPr>
          <w:rFonts w:hint="eastAsia"/>
          <w:b/>
          <w:bCs/>
          <w:sz w:val="24"/>
          <w:szCs w:val="24"/>
          <w:lang w:val="en-US" w:eastAsia="zh-CN"/>
        </w:rPr>
        <w:t>十二</w:t>
      </w:r>
      <w:r>
        <w:rPr>
          <w:rFonts w:hint="default"/>
          <w:b/>
          <w:bCs/>
          <w:sz w:val="24"/>
          <w:szCs w:val="24"/>
          <w:lang w:val="en-US" w:eastAsia="zh-CN"/>
        </w:rPr>
        <w:t>、</w:t>
      </w:r>
      <w:r>
        <w:rPr>
          <w:rFonts w:hint="eastAsia"/>
          <w:b/>
          <w:bCs/>
          <w:sz w:val="24"/>
          <w:szCs w:val="24"/>
          <w:lang w:val="en-US" w:eastAsia="zh-CN"/>
        </w:rPr>
        <w:t>合同签署-</w:t>
      </w:r>
      <w:r>
        <w:rPr>
          <w:rFonts w:hint="default"/>
          <w:b/>
          <w:bCs/>
          <w:sz w:val="24"/>
          <w:szCs w:val="24"/>
          <w:lang w:val="en-US" w:eastAsia="zh-CN"/>
        </w:rPr>
        <w:t>诉讼</w:t>
      </w:r>
    </w:p>
    <w:p>
      <w:pPr>
        <w:pStyle w:val="8"/>
        <w:numPr>
          <w:ilvl w:val="0"/>
          <w:numId w:val="0"/>
        </w:numPr>
        <w:spacing w:line="360" w:lineRule="auto"/>
        <w:ind w:firstLine="480" w:firstLineChars="200"/>
        <w:rPr>
          <w:rFonts w:hint="eastAsia"/>
          <w:sz w:val="24"/>
          <w:szCs w:val="24"/>
          <w:lang w:val="en-US" w:eastAsia="zh-CN"/>
        </w:rPr>
      </w:pPr>
      <w:r>
        <w:rPr>
          <w:rFonts w:hint="default"/>
          <w:b w:val="0"/>
          <w:bCs w:val="0"/>
          <w:sz w:val="24"/>
          <w:szCs w:val="24"/>
          <w:lang w:val="en-US" w:eastAsia="zh-CN"/>
        </w:rPr>
        <w:t>双方在履行合同中所发生的一切争议，应通过协商解决。如协商不成，向甲方所在地法院起诉。</w:t>
      </w:r>
    </w:p>
    <w:sectPr>
      <w:pgSz w:w="16838" w:h="11906" w:orient="landscape"/>
      <w:pgMar w:top="680" w:right="1304" w:bottom="680"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1FC988"/>
    <w:multiLevelType w:val="singleLevel"/>
    <w:tmpl w:val="F41FC988"/>
    <w:lvl w:ilvl="0" w:tentative="0">
      <w:start w:val="4"/>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zN2FlZGQyNmExMDc1YTc1OWIxYmFlNmE1NTFhMTUifQ=="/>
  </w:docVars>
  <w:rsids>
    <w:rsidRoot w:val="00A02A37"/>
    <w:rsid w:val="0007646E"/>
    <w:rsid w:val="002A0406"/>
    <w:rsid w:val="007373BC"/>
    <w:rsid w:val="00A02A37"/>
    <w:rsid w:val="00A457FA"/>
    <w:rsid w:val="00F0269D"/>
    <w:rsid w:val="04684506"/>
    <w:rsid w:val="05255951"/>
    <w:rsid w:val="10C71F5A"/>
    <w:rsid w:val="12900868"/>
    <w:rsid w:val="1D3C515C"/>
    <w:rsid w:val="209B4FA7"/>
    <w:rsid w:val="21DA0877"/>
    <w:rsid w:val="252217F3"/>
    <w:rsid w:val="2AC41535"/>
    <w:rsid w:val="2EBF307B"/>
    <w:rsid w:val="321150C9"/>
    <w:rsid w:val="32786689"/>
    <w:rsid w:val="3AB111F7"/>
    <w:rsid w:val="3DD35929"/>
    <w:rsid w:val="3EC97C4B"/>
    <w:rsid w:val="41192A66"/>
    <w:rsid w:val="42342C2B"/>
    <w:rsid w:val="48C84ABD"/>
    <w:rsid w:val="53F80A91"/>
    <w:rsid w:val="557B2903"/>
    <w:rsid w:val="5A0F768E"/>
    <w:rsid w:val="5A8E1021"/>
    <w:rsid w:val="68AC65E3"/>
    <w:rsid w:val="6EAD47D5"/>
    <w:rsid w:val="71C32FE3"/>
    <w:rsid w:val="747B3DF6"/>
    <w:rsid w:val="75C15A8B"/>
    <w:rsid w:val="765A5288"/>
    <w:rsid w:val="7AEC351C"/>
    <w:rsid w:val="7B66201D"/>
    <w:rsid w:val="7F8E4C30"/>
    <w:rsid w:val="7FE119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after="120"/>
    </w:pPr>
  </w:style>
  <w:style w:type="paragraph" w:styleId="3">
    <w:name w:val="Body Text Indent"/>
    <w:basedOn w:val="1"/>
    <w:autoRedefine/>
    <w:qFormat/>
    <w:uiPriority w:val="0"/>
    <w:pPr>
      <w:ind w:firstLine="555"/>
    </w:pPr>
  </w:style>
  <w:style w:type="paragraph" w:styleId="4">
    <w:name w:val="Balloon Text"/>
    <w:basedOn w:val="1"/>
    <w:link w:val="11"/>
    <w:autoRedefine/>
    <w:qFormat/>
    <w:uiPriority w:val="0"/>
    <w:rPr>
      <w:sz w:val="18"/>
      <w:szCs w:val="18"/>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w:basedOn w:val="2"/>
    <w:autoRedefine/>
    <w:qFormat/>
    <w:uiPriority w:val="0"/>
    <w:pPr>
      <w:ind w:firstLine="420" w:firstLineChars="100"/>
    </w:pPr>
  </w:style>
  <w:style w:type="paragraph" w:styleId="8">
    <w:name w:val="Body Text First Indent 2"/>
    <w:basedOn w:val="3"/>
    <w:autoRedefine/>
    <w:unhideWhenUsed/>
    <w:qFormat/>
    <w:uiPriority w:val="99"/>
    <w:pPr>
      <w:ind w:firstLine="420" w:firstLineChars="200"/>
    </w:pPr>
  </w:style>
  <w:style w:type="character" w:customStyle="1" w:styleId="11">
    <w:name w:val="批注框文本 Char"/>
    <w:basedOn w:val="10"/>
    <w:link w:val="4"/>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2247</Words>
  <Characters>2324</Characters>
  <Lines>1</Lines>
  <Paragraphs>1</Paragraphs>
  <TotalTime>1</TotalTime>
  <ScaleCrop>false</ScaleCrop>
  <LinksUpToDate>false</LinksUpToDate>
  <CharactersWithSpaces>2342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2022-04-15T10:54:00Z</dcterms:created>
  <dc:creator>1</dc:creator>
  <cp:lastModifiedBy>市渔业应急处置指挥中心</cp:lastModifiedBy>
  <dcterms:modified xsi:type="dcterms:W3CDTF">2025-10-28T02:02:23Z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7C5A16EDF2E647309599E4BF75944C46</vt:lpwstr>
  </property>
</Properties>
</file>