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b/>
          <w:bCs/>
          <w:color w:val="auto"/>
          <w:sz w:val="36"/>
          <w:szCs w:val="36"/>
        </w:rPr>
      </w:pPr>
      <w:bookmarkStart w:id="0" w:name="_Toc451522337"/>
      <w:r>
        <w:rPr>
          <w:rFonts w:hint="eastAsia" w:ascii="宋体" w:hAnsi="宋体" w:cs="宋体"/>
          <w:b/>
          <w:bCs/>
          <w:color w:val="auto"/>
          <w:sz w:val="36"/>
          <w:szCs w:val="36"/>
        </w:rPr>
        <w:t>温州市中医院</w:t>
      </w:r>
      <w:r>
        <w:rPr>
          <w:rFonts w:hint="eastAsia" w:ascii="宋体" w:hAnsi="宋体" w:cs="宋体"/>
          <w:b/>
          <w:bCs/>
          <w:color w:val="auto"/>
          <w:sz w:val="36"/>
          <w:szCs w:val="36"/>
          <w:lang w:val="en-US" w:eastAsia="zh-CN"/>
        </w:rPr>
        <w:t>信息机房密评改造项目</w:t>
      </w:r>
      <w:r>
        <w:rPr>
          <w:rFonts w:hint="eastAsia" w:ascii="宋体" w:hAnsi="宋体" w:cs="宋体"/>
          <w:b/>
          <w:bCs/>
          <w:color w:val="auto"/>
          <w:sz w:val="36"/>
          <w:szCs w:val="36"/>
        </w:rPr>
        <w:t>采购</w:t>
      </w:r>
      <w:bookmarkEnd w:id="0"/>
      <w:r>
        <w:rPr>
          <w:rFonts w:hint="eastAsia" w:ascii="宋体" w:hAnsi="宋体" w:cs="宋体"/>
          <w:b/>
          <w:bCs/>
          <w:color w:val="auto"/>
          <w:sz w:val="36"/>
          <w:szCs w:val="36"/>
        </w:rPr>
        <w:t>文件</w:t>
      </w:r>
    </w:p>
    <w:p>
      <w:pPr>
        <w:numPr>
          <w:ilvl w:val="0"/>
          <w:numId w:val="0"/>
        </w:numPr>
        <w:spacing w:line="360" w:lineRule="auto"/>
        <w:rPr>
          <w:color w:val="auto"/>
          <w:sz w:val="24"/>
        </w:rPr>
      </w:pPr>
      <w:r>
        <w:rPr>
          <w:rFonts w:hint="eastAsia" w:ascii="Times New Roman" w:hAnsi="Times New Roman" w:eastAsia="宋体" w:cs="Times New Roman"/>
          <w:color w:val="auto"/>
          <w:kern w:val="2"/>
          <w:sz w:val="24"/>
          <w:szCs w:val="24"/>
          <w:lang w:val="en-US" w:eastAsia="zh-CN" w:bidi="ar-SA"/>
        </w:rPr>
        <w:t>一、</w:t>
      </w:r>
      <w:r>
        <w:rPr>
          <w:rFonts w:hint="eastAsia"/>
          <w:b/>
          <w:bCs/>
          <w:color w:val="auto"/>
          <w:sz w:val="28"/>
          <w:szCs w:val="28"/>
        </w:rPr>
        <w:t>项目名称</w:t>
      </w:r>
      <w:r>
        <w:rPr>
          <w:rFonts w:hint="eastAsia"/>
          <w:color w:val="auto"/>
          <w:sz w:val="24"/>
        </w:rPr>
        <w:t>：</w:t>
      </w:r>
      <w:r>
        <w:rPr>
          <w:rFonts w:hint="eastAsia" w:ascii="宋体" w:hAnsi="宋体" w:cs="宋体"/>
          <w:color w:val="auto"/>
          <w:sz w:val="24"/>
          <w:lang w:eastAsia="zh-Hans"/>
        </w:rPr>
        <w:t>温州市中医院</w:t>
      </w:r>
      <w:r>
        <w:rPr>
          <w:rFonts w:hint="eastAsia" w:ascii="宋体" w:hAnsi="宋体" w:cs="宋体"/>
          <w:color w:val="auto"/>
          <w:sz w:val="24"/>
          <w:lang w:val="en-US" w:eastAsia="zh-CN"/>
        </w:rPr>
        <w:t>信息机房密评改造</w:t>
      </w:r>
    </w:p>
    <w:p>
      <w:pPr>
        <w:spacing w:line="360" w:lineRule="auto"/>
        <w:rPr>
          <w:color w:val="auto"/>
          <w:sz w:val="24"/>
        </w:rPr>
      </w:pPr>
      <w:r>
        <w:rPr>
          <w:rFonts w:hint="eastAsia"/>
          <w:b/>
          <w:bCs/>
          <w:color w:val="auto"/>
          <w:sz w:val="28"/>
          <w:szCs w:val="28"/>
        </w:rPr>
        <w:t>二、采购方式：</w:t>
      </w:r>
      <w:r>
        <w:rPr>
          <w:rFonts w:hint="eastAsia"/>
          <w:color w:val="auto"/>
          <w:sz w:val="24"/>
        </w:rPr>
        <w:t>公开遴选（非政府采购）</w:t>
      </w:r>
    </w:p>
    <w:p>
      <w:pPr>
        <w:spacing w:line="360" w:lineRule="auto"/>
        <w:rPr>
          <w:rFonts w:hint="eastAsia" w:ascii="宋体" w:hAnsi="宋体" w:cs="宋体"/>
          <w:color w:val="auto"/>
          <w:sz w:val="24"/>
        </w:rPr>
      </w:pPr>
      <w:bookmarkStart w:id="1" w:name="OLE_LINK1"/>
      <w:r>
        <w:rPr>
          <w:rFonts w:hint="eastAsia"/>
          <w:b/>
          <w:bCs/>
          <w:color w:val="auto"/>
          <w:sz w:val="28"/>
          <w:szCs w:val="28"/>
        </w:rPr>
        <w:t>三、预算金额：</w:t>
      </w:r>
      <w:r>
        <w:rPr>
          <w:rFonts w:hint="eastAsia"/>
          <w:b/>
          <w:bCs/>
          <w:color w:val="auto"/>
          <w:sz w:val="28"/>
          <w:szCs w:val="28"/>
          <w:lang w:val="en-US" w:eastAsia="zh-CN"/>
        </w:rPr>
        <w:t xml:space="preserve"> </w:t>
      </w:r>
      <w:r>
        <w:rPr>
          <w:rFonts w:hint="eastAsia"/>
          <w:b w:val="0"/>
          <w:bCs w:val="0"/>
          <w:color w:val="auto"/>
          <w:sz w:val="28"/>
          <w:szCs w:val="28"/>
          <w:lang w:val="en-US" w:eastAsia="zh-CN"/>
        </w:rPr>
        <w:t>98000</w:t>
      </w:r>
      <w:r>
        <w:rPr>
          <w:rFonts w:hint="eastAsia" w:ascii="宋体" w:hAnsi="宋体" w:cs="宋体"/>
          <w:color w:val="auto"/>
          <w:sz w:val="24"/>
        </w:rPr>
        <w:t>元</w:t>
      </w:r>
    </w:p>
    <w:p>
      <w:pPr>
        <w:spacing w:line="360" w:lineRule="auto"/>
        <w:rPr>
          <w:b/>
          <w:bCs/>
          <w:color w:val="auto"/>
          <w:sz w:val="28"/>
          <w:szCs w:val="28"/>
        </w:rPr>
      </w:pPr>
      <w:bookmarkStart w:id="2" w:name="OLE_LINK3"/>
      <w:bookmarkStart w:id="3" w:name="OLE_LINK6"/>
      <w:bookmarkStart w:id="4" w:name="OLE_LINK2"/>
      <w:r>
        <w:rPr>
          <w:rFonts w:hint="eastAsia"/>
          <w:b/>
          <w:bCs/>
          <w:color w:val="auto"/>
          <w:sz w:val="28"/>
          <w:szCs w:val="28"/>
        </w:rPr>
        <w:t>四、招标内容及技术要求</w:t>
      </w:r>
    </w:p>
    <w:bookmarkEnd w:id="2"/>
    <w:p>
      <w:pPr>
        <w:ind w:firstLine="482" w:firstLineChars="200"/>
        <w:rPr>
          <w:b/>
          <w:bCs/>
          <w:color w:val="auto"/>
          <w:sz w:val="24"/>
        </w:rPr>
      </w:pPr>
      <w:bookmarkStart w:id="5" w:name="OLE_LINK5"/>
      <w:r>
        <w:rPr>
          <w:rFonts w:hint="eastAsia"/>
          <w:b/>
          <w:bCs/>
          <w:color w:val="auto"/>
          <w:sz w:val="24"/>
        </w:rPr>
        <w:t>（一）招标内容</w:t>
      </w:r>
    </w:p>
    <w:bookmarkEnd w:id="3"/>
    <w:bookmarkEnd w:id="4"/>
    <w:bookmarkEnd w:id="5"/>
    <w:p>
      <w:pPr>
        <w:spacing w:line="240" w:lineRule="auto"/>
        <w:rPr>
          <w:color w:val="auto"/>
          <w:sz w:val="24"/>
        </w:rPr>
      </w:pPr>
      <w:bookmarkStart w:id="6" w:name="OLE_LINK4"/>
    </w:p>
    <w:tbl>
      <w:tblPr>
        <w:tblStyle w:val="17"/>
        <w:tblpPr w:leftFromText="180" w:rightFromText="180" w:vertAnchor="text" w:horzAnchor="page" w:tblpX="1262" w:tblpY="-266"/>
        <w:tblOverlap w:val="never"/>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3"/>
        <w:gridCol w:w="912"/>
        <w:gridCol w:w="1395"/>
        <w:gridCol w:w="4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033" w:type="dxa"/>
            <w:vAlign w:val="center"/>
          </w:tcPr>
          <w:p>
            <w:pPr>
              <w:pStyle w:val="2"/>
              <w:jc w:val="center"/>
              <w:rPr>
                <w:rFonts w:hint="eastAsia"/>
                <w:b w:val="0"/>
                <w:bCs/>
                <w:color w:val="auto"/>
                <w:sz w:val="24"/>
                <w:szCs w:val="24"/>
              </w:rPr>
            </w:pPr>
            <w:r>
              <w:rPr>
                <w:rStyle w:val="19"/>
                <w:rFonts w:hint="eastAsia" w:ascii="宋体" w:hAnsi="宋体" w:cs="宋体"/>
                <w:b w:val="0"/>
                <w:bCs/>
                <w:color w:val="auto"/>
                <w:sz w:val="24"/>
                <w:szCs w:val="24"/>
                <w:shd w:val="clear" w:color="auto" w:fill="FFFFFF"/>
              </w:rPr>
              <w:t>采购内容</w:t>
            </w:r>
          </w:p>
        </w:tc>
        <w:tc>
          <w:tcPr>
            <w:tcW w:w="912" w:type="dxa"/>
            <w:vAlign w:val="center"/>
          </w:tcPr>
          <w:p>
            <w:pPr>
              <w:pStyle w:val="2"/>
              <w:ind w:left="0" w:leftChars="0" w:firstLine="0" w:firstLineChars="0"/>
              <w:jc w:val="center"/>
              <w:rPr>
                <w:rFonts w:hint="eastAsia"/>
                <w:b w:val="0"/>
                <w:bCs/>
                <w:color w:val="auto"/>
                <w:sz w:val="24"/>
                <w:szCs w:val="24"/>
              </w:rPr>
            </w:pPr>
            <w:r>
              <w:rPr>
                <w:rFonts w:hint="eastAsia"/>
                <w:b w:val="0"/>
                <w:bCs/>
                <w:color w:val="auto"/>
                <w:sz w:val="24"/>
                <w:szCs w:val="24"/>
              </w:rPr>
              <w:t>数量</w:t>
            </w:r>
          </w:p>
        </w:tc>
        <w:tc>
          <w:tcPr>
            <w:tcW w:w="1395" w:type="dxa"/>
            <w:vAlign w:val="center"/>
          </w:tcPr>
          <w:p>
            <w:pPr>
              <w:pStyle w:val="2"/>
              <w:ind w:left="0" w:leftChars="0" w:firstLine="0" w:firstLineChars="0"/>
              <w:jc w:val="center"/>
              <w:rPr>
                <w:rFonts w:hint="eastAsia"/>
                <w:b w:val="0"/>
                <w:bCs/>
                <w:color w:val="auto"/>
                <w:sz w:val="24"/>
                <w:szCs w:val="24"/>
              </w:rPr>
            </w:pPr>
            <w:r>
              <w:rPr>
                <w:rFonts w:hint="eastAsia"/>
                <w:b w:val="0"/>
                <w:bCs/>
                <w:color w:val="auto"/>
                <w:sz w:val="24"/>
                <w:szCs w:val="24"/>
              </w:rPr>
              <w:t>单位</w:t>
            </w:r>
          </w:p>
        </w:tc>
        <w:tc>
          <w:tcPr>
            <w:tcW w:w="4410" w:type="dxa"/>
            <w:vAlign w:val="center"/>
          </w:tcPr>
          <w:p>
            <w:pPr>
              <w:pStyle w:val="2"/>
              <w:jc w:val="center"/>
              <w:rPr>
                <w:rFonts w:hint="eastAsia"/>
                <w:b w:val="0"/>
                <w:bCs/>
                <w:color w:val="auto"/>
                <w:sz w:val="24"/>
                <w:szCs w:val="24"/>
              </w:rPr>
            </w:pPr>
            <w:r>
              <w:rPr>
                <w:rFonts w:hint="eastAsia"/>
                <w:b w:val="0"/>
                <w:bCs/>
                <w:color w:val="auto"/>
                <w:sz w:val="24"/>
                <w:szCs w:val="24"/>
              </w:rPr>
              <w:t>建设周期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33" w:type="dxa"/>
            <w:vAlign w:val="center"/>
          </w:tcPr>
          <w:p>
            <w:pPr>
              <w:numPr>
                <w:ilvl w:val="0"/>
                <w:numId w:val="0"/>
              </w:num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信息机房密评改造</w:t>
            </w:r>
          </w:p>
        </w:tc>
        <w:tc>
          <w:tcPr>
            <w:tcW w:w="912" w:type="dxa"/>
            <w:vAlign w:val="center"/>
          </w:tcPr>
          <w:p>
            <w:pPr>
              <w:pStyle w:val="2"/>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95" w:type="dxa"/>
            <w:vAlign w:val="center"/>
          </w:tcPr>
          <w:p>
            <w:pPr>
              <w:pStyle w:val="2"/>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w:t>
            </w:r>
          </w:p>
        </w:tc>
        <w:tc>
          <w:tcPr>
            <w:tcW w:w="4410" w:type="dxa"/>
            <w:vAlign w:val="center"/>
          </w:tcPr>
          <w:p>
            <w:pPr>
              <w:pStyle w:val="7"/>
              <w:spacing w:after="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合同签订后，</w:t>
            </w:r>
            <w:r>
              <w:rPr>
                <w:rFonts w:hint="eastAsia" w:ascii="宋体" w:hAnsi="宋体" w:cs="宋体"/>
                <w:bCs/>
                <w:snapToGrid w:val="0"/>
                <w:sz w:val="21"/>
                <w:szCs w:val="21"/>
                <w:lang w:val="en-US" w:eastAsia="zh-CN"/>
              </w:rPr>
              <w:t>30</w:t>
            </w:r>
            <w:r>
              <w:rPr>
                <w:rFonts w:hint="eastAsia" w:ascii="宋体" w:hAnsi="宋体" w:eastAsia="宋体" w:cs="宋体"/>
                <w:bCs/>
                <w:snapToGrid w:val="0"/>
                <w:sz w:val="21"/>
                <w:szCs w:val="21"/>
                <w:lang w:val="en-US" w:eastAsia="zh-CN"/>
              </w:rPr>
              <w:t>天</w:t>
            </w:r>
            <w:r>
              <w:rPr>
                <w:rFonts w:hint="eastAsia" w:ascii="宋体" w:hAnsi="宋体" w:cs="宋体"/>
                <w:bCs/>
                <w:snapToGrid w:val="0"/>
                <w:sz w:val="21"/>
                <w:szCs w:val="21"/>
                <w:lang w:val="en-US" w:eastAsia="zh-CN"/>
              </w:rPr>
              <w:t>内</w:t>
            </w:r>
            <w:r>
              <w:rPr>
                <w:rFonts w:hint="eastAsia" w:ascii="宋体" w:hAnsi="宋体" w:eastAsia="宋体" w:cs="宋体"/>
                <w:bCs/>
                <w:snapToGrid w:val="0"/>
                <w:sz w:val="21"/>
                <w:szCs w:val="21"/>
                <w:lang w:val="en-US" w:eastAsia="zh-CN"/>
              </w:rPr>
              <w:t>完成硬件到货及软件部署</w:t>
            </w:r>
          </w:p>
        </w:tc>
      </w:tr>
    </w:tbl>
    <w:p>
      <w:pPr>
        <w:numPr>
          <w:ilvl w:val="0"/>
          <w:numId w:val="1"/>
        </w:numPr>
        <w:spacing w:line="360" w:lineRule="auto"/>
        <w:ind w:firstLine="482" w:firstLineChars="200"/>
        <w:rPr>
          <w:rFonts w:hint="eastAsia"/>
          <w:b/>
          <w:bCs/>
          <w:color w:val="auto"/>
          <w:sz w:val="24"/>
          <w:lang w:val="en-US" w:eastAsia="zh-CN"/>
        </w:rPr>
      </w:pPr>
      <w:r>
        <w:rPr>
          <w:rFonts w:hint="eastAsia"/>
          <w:b/>
          <w:bCs/>
          <w:color w:val="auto"/>
          <w:sz w:val="24"/>
          <w:lang w:val="en-US" w:eastAsia="zh-CN"/>
        </w:rPr>
        <w:t>设备清单</w:t>
      </w:r>
    </w:p>
    <w:tbl>
      <w:tblPr>
        <w:tblStyle w:val="17"/>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5399"/>
        <w:gridCol w:w="1441"/>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设备名称</w:t>
            </w:r>
          </w:p>
        </w:tc>
        <w:tc>
          <w:tcPr>
            <w:tcW w:w="1441"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单位</w:t>
            </w:r>
          </w:p>
        </w:tc>
        <w:tc>
          <w:tcPr>
            <w:tcW w:w="1530"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国密安全视频设备</w:t>
            </w:r>
          </w:p>
        </w:tc>
        <w:tc>
          <w:tcPr>
            <w:tcW w:w="1441"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台</w:t>
            </w:r>
          </w:p>
        </w:tc>
        <w:tc>
          <w:tcPr>
            <w:tcW w:w="1530"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机房密评NVR</w:t>
            </w:r>
          </w:p>
        </w:tc>
        <w:tc>
          <w:tcPr>
            <w:tcW w:w="1441"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台</w:t>
            </w:r>
          </w:p>
        </w:tc>
        <w:tc>
          <w:tcPr>
            <w:tcW w:w="1530"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国密刷卡门禁控制器</w:t>
            </w:r>
          </w:p>
        </w:tc>
        <w:tc>
          <w:tcPr>
            <w:tcW w:w="1441"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台</w:t>
            </w:r>
          </w:p>
        </w:tc>
        <w:tc>
          <w:tcPr>
            <w:tcW w:w="1530"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国密读卡器</w:t>
            </w:r>
          </w:p>
        </w:tc>
        <w:tc>
          <w:tcPr>
            <w:tcW w:w="1441" w:type="dxa"/>
            <w:shd w:val="clear" w:color="auto" w:fill="auto"/>
            <w:vAlign w:val="center"/>
          </w:tcPr>
          <w:p>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台</w:t>
            </w:r>
          </w:p>
        </w:tc>
        <w:tc>
          <w:tcPr>
            <w:tcW w:w="1530" w:type="dxa"/>
            <w:shd w:val="clear" w:color="auto" w:fill="auto"/>
            <w:vAlign w:val="center"/>
          </w:tcPr>
          <w:p>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卡片录入仪</w:t>
            </w:r>
          </w:p>
        </w:tc>
        <w:tc>
          <w:tcPr>
            <w:tcW w:w="1441" w:type="dxa"/>
            <w:shd w:val="clear" w:color="auto" w:fill="auto"/>
            <w:vAlign w:val="center"/>
          </w:tcPr>
          <w:p>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台</w:t>
            </w:r>
          </w:p>
        </w:tc>
        <w:tc>
          <w:tcPr>
            <w:tcW w:w="1530" w:type="dxa"/>
            <w:shd w:val="clear" w:color="auto" w:fill="auto"/>
            <w:vAlign w:val="center"/>
          </w:tcPr>
          <w:p>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国密CPU卡</w:t>
            </w:r>
          </w:p>
        </w:tc>
        <w:tc>
          <w:tcPr>
            <w:tcW w:w="1441" w:type="dxa"/>
            <w:shd w:val="clear" w:color="auto" w:fill="auto"/>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张</w:t>
            </w:r>
          </w:p>
        </w:tc>
        <w:tc>
          <w:tcPr>
            <w:tcW w:w="1530" w:type="dxa"/>
            <w:shd w:val="clear" w:color="auto" w:fill="auto"/>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5" w:type="dxa"/>
            <w:vAlign w:val="center"/>
          </w:tcPr>
          <w:p>
            <w:pPr>
              <w:spacing w:line="36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5399" w:type="dxa"/>
          </w:tcPr>
          <w:p>
            <w:pPr>
              <w:spacing w:line="360" w:lineRule="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安全视频监控管理客户端</w:t>
            </w:r>
          </w:p>
        </w:tc>
        <w:tc>
          <w:tcPr>
            <w:tcW w:w="1441" w:type="dxa"/>
            <w:shd w:val="clear" w:color="auto" w:fill="auto"/>
            <w:vAlign w:val="center"/>
          </w:tcPr>
          <w:p>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台</w:t>
            </w:r>
          </w:p>
        </w:tc>
        <w:tc>
          <w:tcPr>
            <w:tcW w:w="1530" w:type="dxa"/>
            <w:shd w:val="clear" w:color="auto" w:fill="auto"/>
            <w:vAlign w:val="center"/>
          </w:tcPr>
          <w:p>
            <w:pPr>
              <w:spacing w:line="360" w:lineRule="auto"/>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val="en-US" w:eastAsia="zh-CN"/>
              </w:rPr>
              <w:t>1</w:t>
            </w:r>
          </w:p>
        </w:tc>
      </w:tr>
    </w:tbl>
    <w:p>
      <w:pPr>
        <w:numPr>
          <w:ilvl w:val="0"/>
          <w:numId w:val="0"/>
        </w:numPr>
        <w:spacing w:line="360" w:lineRule="auto"/>
        <w:rPr>
          <w:rFonts w:hint="default"/>
          <w:b/>
          <w:bCs/>
          <w:color w:val="auto"/>
          <w:sz w:val="24"/>
          <w:lang w:val="en-US" w:eastAsia="zh-CN"/>
        </w:rPr>
      </w:pPr>
    </w:p>
    <w:bookmarkEnd w:id="1"/>
    <w:bookmarkEnd w:id="6"/>
    <w:p>
      <w:pPr>
        <w:spacing w:line="360" w:lineRule="auto"/>
        <w:ind w:firstLine="482" w:firstLineChars="200"/>
        <w:rPr>
          <w:b/>
          <w:bCs/>
          <w:color w:val="auto"/>
          <w:sz w:val="24"/>
        </w:rPr>
      </w:pPr>
      <w:r>
        <w:rPr>
          <w:rFonts w:hint="eastAsia"/>
          <w:b/>
          <w:bCs/>
          <w:color w:val="auto"/>
          <w:sz w:val="24"/>
        </w:rPr>
        <w:t>（三）技术要求</w:t>
      </w:r>
    </w:p>
    <w:p>
      <w:pPr>
        <w:adjustRightInd w:val="0"/>
        <w:snapToGrid w:val="0"/>
        <w:spacing w:line="360" w:lineRule="auto"/>
        <w:ind w:firstLine="566" w:firstLineChars="236"/>
        <w:jc w:val="left"/>
        <w:rPr>
          <w:color w:val="auto"/>
        </w:rPr>
      </w:pPr>
      <w:r>
        <w:rPr>
          <w:rFonts w:hint="eastAsia" w:ascii="宋体" w:hAnsi="宋体" w:eastAsia="宋体" w:cs="宋体"/>
          <w:bCs/>
          <w:sz w:val="24"/>
          <w:szCs w:val="24"/>
        </w:rPr>
        <w:t>本项目要求按照</w:t>
      </w:r>
      <w:r>
        <w:rPr>
          <w:rFonts w:hint="eastAsia" w:ascii="宋体" w:hAnsi="宋体" w:eastAsia="宋体" w:cs="宋体"/>
          <w:bCs/>
          <w:sz w:val="24"/>
          <w:szCs w:val="24"/>
          <w:lang w:val="en-US" w:eastAsia="zh-CN"/>
        </w:rPr>
        <w:t>采购人</w:t>
      </w:r>
      <w:r>
        <w:rPr>
          <w:rFonts w:hint="eastAsia" w:ascii="宋体" w:hAnsi="宋体" w:eastAsia="宋体" w:cs="宋体"/>
          <w:bCs/>
          <w:sz w:val="24"/>
          <w:szCs w:val="24"/>
        </w:rPr>
        <w:t>的需求提供服务，要求如下：</w:t>
      </w:r>
    </w:p>
    <w:tbl>
      <w:tblPr>
        <w:tblStyle w:val="17"/>
        <w:tblW w:w="9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2537"/>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49"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序号</w:t>
            </w:r>
          </w:p>
        </w:tc>
        <w:tc>
          <w:tcPr>
            <w:tcW w:w="253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设备名称</w:t>
            </w:r>
          </w:p>
        </w:tc>
        <w:tc>
          <w:tcPr>
            <w:tcW w:w="6559" w:type="dxa"/>
            <w:vAlign w:val="center"/>
          </w:tcPr>
          <w:p>
            <w:pPr>
              <w:rPr>
                <w:rFonts w:hint="default"/>
                <w:sz w:val="21"/>
                <w:szCs w:val="21"/>
                <w:vertAlign w:val="baseline"/>
                <w:lang w:val="en-US" w:eastAsia="zh-CN"/>
              </w:rPr>
            </w:pPr>
            <w:r>
              <w:rPr>
                <w:rFonts w:hint="eastAsia"/>
                <w:sz w:val="21"/>
                <w:szCs w:val="21"/>
                <w:vertAlign w:val="baseli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default"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w:t>
            </w:r>
          </w:p>
        </w:tc>
        <w:tc>
          <w:tcPr>
            <w:tcW w:w="2537" w:type="dxa"/>
            <w:shd w:val="clear" w:color="auto" w:fill="auto"/>
            <w:vAlign w:val="center"/>
          </w:tcPr>
          <w:p>
            <w:pPr>
              <w:jc w:val="center"/>
              <w:rPr>
                <w:rFonts w:hint="default" w:asciiTheme="minorHAnsi" w:hAnsiTheme="minorHAnsi" w:eastAsiaTheme="minorEastAsia" w:cstheme="minorBidi"/>
                <w:kern w:val="2"/>
                <w:sz w:val="21"/>
                <w:szCs w:val="21"/>
                <w:vertAlign w:val="baseline"/>
                <w:lang w:val="en-US" w:eastAsia="zh-CN" w:bidi="ar-SA"/>
              </w:rPr>
            </w:pPr>
            <w:r>
              <w:rPr>
                <w:rFonts w:hint="default"/>
                <w:sz w:val="21"/>
                <w:szCs w:val="21"/>
                <w:vertAlign w:val="baseline"/>
                <w:lang w:val="en-US" w:eastAsia="zh-CN"/>
              </w:rPr>
              <w:t>国密安全视频设备</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1、国密智能变焦半球摄像机</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2、传感器类型：1/2.7" Progressive Scan CMOS</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3、内置2.7-13.5mm电动变焦镜头</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4、最低照度：彩色不大于0.0002lx，黑白不大于0.0001lx</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5、补光距离：普通监控：30 m，人脸抓拍/识别：3 m</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★6、内置3个双半弧形鳞片状镜面反射式补光灯，补光灯开启后正面不可见补光灯灯珠</w:t>
            </w:r>
            <w:r>
              <w:rPr>
                <w:rFonts w:hint="eastAsia"/>
                <w:sz w:val="21"/>
                <w:szCs w:val="21"/>
                <w:vertAlign w:val="baseline"/>
                <w:lang w:val="en-US" w:eastAsia="zh-CN"/>
              </w:rPr>
              <w:t>；</w:t>
            </w:r>
            <w:r>
              <w:rPr>
                <w:rFonts w:hint="default"/>
                <w:sz w:val="21"/>
                <w:szCs w:val="21"/>
                <w:vertAlign w:val="baseline"/>
                <w:lang w:val="en-US" w:eastAsia="zh-CN"/>
              </w:rPr>
              <w:t>（</w:t>
            </w:r>
            <w:r>
              <w:rPr>
                <w:rFonts w:hint="eastAsia"/>
                <w:sz w:val="21"/>
                <w:szCs w:val="21"/>
                <w:vertAlign w:val="baseline"/>
                <w:lang w:val="en-US" w:eastAsia="zh-CN"/>
              </w:rPr>
              <w:t>提供</w:t>
            </w:r>
            <w:r>
              <w:rPr>
                <w:rFonts w:hint="default"/>
                <w:sz w:val="21"/>
                <w:szCs w:val="21"/>
                <w:vertAlign w:val="baseline"/>
                <w:lang w:val="en-US" w:eastAsia="zh-CN"/>
              </w:rPr>
              <w:t>公安部检验报告证明）</w:t>
            </w:r>
          </w:p>
          <w:p>
            <w:pPr>
              <w:rPr>
                <w:rFonts w:hint="default"/>
                <w:sz w:val="21"/>
                <w:szCs w:val="21"/>
                <w:vertAlign w:val="baseline"/>
                <w:lang w:val="en-US" w:eastAsia="zh-CN"/>
              </w:rPr>
            </w:pPr>
            <w:r>
              <w:rPr>
                <w:rFonts w:hint="default"/>
                <w:sz w:val="21"/>
                <w:szCs w:val="21"/>
                <w:vertAlign w:val="baseline"/>
                <w:lang w:val="en-US" w:eastAsia="zh-CN"/>
              </w:rPr>
              <w:t>★7、灯珠朝向与样机照射方向不同，补光灯开启后，灯光应均匀无波纹、圆环状、麻点状、条纹状和不规则亮斑</w:t>
            </w:r>
            <w:r>
              <w:rPr>
                <w:rFonts w:hint="eastAsia"/>
                <w:sz w:val="21"/>
                <w:szCs w:val="21"/>
                <w:vertAlign w:val="baseline"/>
                <w:lang w:val="en-US" w:eastAsia="zh-CN"/>
              </w:rPr>
              <w:t>；</w:t>
            </w:r>
            <w:r>
              <w:rPr>
                <w:rFonts w:hint="default"/>
                <w:sz w:val="21"/>
                <w:szCs w:val="21"/>
                <w:vertAlign w:val="baseline"/>
                <w:lang w:val="en-US" w:eastAsia="zh-CN"/>
              </w:rPr>
              <w:t>（</w:t>
            </w:r>
            <w:r>
              <w:rPr>
                <w:rFonts w:hint="eastAsia"/>
                <w:sz w:val="21"/>
                <w:szCs w:val="21"/>
                <w:vertAlign w:val="baseline"/>
                <w:lang w:val="en-US" w:eastAsia="zh-CN"/>
              </w:rPr>
              <w:t>提供</w:t>
            </w:r>
            <w:r>
              <w:rPr>
                <w:rFonts w:hint="default"/>
                <w:sz w:val="21"/>
                <w:szCs w:val="21"/>
                <w:vertAlign w:val="baseline"/>
                <w:lang w:val="en-US" w:eastAsia="zh-CN"/>
              </w:rPr>
              <w:t>公安部检验报告证明）</w:t>
            </w:r>
          </w:p>
          <w:p>
            <w:pPr>
              <w:rPr>
                <w:rFonts w:hint="default"/>
                <w:sz w:val="21"/>
                <w:szCs w:val="21"/>
                <w:vertAlign w:val="baseline"/>
                <w:lang w:val="en-US" w:eastAsia="zh-CN"/>
              </w:rPr>
            </w:pPr>
            <w:r>
              <w:rPr>
                <w:rFonts w:hint="default"/>
                <w:sz w:val="21"/>
                <w:szCs w:val="21"/>
                <w:vertAlign w:val="baseline"/>
                <w:lang w:val="en-US" w:eastAsia="zh-CN"/>
              </w:rPr>
              <w:t>8、设备具有耀光抑制功能，耀光区域≤1%</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9、同一静止场景相同图像质量下，设备在H.265编码方式时，开启智能编码功能和不开启智能编码相比，码率节约80%</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★10、在分辨率1920×1080@25fps，码流设置为1Mbps时，视频传输延时不大于60ms</w:t>
            </w:r>
            <w:r>
              <w:rPr>
                <w:rFonts w:hint="eastAsia"/>
                <w:sz w:val="21"/>
                <w:szCs w:val="21"/>
                <w:vertAlign w:val="baseline"/>
                <w:lang w:val="en-US" w:eastAsia="zh-CN"/>
              </w:rPr>
              <w:t>；</w:t>
            </w:r>
            <w:r>
              <w:rPr>
                <w:rFonts w:hint="default"/>
                <w:sz w:val="21"/>
                <w:szCs w:val="21"/>
                <w:vertAlign w:val="baseline"/>
                <w:lang w:val="en-US" w:eastAsia="zh-CN"/>
              </w:rPr>
              <w:t>（</w:t>
            </w:r>
            <w:r>
              <w:rPr>
                <w:rFonts w:hint="eastAsia"/>
                <w:sz w:val="21"/>
                <w:szCs w:val="21"/>
                <w:vertAlign w:val="baseline"/>
                <w:lang w:val="en-US" w:eastAsia="zh-CN"/>
              </w:rPr>
              <w:t>提供</w:t>
            </w:r>
            <w:r>
              <w:rPr>
                <w:rFonts w:hint="default"/>
                <w:sz w:val="21"/>
                <w:szCs w:val="21"/>
                <w:vertAlign w:val="baseline"/>
                <w:lang w:val="en-US" w:eastAsia="zh-CN"/>
              </w:rPr>
              <w:t>公安部检验报告证明）</w:t>
            </w:r>
          </w:p>
          <w:p>
            <w:pPr>
              <w:rPr>
                <w:rFonts w:hint="default"/>
                <w:sz w:val="21"/>
                <w:szCs w:val="21"/>
                <w:vertAlign w:val="baseline"/>
                <w:lang w:val="en-US" w:eastAsia="zh-CN"/>
              </w:rPr>
            </w:pPr>
            <w:r>
              <w:rPr>
                <w:rFonts w:hint="default"/>
                <w:sz w:val="21"/>
                <w:szCs w:val="21"/>
                <w:vertAlign w:val="baseline"/>
                <w:lang w:val="en-US" w:eastAsia="zh-CN"/>
              </w:rPr>
              <w:t>11、支持周界防范功能，当区域入侵、越界侦测、进入区域、离开区域报警布防开启后，出现行人、非机动车、机动车目标时能触发报警，当检测区域中篮球滚动、小狗移动、树叶晃动及光线明暗变化时不会触发报警。支持数据感知功能，在IE 浏览器下，重启事件记录可包括正常重启和异常重启2种类型。正常重启可记录重启的时间、服务类型、用户名、IP/域名信息；异常重启可记录重启时间、异常类型信息</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12、内置通过国家密码局检测认证的安全芯片，支持SM1/SM2/SM3/SM4等国家商用密码算法；支持基于数字证书的设备接入认证能力；支持基于国家商用密码算法的信令认证能力；支持符合国家商用密码算法标准的证书请求文件导出；支持符合国家商用密码算法标准的数字证书导入；支持数字证书签名加密双证书体系；支持CA系统根证书导入，用于校验平台身份可靠性；支持平台身份证书导入，用于接入平台认证</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★13、产品具备国家密码管理局认证通过的《商用密码产品认证证书》（提供产品《商用密码产品认证证书》复印件）</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14、具有不少于1个麦克风、1个扬声器、1个RJ45网络接口，1路音频输入，1路音频输出，1路报警输入，1路报警输出，1个RS485接口，1个DC12V输出接口</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15、供电方式：DC：12 V ± 20%，支持防反接保护，PoE：802.3af，Type 1 Class 3</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 xml:space="preserve">16、防护：IP67 </w:t>
            </w: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default"/>
                <w:sz w:val="21"/>
                <w:szCs w:val="21"/>
                <w:vertAlign w:val="baseline"/>
                <w:lang w:val="en-US" w:eastAsia="zh-CN"/>
              </w:rPr>
            </w:pPr>
            <w:r>
              <w:rPr>
                <w:rFonts w:hint="eastAsia"/>
                <w:sz w:val="21"/>
                <w:szCs w:val="21"/>
                <w:vertAlign w:val="baseline"/>
                <w:lang w:val="en-US" w:eastAsia="zh-CN"/>
              </w:rPr>
              <w:t>2</w:t>
            </w:r>
          </w:p>
        </w:tc>
        <w:tc>
          <w:tcPr>
            <w:tcW w:w="2537" w:type="dxa"/>
            <w:shd w:val="clear" w:color="auto" w:fill="auto"/>
            <w:vAlign w:val="center"/>
          </w:tcPr>
          <w:p>
            <w:pPr>
              <w:jc w:val="center"/>
              <w:rPr>
                <w:rFonts w:hint="default"/>
                <w:sz w:val="21"/>
                <w:szCs w:val="21"/>
                <w:vertAlign w:val="baseline"/>
                <w:lang w:val="en-US" w:eastAsia="zh-CN"/>
              </w:rPr>
            </w:pPr>
            <w:r>
              <w:rPr>
                <w:rFonts w:hint="default"/>
                <w:sz w:val="21"/>
                <w:szCs w:val="21"/>
                <w:vertAlign w:val="baseline"/>
                <w:lang w:val="en-US" w:eastAsia="zh-CN"/>
              </w:rPr>
              <w:t>机房密评NVR</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 2U机架式9盘位嵌入式网络硬盘录像机，整机采用短机箱设计，搭载高性能ATX电源</w:t>
            </w:r>
            <w:r>
              <w:rPr>
                <w:rFonts w:hint="eastAsia"/>
                <w:sz w:val="21"/>
                <w:szCs w:val="21"/>
                <w:vertAlign w:val="baseline"/>
                <w:lang w:val="en-US" w:eastAsia="zh-CN"/>
              </w:rPr>
              <w:t>；本次配置7块12TB容量，3.5英寸，SATA3.0接口，7200RPM硬盘（MTBF：2,500,000）；</w:t>
            </w:r>
          </w:p>
          <w:p>
            <w:pPr>
              <w:rPr>
                <w:rFonts w:hint="default"/>
                <w:sz w:val="21"/>
                <w:szCs w:val="21"/>
                <w:vertAlign w:val="baseline"/>
                <w:lang w:val="en-US" w:eastAsia="zh-CN"/>
              </w:rPr>
            </w:pPr>
            <w:r>
              <w:rPr>
                <w:rFonts w:hint="default"/>
                <w:sz w:val="21"/>
                <w:szCs w:val="21"/>
                <w:vertAlign w:val="baseline"/>
                <w:lang w:val="en-US" w:eastAsia="zh-CN"/>
              </w:rPr>
              <w:t>2、具有2×HDMI接口，2×VGA接口，2×RJ45 10/100/1000Mbps自适应以太网口，1路RS-232接口，1路全双工RS-485接口，2×USB 2.0接口，2×USB 3.0接口，1×eSATA接口，16路报警输入接口，9路报警输出接口（其中第9路支持CTRL 12V），1路DC12V 1A接口，9个SATA接口，可满配16TB硬盘，总容量可达144TB</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3、输入带宽：320Mbps，输出带宽：256Mbps</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4、接入能力：32路H.264、H.265格式高清码流接入</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5、显示能力：最大支持8K+1080P、2×4K异源输出</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 xml:space="preserve">6、RAID模式：RAID0、RAID1、RAID5、RAID6、RAID10，支持全局热备盘 </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★7、整机具有商密二级证书</w:t>
            </w:r>
            <w:r>
              <w:rPr>
                <w:rFonts w:hint="eastAsia"/>
                <w:sz w:val="21"/>
                <w:szCs w:val="21"/>
                <w:vertAlign w:val="baseline"/>
                <w:lang w:val="en-US" w:eastAsia="zh-CN"/>
              </w:rPr>
              <w:t>；提供证书扫描件</w:t>
            </w:r>
          </w:p>
          <w:p>
            <w:pPr>
              <w:rPr>
                <w:rFonts w:hint="default"/>
                <w:sz w:val="21"/>
                <w:szCs w:val="21"/>
                <w:vertAlign w:val="baseline"/>
                <w:lang w:val="en-US" w:eastAsia="zh-CN"/>
              </w:rPr>
            </w:pPr>
            <w:r>
              <w:rPr>
                <w:rFonts w:hint="default"/>
                <w:sz w:val="21"/>
                <w:szCs w:val="21"/>
                <w:vertAlign w:val="baseline"/>
                <w:lang w:val="en-US" w:eastAsia="zh-CN"/>
              </w:rPr>
              <w:t>8、内置通过国家密码局检测认证的安全芯片，支持SM2/SM3/SM4等国家商用密码算法</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9、支持基于数字证书的设备接入认证能力，支持基于国家商用密码算法的信令认证能力，支持符合国家商用密码算法标准的证书请求文件导出，支持符合国家商用密码算法标准的数字证书导入管理，用于平台/设备接入认证</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★10、内置二级密码模块，可配套加密平台，满足密评三级视频数据存储完整性要求</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11、支持芯片安全校验能力，包括随机数有效性检测，算法符合性检测等</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12、支持算法安全校验能力，包括开机自检，使用时自检和定期自检等</w:t>
            </w:r>
            <w:r>
              <w:rPr>
                <w:rFonts w:hint="eastAsia"/>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3</w:t>
            </w:r>
          </w:p>
        </w:tc>
        <w:tc>
          <w:tcPr>
            <w:tcW w:w="2537" w:type="dxa"/>
            <w:shd w:val="clear" w:color="auto" w:fill="auto"/>
            <w:vAlign w:val="center"/>
          </w:tcPr>
          <w:p>
            <w:pPr>
              <w:jc w:val="center"/>
              <w:rPr>
                <w:rFonts w:hint="default" w:asciiTheme="minorHAnsi" w:hAnsiTheme="minorHAnsi" w:eastAsiaTheme="minorEastAsia" w:cstheme="minorBidi"/>
                <w:kern w:val="2"/>
                <w:sz w:val="21"/>
                <w:szCs w:val="21"/>
                <w:vertAlign w:val="baseline"/>
                <w:lang w:val="en-US" w:eastAsia="zh-CN" w:bidi="ar-SA"/>
              </w:rPr>
            </w:pPr>
            <w:r>
              <w:rPr>
                <w:rFonts w:hint="default"/>
                <w:sz w:val="21"/>
                <w:szCs w:val="21"/>
                <w:vertAlign w:val="baseline"/>
                <w:lang w:val="en-US" w:eastAsia="zh-CN"/>
              </w:rPr>
              <w:t>国密刷卡门禁控制器</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1、国密四门门禁控制器；</w:t>
            </w:r>
          </w:p>
          <w:p>
            <w:pPr>
              <w:rPr>
                <w:rFonts w:hint="default"/>
                <w:sz w:val="21"/>
                <w:szCs w:val="21"/>
                <w:vertAlign w:val="baseline"/>
                <w:lang w:val="en-US" w:eastAsia="zh-CN"/>
              </w:rPr>
            </w:pPr>
            <w:r>
              <w:rPr>
                <w:rFonts w:hint="default"/>
                <w:sz w:val="21"/>
                <w:szCs w:val="21"/>
                <w:vertAlign w:val="baseline"/>
                <w:lang w:val="en-US" w:eastAsia="zh-CN"/>
              </w:rPr>
              <w:t>2、存储容量：10万人（含20万张卡、10万个密码、1万枚指纹），60万条事件记录；</w:t>
            </w:r>
          </w:p>
          <w:p>
            <w:pPr>
              <w:rPr>
                <w:rFonts w:hint="default"/>
                <w:sz w:val="21"/>
                <w:szCs w:val="21"/>
                <w:vertAlign w:val="baseline"/>
                <w:lang w:val="en-US" w:eastAsia="zh-CN"/>
              </w:rPr>
            </w:pPr>
            <w:r>
              <w:rPr>
                <w:rFonts w:hint="default"/>
                <w:sz w:val="21"/>
                <w:szCs w:val="21"/>
                <w:vertAlign w:val="baseline"/>
                <w:lang w:val="en-US" w:eastAsia="zh-CN"/>
              </w:rPr>
              <w:t>3、设备应采用嵌入式Linux系统，运行内存256M，存储容量4G</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4、主机应具有丰富的通讯接口、控制接口及拓展接口：LAN接口1个；RS485通讯接口7个；韦根通讯接口4个；I/O输入接口8个；I/O输出接口4个；门磁I/O输入接口4个；开门I/O按钮接口4个；门锁I/O输出接口4个；USB接口1个；蓄电池充放电接口1个；消防接口1个；防拆接口1个</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★5、设备应支持有线网络10M/100M/1000M网络自适应，支持和云平台通信，支持通过IPV4或IPV6登录，支持被4个客户端软件同时实时监听</w:t>
            </w:r>
            <w:r>
              <w:rPr>
                <w:rFonts w:hint="eastAsia"/>
                <w:sz w:val="21"/>
                <w:szCs w:val="21"/>
                <w:vertAlign w:val="baseline"/>
                <w:lang w:val="en-US" w:eastAsia="zh-CN"/>
              </w:rPr>
              <w:t>；</w:t>
            </w:r>
            <w:r>
              <w:rPr>
                <w:rFonts w:hint="default"/>
                <w:sz w:val="21"/>
                <w:szCs w:val="21"/>
                <w:vertAlign w:val="baseline"/>
                <w:lang w:val="en-US" w:eastAsia="zh-CN"/>
              </w:rPr>
              <w:t>（</w:t>
            </w:r>
            <w:r>
              <w:rPr>
                <w:rFonts w:hint="eastAsia"/>
                <w:sz w:val="21"/>
                <w:szCs w:val="21"/>
                <w:vertAlign w:val="baseline"/>
                <w:lang w:val="en-US" w:eastAsia="zh-CN"/>
              </w:rPr>
              <w:t>提供</w:t>
            </w:r>
            <w:r>
              <w:rPr>
                <w:rFonts w:hint="default"/>
                <w:sz w:val="21"/>
                <w:szCs w:val="21"/>
                <w:vertAlign w:val="baseline"/>
                <w:lang w:val="en-US" w:eastAsia="zh-CN"/>
              </w:rPr>
              <w:t>公安部检验报告证明）</w:t>
            </w:r>
          </w:p>
          <w:p>
            <w:pPr>
              <w:rPr>
                <w:rFonts w:hint="default"/>
                <w:sz w:val="21"/>
                <w:szCs w:val="21"/>
                <w:vertAlign w:val="baseline"/>
                <w:lang w:val="en-US" w:eastAsia="zh-CN"/>
              </w:rPr>
            </w:pPr>
            <w:r>
              <w:rPr>
                <w:rFonts w:hint="default"/>
                <w:sz w:val="21"/>
                <w:szCs w:val="21"/>
                <w:vertAlign w:val="baseline"/>
                <w:lang w:val="en-US" w:eastAsia="zh-CN"/>
              </w:rPr>
              <w:t>6、设备应支持单用户凭证开门的同时支持多用户复合识别开门。应能对门的开启方式，卡的各种使用权限进行组合设置，实现不同场景的权限管理：反潜回（防跟随）功能；多重卡认证开门功能；多重卡+中心远程开门功能；多重卡+超级密码开门功能；超级权限开门；中心远程开门；支持身份证（物理序列号）开门；支持银行卡（物理序列号）开门；支持单向刷卡（指纹）和双向刷卡（指纹）开门</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★7、设备应支持外接指纹读头在主机端识别，对于指纹误识率应≤0.001%</w:t>
            </w:r>
            <w:r>
              <w:rPr>
                <w:rFonts w:hint="eastAsia"/>
                <w:sz w:val="21"/>
                <w:szCs w:val="21"/>
                <w:vertAlign w:val="baseline"/>
                <w:lang w:val="en-US" w:eastAsia="zh-CN"/>
              </w:rPr>
              <w:t>；</w:t>
            </w:r>
            <w:r>
              <w:rPr>
                <w:rFonts w:hint="default"/>
                <w:sz w:val="21"/>
                <w:szCs w:val="21"/>
                <w:vertAlign w:val="baseline"/>
                <w:lang w:val="en-US" w:eastAsia="zh-CN"/>
              </w:rPr>
              <w:t>（</w:t>
            </w:r>
            <w:r>
              <w:rPr>
                <w:rFonts w:hint="eastAsia"/>
                <w:sz w:val="21"/>
                <w:szCs w:val="21"/>
                <w:vertAlign w:val="baseline"/>
                <w:lang w:val="en-US" w:eastAsia="zh-CN"/>
              </w:rPr>
              <w:t>提供</w:t>
            </w:r>
            <w:r>
              <w:rPr>
                <w:rFonts w:hint="default"/>
                <w:sz w:val="21"/>
                <w:szCs w:val="21"/>
                <w:vertAlign w:val="baseline"/>
                <w:lang w:val="en-US" w:eastAsia="zh-CN"/>
              </w:rPr>
              <w:t>公安部检验报告证明）</w:t>
            </w:r>
          </w:p>
          <w:p>
            <w:pPr>
              <w:rPr>
                <w:rFonts w:hint="default"/>
                <w:sz w:val="21"/>
                <w:szCs w:val="21"/>
                <w:vertAlign w:val="baseline"/>
                <w:lang w:val="en-US" w:eastAsia="zh-CN"/>
              </w:rPr>
            </w:pPr>
            <w:r>
              <w:rPr>
                <w:rFonts w:hint="default"/>
                <w:sz w:val="21"/>
                <w:szCs w:val="21"/>
                <w:vertAlign w:val="baseline"/>
                <w:lang w:val="en-US" w:eastAsia="zh-CN"/>
              </w:rPr>
              <w:t>8、设备应支持反潜回功能：支持最多32门的反潜回应用，支持设置非反潜回时间段，支持设置时间段反潜回功能。设备应支持多门互锁功能：主机控制的多个门中只能最多同时开启一扇门，支持32个互锁组，每个互锁组最大支持32个门互锁。设备应支持闭门回锁功能： 当开门之后的闭门动作下，虽然开门延时还没有结束，一旦检测到门磁合上则会立即上锁</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9、设备应支持手动校时和NTP自动校时功能。设备应内置计时芯片，内置实时时钟精度应不低于每周±2s，应能处理闰年，断电后，实时时钟应能保持运行最小时间周期为30天</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10、设备应支持本地非明文存储比对结果、身份信息，支持实时加密上传比对结果、身份信息，支持断网续传离线非明文记录</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11、产品供应商应具有符合ISO/IEC 27701：2019要求的隐私信息管理体系认证</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12、符合GB/T24021-2001idt ISO14021:1999《环境管理环境标志与声明自我环境声明(Ⅱ型环境标志)》的要求</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★13、控制器支持GM/T 0028《密码模块安全技术要求》安全二级，并支持在商用密码检测中心官网查询证书有效性</w:t>
            </w:r>
            <w:r>
              <w:rPr>
                <w:rFonts w:hint="eastAsia"/>
                <w:sz w:val="21"/>
                <w:szCs w:val="21"/>
                <w:vertAlign w:val="baseline"/>
                <w:lang w:val="en-US" w:eastAsia="zh-CN"/>
              </w:rPr>
              <w:t>；</w:t>
            </w:r>
            <w:r>
              <w:rPr>
                <w:rFonts w:hint="default"/>
                <w:sz w:val="21"/>
                <w:szCs w:val="21"/>
                <w:vertAlign w:val="baseline"/>
                <w:lang w:val="en-US" w:eastAsia="zh-CN"/>
              </w:rPr>
              <w:t>（提供国密证书证明）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w:t>
            </w:r>
          </w:p>
        </w:tc>
        <w:tc>
          <w:tcPr>
            <w:tcW w:w="2537" w:type="dxa"/>
            <w:shd w:val="clear" w:color="auto" w:fill="auto"/>
            <w:vAlign w:val="center"/>
          </w:tcPr>
          <w:p>
            <w:pPr>
              <w:jc w:val="center"/>
              <w:rPr>
                <w:rFonts w:hint="default" w:asciiTheme="minorHAnsi" w:hAnsiTheme="minorHAnsi" w:eastAsiaTheme="minorEastAsia" w:cstheme="minorBidi"/>
                <w:kern w:val="2"/>
                <w:sz w:val="21"/>
                <w:szCs w:val="21"/>
                <w:vertAlign w:val="baseline"/>
                <w:lang w:val="en-US" w:eastAsia="zh-CN" w:bidi="ar-SA"/>
              </w:rPr>
            </w:pPr>
            <w:r>
              <w:rPr>
                <w:rFonts w:hint="default"/>
                <w:sz w:val="21"/>
                <w:szCs w:val="21"/>
                <w:vertAlign w:val="baseline"/>
                <w:lang w:val="en-US" w:eastAsia="zh-CN"/>
              </w:rPr>
              <w:t>国密读卡器</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1、国密读卡器</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2、认证方式：刷卡</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3、读卡频率：13.56MHz</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4、可识别卡：国密CPU卡(含加密功能)</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5、通讯方式：RS485</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6、符合GB/T24021-2001idt ISO14021:1999《环境管理环境标志与声明自我环境声明(Ⅱ型环境标志)》的要求</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★7、支持GM/T 0028《密码模块安全技术要求》安全二级，并支持在商用密码检测中心官网查询证书有效性</w:t>
            </w:r>
            <w:r>
              <w:rPr>
                <w:rFonts w:hint="eastAsia"/>
                <w:sz w:val="21"/>
                <w:szCs w:val="21"/>
                <w:vertAlign w:val="baseline"/>
                <w:lang w:val="en-US" w:eastAsia="zh-CN"/>
              </w:rPr>
              <w:t>；</w:t>
            </w:r>
            <w:r>
              <w:rPr>
                <w:rFonts w:hint="default"/>
                <w:sz w:val="21"/>
                <w:szCs w:val="21"/>
                <w:vertAlign w:val="baseline"/>
                <w:lang w:val="en-US" w:eastAsia="zh-CN"/>
              </w:rPr>
              <w:t>（提供国密证书证明）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w:t>
            </w:r>
          </w:p>
        </w:tc>
        <w:tc>
          <w:tcPr>
            <w:tcW w:w="2537" w:type="dxa"/>
            <w:shd w:val="clear" w:color="auto" w:fill="auto"/>
            <w:vAlign w:val="center"/>
          </w:tcPr>
          <w:p>
            <w:pPr>
              <w:jc w:val="center"/>
              <w:rPr>
                <w:rFonts w:hint="default" w:asciiTheme="minorHAnsi" w:hAnsiTheme="minorHAnsi" w:eastAsiaTheme="minorEastAsia" w:cstheme="minorBidi"/>
                <w:kern w:val="2"/>
                <w:sz w:val="21"/>
                <w:szCs w:val="21"/>
                <w:vertAlign w:val="baseline"/>
                <w:lang w:val="en-US" w:eastAsia="zh-CN" w:bidi="ar-SA"/>
              </w:rPr>
            </w:pPr>
            <w:r>
              <w:rPr>
                <w:rFonts w:hint="default"/>
                <w:sz w:val="21"/>
                <w:szCs w:val="21"/>
                <w:vertAlign w:val="baseline"/>
                <w:lang w:val="en-US" w:eastAsia="zh-CN"/>
              </w:rPr>
              <w:t>卡片录入仪</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1、发卡器</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2、支持发卡类型：ID卡、IC卡、身份证物料卡号（序列号）、普通CPU卡、国密CPU卡；</w:t>
            </w:r>
          </w:p>
          <w:p>
            <w:pPr>
              <w:rPr>
                <w:rFonts w:hint="default"/>
                <w:sz w:val="21"/>
                <w:szCs w:val="21"/>
                <w:vertAlign w:val="baseline"/>
                <w:lang w:val="en-US" w:eastAsia="zh-CN"/>
              </w:rPr>
            </w:pPr>
            <w:r>
              <w:rPr>
                <w:rFonts w:hint="default"/>
                <w:sz w:val="21"/>
                <w:szCs w:val="21"/>
                <w:vertAlign w:val="baseline"/>
                <w:lang w:val="en-US" w:eastAsia="zh-CN"/>
              </w:rPr>
              <w:t>3、USB2.0接口；</w:t>
            </w:r>
          </w:p>
          <w:p>
            <w:pPr>
              <w:rPr>
                <w:rFonts w:hint="default"/>
                <w:sz w:val="21"/>
                <w:szCs w:val="21"/>
                <w:vertAlign w:val="baseline"/>
                <w:lang w:val="en-US" w:eastAsia="zh-CN"/>
              </w:rPr>
            </w:pPr>
            <w:r>
              <w:rPr>
                <w:rFonts w:hint="default"/>
                <w:sz w:val="21"/>
                <w:szCs w:val="21"/>
                <w:vertAlign w:val="baseline"/>
                <w:lang w:val="en-US" w:eastAsia="zh-CN"/>
              </w:rPr>
              <w:t>4、具有2个Sim卡尺寸的PSAM卡座；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6</w:t>
            </w:r>
          </w:p>
        </w:tc>
        <w:tc>
          <w:tcPr>
            <w:tcW w:w="2537" w:type="dxa"/>
            <w:shd w:val="clear" w:color="auto" w:fill="auto"/>
            <w:vAlign w:val="center"/>
          </w:tcPr>
          <w:p>
            <w:pPr>
              <w:jc w:val="center"/>
              <w:rPr>
                <w:rFonts w:hint="default"/>
                <w:sz w:val="21"/>
                <w:szCs w:val="21"/>
                <w:vertAlign w:val="baseline"/>
                <w:lang w:val="en-US" w:eastAsia="zh-CN"/>
              </w:rPr>
            </w:pPr>
            <w:r>
              <w:rPr>
                <w:rFonts w:hint="default"/>
                <w:sz w:val="21"/>
                <w:szCs w:val="21"/>
                <w:vertAlign w:val="baseline"/>
                <w:lang w:val="en-US" w:eastAsia="zh-CN"/>
              </w:rPr>
              <w:t>国密CPU卡</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1、国密CPU卡，感应频率13.56MHZ；</w:t>
            </w:r>
          </w:p>
          <w:p>
            <w:pPr>
              <w:rPr>
                <w:rFonts w:hint="default"/>
                <w:sz w:val="21"/>
                <w:szCs w:val="21"/>
                <w:vertAlign w:val="baseline"/>
                <w:lang w:val="en-US" w:eastAsia="zh-CN"/>
              </w:rPr>
            </w:pPr>
            <w:r>
              <w:rPr>
                <w:rFonts w:hint="default"/>
                <w:sz w:val="21"/>
                <w:szCs w:val="21"/>
                <w:vertAlign w:val="baseline"/>
                <w:lang w:val="en-US" w:eastAsia="zh-CN"/>
              </w:rPr>
              <w:t>2、支持国密SM1、SM4算法加密；</w:t>
            </w:r>
          </w:p>
          <w:p>
            <w:pPr>
              <w:rPr>
                <w:rFonts w:hint="default"/>
                <w:sz w:val="21"/>
                <w:szCs w:val="21"/>
                <w:vertAlign w:val="baseline"/>
                <w:lang w:val="en-US" w:eastAsia="zh-CN"/>
              </w:rPr>
            </w:pPr>
            <w:r>
              <w:rPr>
                <w:rFonts w:hint="default"/>
                <w:sz w:val="21"/>
                <w:szCs w:val="21"/>
                <w:vertAlign w:val="baseline"/>
                <w:lang w:val="en-US" w:eastAsia="zh-CN"/>
              </w:rPr>
              <w:t>3、容量为80K byte；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9" w:type="dxa"/>
            <w:shd w:val="clear" w:color="auto" w:fill="auto"/>
            <w:vAlign w:val="center"/>
          </w:tcPr>
          <w:p>
            <w:pPr>
              <w:jc w:val="center"/>
              <w:rPr>
                <w:rFonts w:hint="eastAsia"/>
                <w:sz w:val="21"/>
                <w:szCs w:val="21"/>
                <w:vertAlign w:val="baseline"/>
                <w:lang w:val="en-US" w:eastAsia="zh-CN"/>
              </w:rPr>
            </w:pPr>
            <w:r>
              <w:rPr>
                <w:rFonts w:hint="eastAsia"/>
                <w:sz w:val="21"/>
                <w:szCs w:val="21"/>
                <w:vertAlign w:val="baseline"/>
                <w:lang w:val="en-US" w:eastAsia="zh-CN"/>
              </w:rPr>
              <w:t>7</w:t>
            </w:r>
          </w:p>
        </w:tc>
        <w:tc>
          <w:tcPr>
            <w:tcW w:w="2537" w:type="dxa"/>
            <w:shd w:val="clear" w:color="auto" w:fill="auto"/>
            <w:vAlign w:val="center"/>
          </w:tcPr>
          <w:p>
            <w:pPr>
              <w:jc w:val="center"/>
              <w:rPr>
                <w:rFonts w:hint="default"/>
                <w:sz w:val="21"/>
                <w:szCs w:val="21"/>
                <w:vertAlign w:val="baseline"/>
                <w:lang w:val="en-US" w:eastAsia="zh-CN"/>
              </w:rPr>
            </w:pPr>
            <w:r>
              <w:rPr>
                <w:rFonts w:hint="default"/>
                <w:sz w:val="21"/>
                <w:szCs w:val="21"/>
                <w:vertAlign w:val="baseline"/>
                <w:lang w:val="en-US" w:eastAsia="zh-CN"/>
              </w:rPr>
              <w:t>安全视频监控管理客户端</w:t>
            </w:r>
          </w:p>
        </w:tc>
        <w:tc>
          <w:tcPr>
            <w:tcW w:w="6559" w:type="dxa"/>
          </w:tcPr>
          <w:p>
            <w:pPr>
              <w:rPr>
                <w:rFonts w:hint="default"/>
                <w:sz w:val="21"/>
                <w:szCs w:val="21"/>
                <w:vertAlign w:val="baseline"/>
                <w:lang w:val="en-US" w:eastAsia="zh-CN"/>
              </w:rPr>
            </w:pPr>
            <w:r>
              <w:rPr>
                <w:rFonts w:hint="default"/>
                <w:sz w:val="21"/>
                <w:szCs w:val="21"/>
                <w:vertAlign w:val="baseline"/>
                <w:lang w:val="en-US" w:eastAsia="zh-CN"/>
              </w:rPr>
              <w:t>1、安全视频监控管理客户端</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2、具有≥4个10/100/1000 MpbsI211网口，≥1个COM口，≥1个VGA口，≥1个HDMI口，≥4个2.0USB口，内置1张Mini-PCIE密码卡</w:t>
            </w:r>
            <w:r>
              <w:rPr>
                <w:rFonts w:hint="eastAsia"/>
                <w:sz w:val="21"/>
                <w:szCs w:val="21"/>
                <w:vertAlign w:val="baseline"/>
                <w:lang w:val="en-US" w:eastAsia="zh-CN"/>
              </w:rPr>
              <w:t>；</w:t>
            </w:r>
          </w:p>
          <w:p>
            <w:pPr>
              <w:rPr>
                <w:rFonts w:hint="default"/>
                <w:sz w:val="21"/>
                <w:szCs w:val="21"/>
                <w:vertAlign w:val="baseline"/>
                <w:lang w:val="en-US" w:eastAsia="zh-CN"/>
              </w:rPr>
            </w:pPr>
            <w:r>
              <w:rPr>
                <w:rFonts w:hint="default"/>
                <w:sz w:val="21"/>
                <w:szCs w:val="21"/>
                <w:vertAlign w:val="baseline"/>
                <w:lang w:val="en-US" w:eastAsia="zh-CN"/>
              </w:rPr>
              <w:t>3、支持基于用户名口令+智能密码钥匙（基于数字证书）的双因子身份鉴别方式</w:t>
            </w:r>
            <w:r>
              <w:rPr>
                <w:rFonts w:hint="eastAsia"/>
                <w:sz w:val="21"/>
                <w:szCs w:val="21"/>
                <w:vertAlign w:val="baseline"/>
                <w:lang w:val="en-US" w:eastAsia="zh-CN"/>
              </w:rPr>
              <w:t>；</w:t>
            </w:r>
          </w:p>
          <w:p>
            <w:pPr>
              <w:rPr>
                <w:rFonts w:hint="eastAsia"/>
                <w:sz w:val="21"/>
                <w:szCs w:val="21"/>
                <w:vertAlign w:val="baseline"/>
                <w:lang w:val="en-US" w:eastAsia="zh-CN"/>
              </w:rPr>
            </w:pPr>
            <w:r>
              <w:rPr>
                <w:rFonts w:hint="default"/>
                <w:sz w:val="21"/>
                <w:szCs w:val="21"/>
                <w:vertAlign w:val="baseline"/>
                <w:lang w:val="en-US" w:eastAsia="zh-CN"/>
              </w:rPr>
              <w:t>4、内置密码卡和整机设备为同一厂商，且密码卡具有《商用密码产品认证证书》</w:t>
            </w:r>
            <w:r>
              <w:rPr>
                <w:rFonts w:hint="eastAsia"/>
                <w:sz w:val="21"/>
                <w:szCs w:val="21"/>
                <w:vertAlign w:val="baseline"/>
                <w:lang w:val="en-US" w:eastAsia="zh-CN"/>
              </w:rPr>
              <w:t>，</w:t>
            </w:r>
            <w:r>
              <w:rPr>
                <w:rFonts w:hint="default"/>
                <w:sz w:val="21"/>
                <w:szCs w:val="21"/>
                <w:vertAlign w:val="baseline"/>
                <w:lang w:val="en-US" w:eastAsia="zh-CN"/>
              </w:rPr>
              <w:t>（提供证书证明）</w:t>
            </w:r>
          </w:p>
          <w:p>
            <w:pPr>
              <w:rPr>
                <w:rFonts w:hint="default"/>
                <w:sz w:val="21"/>
                <w:szCs w:val="21"/>
                <w:vertAlign w:val="baseline"/>
                <w:lang w:val="en-US" w:eastAsia="zh-CN"/>
              </w:rPr>
            </w:pPr>
            <w:r>
              <w:rPr>
                <w:rFonts w:hint="default"/>
                <w:sz w:val="21"/>
                <w:szCs w:val="21"/>
                <w:vertAlign w:val="baseline"/>
                <w:lang w:val="en-US" w:eastAsia="zh-CN"/>
              </w:rPr>
              <w:t>★5、支持基于商用密码技术，对客户端下载/导出的视频文件进行加密和完整性保护。对加密视频文件的访问，应通过智能密码钥匙/口令认证，并使用专用播放器才能解密播放；支持视频文件的完整性校验，一旦视频内容被篡改，视频无法正常播放</w:t>
            </w:r>
            <w:r>
              <w:rPr>
                <w:rFonts w:hint="eastAsia"/>
                <w:sz w:val="21"/>
                <w:szCs w:val="21"/>
                <w:vertAlign w:val="baseline"/>
                <w:lang w:val="en-US" w:eastAsia="zh-CN"/>
              </w:rPr>
              <w:t>；</w:t>
            </w:r>
            <w:r>
              <w:rPr>
                <w:rFonts w:hint="default"/>
                <w:sz w:val="21"/>
                <w:szCs w:val="21"/>
                <w:vertAlign w:val="baseline"/>
                <w:lang w:val="en-US" w:eastAsia="zh-CN"/>
              </w:rPr>
              <w:t>（提供功能截图）</w:t>
            </w:r>
          </w:p>
          <w:p>
            <w:pPr>
              <w:rPr>
                <w:rFonts w:hint="default"/>
                <w:sz w:val="21"/>
                <w:szCs w:val="21"/>
                <w:vertAlign w:val="baseline"/>
                <w:lang w:val="en-US" w:eastAsia="zh-CN"/>
              </w:rPr>
            </w:pPr>
            <w:r>
              <w:rPr>
                <w:rFonts w:hint="default"/>
                <w:sz w:val="21"/>
                <w:szCs w:val="21"/>
                <w:vertAlign w:val="baseline"/>
                <w:lang w:val="en-US" w:eastAsia="zh-CN"/>
              </w:rPr>
              <w:t>★6、支持视频外发功能，可设置外发视频的用户口令、播放次数、使用期限；外发的视频文件需在预设的使用期限内和播放次数范围内使用专用的播放器才可正常播放</w:t>
            </w:r>
            <w:r>
              <w:rPr>
                <w:rFonts w:hint="eastAsia"/>
                <w:sz w:val="21"/>
                <w:szCs w:val="21"/>
                <w:vertAlign w:val="baseline"/>
                <w:lang w:val="en-US" w:eastAsia="zh-CN"/>
              </w:rPr>
              <w:t>；</w:t>
            </w:r>
            <w:r>
              <w:rPr>
                <w:rFonts w:hint="default"/>
                <w:sz w:val="21"/>
                <w:szCs w:val="21"/>
                <w:vertAlign w:val="baseline"/>
                <w:lang w:val="en-US" w:eastAsia="zh-CN"/>
              </w:rPr>
              <w:t>（提供功能截图）</w:t>
            </w:r>
          </w:p>
          <w:p>
            <w:pPr>
              <w:rPr>
                <w:rFonts w:hint="default"/>
                <w:sz w:val="21"/>
                <w:szCs w:val="21"/>
                <w:vertAlign w:val="baseline"/>
                <w:lang w:val="en-US" w:eastAsia="zh-CN"/>
              </w:rPr>
            </w:pPr>
            <w:r>
              <w:rPr>
                <w:rFonts w:hint="default"/>
                <w:sz w:val="21"/>
                <w:szCs w:val="21"/>
                <w:vertAlign w:val="baseline"/>
                <w:lang w:val="en-US" w:eastAsia="zh-CN"/>
              </w:rPr>
              <w:t>7、支持对实时预览画面、视频回放、下载的视频和抓拍的图片添加水印，水印内容包括：当前登录用户名、终端IP地址、终端MAC地址、系统时间和自定义信息。水印字号、粗细、旋转角度、字体颜色、下划线、斜体等属性可灵活配置</w:t>
            </w:r>
            <w:r>
              <w:rPr>
                <w:rFonts w:hint="eastAsia"/>
                <w:sz w:val="21"/>
                <w:szCs w:val="21"/>
                <w:vertAlign w:val="baseline"/>
                <w:lang w:val="en-US" w:eastAsia="zh-CN"/>
              </w:rPr>
              <w:t>；</w:t>
            </w:r>
            <w:r>
              <w:rPr>
                <w:rFonts w:hint="default"/>
                <w:sz w:val="21"/>
                <w:szCs w:val="21"/>
                <w:vertAlign w:val="baseline"/>
                <w:lang w:val="en-US" w:eastAsia="zh-CN"/>
              </w:rPr>
              <w:t>（提供功能截图）</w:t>
            </w:r>
          </w:p>
          <w:p>
            <w:pPr>
              <w:rPr>
                <w:rFonts w:hint="default"/>
                <w:sz w:val="21"/>
                <w:szCs w:val="21"/>
                <w:vertAlign w:val="baseline"/>
                <w:lang w:val="en-US" w:eastAsia="zh-CN"/>
              </w:rPr>
            </w:pPr>
            <w:r>
              <w:rPr>
                <w:rFonts w:hint="default"/>
                <w:sz w:val="21"/>
                <w:szCs w:val="21"/>
                <w:vertAlign w:val="baseline"/>
                <w:lang w:val="en-US" w:eastAsia="zh-CN"/>
              </w:rPr>
              <w:t>★8、支持对用户登录、视频预览/回放/下载/导出、门禁事件等关键行为进行详细日志记录，并通过数字签名技术进行记录完整性保护。日志记录的内容至少应包括事件的日期、时间、发起者信息、类型、描述和结果等；提供对审计记录数据的统计、查询功能</w:t>
            </w:r>
            <w:r>
              <w:rPr>
                <w:rFonts w:hint="eastAsia"/>
                <w:sz w:val="21"/>
                <w:szCs w:val="21"/>
                <w:vertAlign w:val="baseline"/>
                <w:lang w:val="en-US" w:eastAsia="zh-CN"/>
              </w:rPr>
              <w:t>；</w:t>
            </w:r>
            <w:r>
              <w:rPr>
                <w:rFonts w:hint="default"/>
                <w:sz w:val="21"/>
                <w:szCs w:val="21"/>
                <w:vertAlign w:val="baseline"/>
                <w:lang w:val="en-US" w:eastAsia="zh-CN"/>
              </w:rPr>
              <w:t>（提供功能截图）</w:t>
            </w:r>
          </w:p>
          <w:p>
            <w:pPr>
              <w:rPr>
                <w:rFonts w:hint="default"/>
                <w:sz w:val="21"/>
                <w:szCs w:val="21"/>
                <w:vertAlign w:val="baseline"/>
                <w:lang w:val="en-US" w:eastAsia="zh-CN"/>
              </w:rPr>
            </w:pPr>
            <w:r>
              <w:rPr>
                <w:rFonts w:hint="default"/>
                <w:sz w:val="21"/>
                <w:szCs w:val="21"/>
                <w:vertAlign w:val="baseline"/>
                <w:lang w:val="en-US" w:eastAsia="zh-CN"/>
              </w:rPr>
              <w:t>9、支持视频画面的实时预览、录像回放、录像下载、云台控制，支持预览抓图、多画面切换、主子码流切换。支持人员身份信息（卡片/人脸）配置，以及不同人员门禁权限的配置与管理，认证方式可设置为刷卡或刷卡+人脸组合认证；支持对门禁点进行开、关、常开、常闭的反控操作</w:t>
            </w:r>
            <w:r>
              <w:rPr>
                <w:rFonts w:hint="eastAsia"/>
                <w:sz w:val="21"/>
                <w:szCs w:val="21"/>
                <w:vertAlign w:val="baseline"/>
                <w:lang w:val="en-US" w:eastAsia="zh-CN"/>
              </w:rPr>
              <w:t>；</w:t>
            </w:r>
            <w:r>
              <w:rPr>
                <w:rFonts w:hint="default"/>
                <w:sz w:val="21"/>
                <w:szCs w:val="21"/>
                <w:vertAlign w:val="baseline"/>
                <w:lang w:val="en-US" w:eastAsia="zh-CN"/>
              </w:rPr>
              <w:t xml:space="preserve"> </w:t>
            </w:r>
          </w:p>
          <w:p>
            <w:pPr>
              <w:rPr>
                <w:rFonts w:hint="default"/>
                <w:sz w:val="21"/>
                <w:szCs w:val="21"/>
                <w:vertAlign w:val="baseline"/>
                <w:lang w:val="en-US" w:eastAsia="zh-CN"/>
              </w:rPr>
            </w:pPr>
            <w:r>
              <w:rPr>
                <w:rFonts w:hint="default"/>
                <w:sz w:val="21"/>
                <w:szCs w:val="21"/>
                <w:vertAlign w:val="baseline"/>
                <w:lang w:val="en-US" w:eastAsia="zh-CN"/>
              </w:rPr>
              <w:t>★10、产品具备商用密码检测认证中心颁发的《商用密码产品认证证书》</w:t>
            </w:r>
            <w:r>
              <w:rPr>
                <w:rFonts w:hint="eastAsia"/>
                <w:sz w:val="21"/>
                <w:szCs w:val="21"/>
                <w:vertAlign w:val="baseline"/>
                <w:lang w:val="en-US" w:eastAsia="zh-CN"/>
              </w:rPr>
              <w:t>；</w:t>
            </w:r>
            <w:r>
              <w:rPr>
                <w:rFonts w:hint="default"/>
                <w:sz w:val="21"/>
                <w:szCs w:val="21"/>
                <w:vertAlign w:val="baseline"/>
                <w:lang w:val="en-US" w:eastAsia="zh-CN"/>
              </w:rPr>
              <w:t>（提供产品《商用密码产品认证证书》复印件）</w:t>
            </w:r>
          </w:p>
          <w:p>
            <w:pPr>
              <w:rPr>
                <w:rFonts w:hint="default"/>
                <w:sz w:val="21"/>
                <w:szCs w:val="21"/>
                <w:vertAlign w:val="baseline"/>
                <w:lang w:val="en-US" w:eastAsia="zh-CN"/>
              </w:rPr>
            </w:pPr>
            <w:r>
              <w:rPr>
                <w:rFonts w:hint="default"/>
                <w:sz w:val="21"/>
                <w:szCs w:val="21"/>
                <w:vertAlign w:val="baseline"/>
                <w:lang w:val="en-US" w:eastAsia="zh-CN"/>
              </w:rPr>
              <w:t>11、产品具备中华人民共和国国家版权局计算机软件著作权登记证书</w:t>
            </w:r>
            <w:r>
              <w:rPr>
                <w:rFonts w:hint="eastAsia"/>
                <w:sz w:val="21"/>
                <w:szCs w:val="21"/>
                <w:vertAlign w:val="baseline"/>
                <w:lang w:val="en-US" w:eastAsia="zh-CN"/>
              </w:rPr>
              <w:t>。</w:t>
            </w:r>
          </w:p>
        </w:tc>
      </w:tr>
    </w:tbl>
    <w:p>
      <w:pPr>
        <w:spacing w:line="360" w:lineRule="auto"/>
        <w:rPr>
          <w:rFonts w:hint="eastAsia" w:asciiTheme="minorEastAsia" w:hAnsiTheme="minorEastAsia" w:cstheme="minorEastAsia"/>
          <w:color w:val="auto"/>
          <w:sz w:val="24"/>
        </w:rPr>
      </w:pPr>
    </w:p>
    <w:p>
      <w:pPr>
        <w:spacing w:line="360" w:lineRule="auto"/>
        <w:ind w:firstLine="562" w:firstLineChars="200"/>
        <w:rPr>
          <w:b/>
          <w:bCs/>
          <w:color w:val="auto"/>
          <w:sz w:val="28"/>
          <w:szCs w:val="28"/>
        </w:rPr>
      </w:pPr>
      <w:r>
        <w:rPr>
          <w:rFonts w:hint="eastAsia"/>
          <w:b/>
          <w:bCs/>
          <w:color w:val="auto"/>
          <w:sz w:val="28"/>
          <w:szCs w:val="28"/>
          <w:lang w:val="en-US" w:eastAsia="zh-CN"/>
        </w:rPr>
        <w:t>五、其他</w:t>
      </w:r>
      <w:r>
        <w:rPr>
          <w:rFonts w:hint="eastAsia"/>
          <w:b/>
          <w:bCs/>
          <w:color w:val="auto"/>
          <w:sz w:val="28"/>
          <w:szCs w:val="28"/>
        </w:rPr>
        <w:t>要求</w:t>
      </w:r>
    </w:p>
    <w:p>
      <w:pPr>
        <w:pStyle w:val="7"/>
        <w:spacing w:after="0"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rPr>
        <w:t>1、项目建设周期：</w:t>
      </w:r>
      <w:r>
        <w:rPr>
          <w:rFonts w:hint="eastAsia" w:ascii="宋体" w:hAnsi="宋体" w:cs="宋体"/>
          <w:color w:val="auto"/>
          <w:sz w:val="24"/>
          <w:szCs w:val="24"/>
        </w:rPr>
        <w:t>合同签订后，</w:t>
      </w:r>
      <w:r>
        <w:rPr>
          <w:rFonts w:hint="eastAsia" w:ascii="宋体" w:hAnsi="宋体" w:cs="宋体"/>
          <w:bCs/>
          <w:snapToGrid w:val="0"/>
          <w:color w:val="0000FF"/>
          <w:sz w:val="24"/>
          <w:szCs w:val="24"/>
          <w:lang w:val="en-US" w:eastAsia="zh-CN"/>
        </w:rPr>
        <w:t>30</w:t>
      </w:r>
      <w:r>
        <w:rPr>
          <w:rFonts w:hint="eastAsia" w:ascii="宋体" w:hAnsi="宋体" w:eastAsia="宋体" w:cs="宋体"/>
          <w:bCs/>
          <w:snapToGrid w:val="0"/>
          <w:sz w:val="24"/>
          <w:szCs w:val="24"/>
          <w:lang w:val="en-US" w:eastAsia="zh-CN"/>
        </w:rPr>
        <w:t>天</w:t>
      </w:r>
      <w:r>
        <w:rPr>
          <w:rFonts w:hint="eastAsia" w:ascii="宋体" w:hAnsi="宋体" w:cs="宋体"/>
          <w:bCs/>
          <w:snapToGrid w:val="0"/>
          <w:sz w:val="24"/>
          <w:szCs w:val="24"/>
          <w:lang w:val="en-US" w:eastAsia="zh-CN"/>
        </w:rPr>
        <w:t>内</w:t>
      </w:r>
      <w:r>
        <w:rPr>
          <w:rFonts w:hint="eastAsia" w:ascii="宋体" w:hAnsi="宋体" w:eastAsia="宋体" w:cs="宋体"/>
          <w:bCs/>
          <w:snapToGrid w:val="0"/>
          <w:sz w:val="24"/>
          <w:szCs w:val="24"/>
          <w:lang w:val="en-US" w:eastAsia="zh-CN"/>
        </w:rPr>
        <w:t>完成硬件到货及软件部署</w:t>
      </w:r>
      <w:r>
        <w:rPr>
          <w:rFonts w:hint="eastAsia" w:ascii="宋体" w:hAnsi="宋体" w:cs="宋体"/>
          <w:color w:val="auto"/>
          <w:sz w:val="24"/>
          <w:szCs w:val="24"/>
        </w:rPr>
        <w:t>并通过采购人验收、交付采购人使用。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、付款方式：合同签订实施后，验收合格收到发票后，在三个月内一次性支付相应的款项。</w:t>
      </w:r>
    </w:p>
    <w:p>
      <w:pPr>
        <w:pStyle w:val="7"/>
        <w:spacing w:after="0" w:line="360" w:lineRule="auto"/>
        <w:ind w:firstLine="480" w:firstLineChars="200"/>
        <w:jc w:val="left"/>
        <w:rPr>
          <w:rFonts w:hint="eastAsia" w:ascii="宋体" w:hAnsi="宋体" w:eastAsia="宋体" w:cs="宋体"/>
          <w:bCs/>
          <w:snapToGrid w:val="0"/>
          <w:sz w:val="24"/>
          <w:szCs w:val="24"/>
        </w:rPr>
      </w:pPr>
      <w:r>
        <w:rPr>
          <w:rFonts w:hint="eastAsia" w:ascii="宋体" w:hAnsi="宋体" w:cs="宋体"/>
          <w:bCs/>
          <w:snapToGrid w:val="0"/>
          <w:sz w:val="24"/>
          <w:szCs w:val="24"/>
          <w:lang w:val="en-US" w:eastAsia="zh-CN"/>
        </w:rPr>
        <w:t>3、</w:t>
      </w:r>
      <w:r>
        <w:rPr>
          <w:rFonts w:hint="eastAsia" w:ascii="宋体" w:hAnsi="宋体" w:eastAsia="宋体" w:cs="宋体"/>
          <w:bCs/>
          <w:snapToGrid w:val="0"/>
          <w:sz w:val="24"/>
          <w:szCs w:val="24"/>
        </w:rPr>
        <w:t>培训：供应商负责在采购人现场提供操作和应用培训，使操作人员熟练掌握设备及软件的操作规程。</w:t>
      </w:r>
    </w:p>
    <w:p>
      <w:pPr>
        <w:pStyle w:val="8"/>
        <w:spacing w:line="360" w:lineRule="auto"/>
        <w:ind w:firstLine="480" w:firstLineChars="200"/>
        <w:rPr>
          <w:rFonts w:hint="default" w:eastAsia="宋体"/>
          <w:b w:val="0"/>
          <w:bCs/>
          <w:sz w:val="24"/>
          <w:szCs w:val="24"/>
          <w:u w:val="single"/>
          <w:lang w:val="en-US" w:eastAsia="zh-CN"/>
        </w:rPr>
      </w:pPr>
      <w:r>
        <w:rPr>
          <w:rFonts w:hint="eastAsia" w:ascii="宋体" w:hAnsi="宋体" w:cs="宋体"/>
          <w:bCs/>
          <w:snapToGrid w:val="0"/>
          <w:sz w:val="24"/>
          <w:szCs w:val="24"/>
          <w:lang w:val="en-US" w:eastAsia="zh-CN"/>
        </w:rPr>
        <w:t>4、</w:t>
      </w:r>
      <w:r>
        <w:rPr>
          <w:rFonts w:hint="eastAsia" w:ascii="宋体" w:hAnsi="宋体" w:eastAsia="宋体" w:cs="宋体"/>
          <w:bCs/>
          <w:snapToGrid w:val="0"/>
          <w:sz w:val="24"/>
          <w:szCs w:val="24"/>
        </w:rPr>
        <w:t>售后服务要求：</w:t>
      </w:r>
      <w:r>
        <w:rPr>
          <w:rFonts w:hint="eastAsia" w:ascii="宋体" w:hAnsi="宋体" w:eastAsia="宋体" w:cs="宋体"/>
          <w:color w:val="C00000"/>
          <w:sz w:val="24"/>
          <w:szCs w:val="24"/>
          <w:vertAlign w:val="baseline"/>
          <w:lang w:val="en-US" w:eastAsia="zh-CN"/>
        </w:rPr>
        <w:t>软硬件整体质保≥5年</w:t>
      </w:r>
      <w:r>
        <w:rPr>
          <w:rFonts w:hint="eastAsia" w:ascii="宋体" w:hAnsi="宋体" w:eastAsia="宋体" w:cs="宋体"/>
          <w:bCs/>
          <w:snapToGrid w:val="0"/>
          <w:sz w:val="24"/>
          <w:szCs w:val="24"/>
        </w:rPr>
        <w:t>。服务期间，中标方提供7*</w:t>
      </w:r>
      <w:r>
        <w:rPr>
          <w:rFonts w:hint="eastAsia" w:ascii="宋体" w:hAnsi="宋体" w:eastAsia="宋体" w:cs="宋体"/>
          <w:bCs/>
          <w:snapToGrid w:val="0"/>
          <w:sz w:val="24"/>
          <w:szCs w:val="24"/>
          <w:lang w:val="en-US" w:eastAsia="zh-CN"/>
        </w:rPr>
        <w:t>24小时</w:t>
      </w:r>
      <w:r>
        <w:rPr>
          <w:rFonts w:hint="eastAsia" w:ascii="宋体" w:hAnsi="宋体" w:eastAsia="宋体" w:cs="宋体"/>
          <w:bCs/>
          <w:snapToGrid w:val="0"/>
          <w:sz w:val="24"/>
          <w:szCs w:val="24"/>
        </w:rPr>
        <w:t>响应的技术支持服务，在接到报修通知后，2小时内须有售后人员响应并进行修复直到系统恢复正常。</w:t>
      </w:r>
    </w:p>
    <w:p>
      <w:pPr>
        <w:overflowPunct w:val="0"/>
        <w:spacing w:line="360" w:lineRule="auto"/>
        <w:rPr>
          <w:rFonts w:hint="eastAsia" w:ascii="宋体" w:hAnsi="宋体" w:cs="黑体"/>
          <w:b/>
          <w:bCs/>
          <w:color w:val="auto"/>
          <w:sz w:val="28"/>
          <w:szCs w:val="28"/>
        </w:rPr>
      </w:pPr>
    </w:p>
    <w:p>
      <w:pPr>
        <w:overflowPunct w:val="0"/>
        <w:spacing w:line="360" w:lineRule="auto"/>
        <w:rPr>
          <w:rFonts w:hint="eastAsia" w:ascii="宋体" w:hAnsi="宋体" w:cs="黑体"/>
          <w:b/>
          <w:bCs/>
          <w:color w:val="auto"/>
          <w:sz w:val="28"/>
          <w:szCs w:val="28"/>
        </w:rPr>
      </w:pPr>
      <w:r>
        <w:rPr>
          <w:rFonts w:hint="eastAsia" w:ascii="宋体" w:hAnsi="宋体" w:cs="黑体"/>
          <w:b/>
          <w:bCs/>
          <w:color w:val="auto"/>
          <w:sz w:val="28"/>
          <w:szCs w:val="28"/>
          <w:lang w:val="en-US" w:eastAsia="zh-CN"/>
        </w:rPr>
        <w:t>六</w:t>
      </w:r>
      <w:r>
        <w:rPr>
          <w:rFonts w:hint="eastAsia" w:ascii="宋体" w:hAnsi="宋体" w:cs="黑体"/>
          <w:b/>
          <w:bCs/>
          <w:color w:val="auto"/>
          <w:sz w:val="28"/>
          <w:szCs w:val="28"/>
        </w:rPr>
        <w:t>、定标方法</w:t>
      </w:r>
    </w:p>
    <w:p>
      <w:pPr>
        <w:pStyle w:val="2"/>
        <w:spacing w:line="360" w:lineRule="auto"/>
        <w:rPr>
          <w:rFonts w:hint="eastAsia"/>
          <w:color w:val="auto"/>
          <w:sz w:val="24"/>
          <w:szCs w:val="24"/>
        </w:rPr>
      </w:pPr>
      <w:r>
        <w:rPr>
          <w:rFonts w:hint="eastAsia"/>
          <w:color w:val="auto"/>
          <w:sz w:val="24"/>
          <w:szCs w:val="24"/>
        </w:rPr>
        <w:t>1、确定中标候选人</w:t>
      </w:r>
    </w:p>
    <w:p>
      <w:pPr>
        <w:pStyle w:val="2"/>
        <w:spacing w:line="360" w:lineRule="auto"/>
        <w:rPr>
          <w:rFonts w:hint="eastAsia"/>
          <w:color w:val="auto"/>
          <w:sz w:val="24"/>
          <w:szCs w:val="24"/>
        </w:rPr>
      </w:pPr>
      <w:r>
        <w:rPr>
          <w:rFonts w:hint="eastAsia"/>
          <w:color w:val="auto"/>
          <w:sz w:val="24"/>
          <w:szCs w:val="24"/>
        </w:rPr>
        <w:t>1.1由评标委员会确定中标候选人。</w:t>
      </w:r>
    </w:p>
    <w:p>
      <w:pPr>
        <w:pStyle w:val="2"/>
        <w:spacing w:line="360" w:lineRule="auto"/>
        <w:rPr>
          <w:rFonts w:hint="eastAsia"/>
          <w:color w:val="auto"/>
          <w:sz w:val="24"/>
          <w:szCs w:val="24"/>
        </w:rPr>
      </w:pPr>
      <w:r>
        <w:rPr>
          <w:rFonts w:hint="eastAsia"/>
          <w:color w:val="auto"/>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2"/>
        <w:spacing w:line="360" w:lineRule="auto"/>
        <w:rPr>
          <w:rFonts w:hint="eastAsia"/>
          <w:color w:val="auto"/>
          <w:sz w:val="24"/>
          <w:szCs w:val="24"/>
        </w:rPr>
      </w:pPr>
      <w:r>
        <w:rPr>
          <w:rFonts w:hint="eastAsia"/>
          <w:color w:val="auto"/>
          <w:sz w:val="24"/>
          <w:szCs w:val="24"/>
        </w:rPr>
        <w:t>2、确定中标人</w:t>
      </w:r>
    </w:p>
    <w:p>
      <w:pPr>
        <w:pStyle w:val="2"/>
        <w:spacing w:line="360" w:lineRule="auto"/>
        <w:rPr>
          <w:rFonts w:hint="eastAsia"/>
          <w:color w:val="auto"/>
          <w:sz w:val="24"/>
          <w:szCs w:val="24"/>
        </w:rPr>
      </w:pPr>
      <w:r>
        <w:rPr>
          <w:rFonts w:hint="eastAsia"/>
          <w:color w:val="auto"/>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2"/>
        <w:spacing w:line="360" w:lineRule="auto"/>
        <w:rPr>
          <w:rFonts w:hint="eastAsia"/>
          <w:color w:val="auto"/>
          <w:sz w:val="24"/>
          <w:szCs w:val="24"/>
        </w:rPr>
      </w:pPr>
      <w:r>
        <w:rPr>
          <w:rFonts w:hint="eastAsia"/>
          <w:color w:val="auto"/>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2"/>
        <w:spacing w:line="360" w:lineRule="auto"/>
        <w:rPr>
          <w:rFonts w:hint="eastAsia"/>
          <w:color w:val="auto"/>
        </w:rPr>
      </w:pPr>
      <w:r>
        <w:rPr>
          <w:rFonts w:hint="eastAsia"/>
          <w:color w:val="auto"/>
          <w:sz w:val="24"/>
          <w:szCs w:val="24"/>
        </w:rPr>
        <w:t>3、中标人确定后，采购人将在温州市中医院官网公告中标结果。</w:t>
      </w:r>
    </w:p>
    <w:p>
      <w:pPr>
        <w:rPr>
          <w:color w:val="auto"/>
        </w:rPr>
      </w:pPr>
    </w:p>
    <w:p>
      <w:pPr>
        <w:rPr>
          <w:b/>
          <w:bCs/>
          <w:color w:val="auto"/>
          <w:sz w:val="28"/>
          <w:szCs w:val="28"/>
        </w:rPr>
      </w:pPr>
      <w:r>
        <w:rPr>
          <w:rFonts w:hint="eastAsia"/>
          <w:b/>
          <w:bCs/>
          <w:color w:val="auto"/>
          <w:sz w:val="28"/>
          <w:szCs w:val="28"/>
          <w:lang w:val="en-US" w:eastAsia="zh-CN"/>
        </w:rPr>
        <w:t>七</w:t>
      </w:r>
      <w:r>
        <w:rPr>
          <w:rFonts w:hint="eastAsia"/>
          <w:b/>
          <w:bCs/>
          <w:color w:val="auto"/>
          <w:sz w:val="28"/>
          <w:szCs w:val="28"/>
        </w:rPr>
        <w:t>、评分细则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1、技术分的评定（</w:t>
      </w:r>
      <w:r>
        <w:rPr>
          <w:rFonts w:hint="eastAsia" w:ascii="宋体" w:hAnsi="宋体" w:cs="宋体"/>
          <w:color w:val="auto"/>
          <w:sz w:val="24"/>
          <w:lang w:val="en-US" w:eastAsia="zh-CN"/>
        </w:rPr>
        <w:t>7</w:t>
      </w:r>
      <w:r>
        <w:rPr>
          <w:rFonts w:hint="eastAsia" w:ascii="宋体" w:hAnsi="宋体" w:cs="宋体"/>
          <w:color w:val="auto"/>
          <w:sz w:val="24"/>
        </w:rPr>
        <w:t>0分)（权值</w:t>
      </w:r>
      <w:r>
        <w:rPr>
          <w:rFonts w:hint="eastAsia" w:ascii="宋体" w:hAnsi="宋体" w:cs="宋体"/>
          <w:color w:val="auto"/>
          <w:sz w:val="24"/>
          <w:lang w:val="en-US" w:eastAsia="zh-CN"/>
        </w:rPr>
        <w:t>7</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2、商务标（报价）</w:t>
      </w:r>
      <w:r>
        <w:rPr>
          <w:rFonts w:hint="eastAsia" w:ascii="宋体" w:hAnsi="宋体" w:cs="宋体"/>
          <w:color w:val="auto"/>
          <w:sz w:val="24"/>
          <w:lang w:val="en-US" w:eastAsia="zh-CN"/>
        </w:rPr>
        <w:t>3</w:t>
      </w:r>
      <w:r>
        <w:rPr>
          <w:rFonts w:hint="eastAsia" w:ascii="宋体" w:hAnsi="宋体" w:cs="宋体"/>
          <w:color w:val="auto"/>
          <w:sz w:val="24"/>
        </w:rPr>
        <w:t>0分（权值</w:t>
      </w:r>
      <w:r>
        <w:rPr>
          <w:rFonts w:hint="eastAsia" w:ascii="宋体" w:hAnsi="宋体" w:cs="宋体"/>
          <w:color w:val="auto"/>
          <w:sz w:val="24"/>
          <w:lang w:val="en-US" w:eastAsia="zh-CN"/>
        </w:rPr>
        <w:t>3</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1）有效投标人的报价等于评审基准价时其报价分为满分</w:t>
      </w:r>
      <w:r>
        <w:rPr>
          <w:rFonts w:hint="eastAsia" w:ascii="宋体" w:hAnsi="宋体" w:cs="宋体"/>
          <w:color w:val="auto"/>
          <w:sz w:val="24"/>
          <w:lang w:val="en-US" w:eastAsia="zh-CN"/>
        </w:rPr>
        <w:t>3</w:t>
      </w:r>
      <w:r>
        <w:rPr>
          <w:rFonts w:hint="eastAsia" w:ascii="宋体" w:hAnsi="宋体" w:cs="宋体"/>
          <w:color w:val="auto"/>
          <w:sz w:val="24"/>
        </w:rPr>
        <w:t>0分；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2）其他投标人的价格分按以下公式计算：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报价得分=（评分基准价/投标人投标报价）× 价格权值 ×100（保留小数2位）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3、有效投标人的综合得分为技术分和商务（报价）分的总和。</w:t>
      </w:r>
    </w:p>
    <w:p>
      <w:pPr>
        <w:spacing w:line="360" w:lineRule="auto"/>
        <w:ind w:firstLine="480" w:firstLineChars="200"/>
        <w:rPr>
          <w:color w:val="auto"/>
        </w:rPr>
      </w:pPr>
      <w:r>
        <w:rPr>
          <w:rFonts w:hint="eastAsia" w:ascii="宋体" w:hAnsi="宋体" w:cs="宋体"/>
          <w:color w:val="auto"/>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2"/>
        <w:rPr>
          <w:color w:val="auto"/>
        </w:rPr>
      </w:pPr>
    </w:p>
    <w:p>
      <w:pPr>
        <w:pStyle w:val="3"/>
        <w:rPr>
          <w:color w:val="auto"/>
          <w:sz w:val="28"/>
          <w:szCs w:val="28"/>
        </w:rPr>
      </w:pPr>
      <w:r>
        <w:rPr>
          <w:rFonts w:hint="eastAsia"/>
          <w:color w:val="auto"/>
          <w:sz w:val="28"/>
          <w:szCs w:val="28"/>
          <w:lang w:val="en-US" w:eastAsia="zh-CN"/>
        </w:rPr>
        <w:t>八</w:t>
      </w:r>
      <w:r>
        <w:rPr>
          <w:rFonts w:hint="eastAsia"/>
          <w:color w:val="auto"/>
          <w:sz w:val="28"/>
          <w:szCs w:val="28"/>
        </w:rPr>
        <w:t>、附件</w:t>
      </w:r>
    </w:p>
    <w:p>
      <w:pPr>
        <w:spacing w:line="360" w:lineRule="auto"/>
        <w:rPr>
          <w:rFonts w:ascii="宋体" w:hAnsi="宋体"/>
          <w:b/>
          <w:sz w:val="22"/>
        </w:rPr>
      </w:pPr>
      <w:r>
        <w:rPr>
          <w:rFonts w:hint="eastAsia" w:ascii="宋体" w:hAnsi="宋体"/>
          <w:b/>
          <w:color w:val="auto"/>
          <w:sz w:val="22"/>
          <w:szCs w:val="22"/>
        </w:rPr>
        <w:t>1、</w:t>
      </w:r>
      <w:r>
        <w:rPr>
          <w:rFonts w:hint="eastAsia" w:ascii="宋体" w:hAnsi="宋体"/>
          <w:b/>
          <w:sz w:val="22"/>
        </w:rPr>
        <w:t>技术评分：满分</w:t>
      </w:r>
      <w:r>
        <w:rPr>
          <w:rFonts w:hint="eastAsia" w:ascii="宋体" w:hAnsi="宋体"/>
          <w:b/>
          <w:sz w:val="22"/>
          <w:lang w:val="en-US" w:eastAsia="zh-CN"/>
        </w:rPr>
        <w:t>7</w:t>
      </w:r>
      <w:r>
        <w:rPr>
          <w:rFonts w:hint="eastAsia" w:ascii="宋体" w:hAnsi="宋体"/>
          <w:b/>
          <w:sz w:val="22"/>
        </w:rPr>
        <w:t>0分</w:t>
      </w:r>
    </w:p>
    <w:tbl>
      <w:tblPr>
        <w:tblStyle w:val="16"/>
        <w:tblW w:w="10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551"/>
        <w:gridCol w:w="720"/>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评分因素</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分值</w:t>
            </w:r>
          </w:p>
        </w:tc>
        <w:tc>
          <w:tcPr>
            <w:tcW w:w="707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2"/>
                <w:szCs w:val="22"/>
                <w:highlight w:val="none"/>
              </w:rPr>
            </w:pPr>
            <w:r>
              <w:rPr>
                <w:rFonts w:hint="eastAsia" w:ascii="宋体" w:hAnsi="宋体" w:cs="宋体"/>
                <w:b/>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4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1</w:t>
            </w:r>
          </w:p>
        </w:tc>
        <w:tc>
          <w:tcPr>
            <w:tcW w:w="155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综合实力</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cs="宋体"/>
                <w:bCs/>
                <w:color w:val="auto"/>
                <w:sz w:val="21"/>
                <w:szCs w:val="21"/>
                <w:highlight w:val="none"/>
                <w:lang w:val="en-US" w:eastAsia="zh-CN"/>
              </w:rPr>
              <w:t>5</w:t>
            </w:r>
          </w:p>
        </w:tc>
        <w:tc>
          <w:tcPr>
            <w:tcW w:w="7074"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投标人或所投产品厂商</w:t>
            </w:r>
            <w:r>
              <w:rPr>
                <w:rFonts w:hint="eastAsia" w:ascii="宋体" w:hAnsi="宋体" w:cs="宋体"/>
                <w:color w:val="auto"/>
                <w:kern w:val="0"/>
                <w:sz w:val="21"/>
                <w:szCs w:val="21"/>
                <w:highlight w:val="none"/>
              </w:rPr>
              <w:t>应具备优秀的信息系统集成及服务交付能力，以保证本项目集成及信息技术服务的供给质量</w:t>
            </w:r>
            <w:r>
              <w:rPr>
                <w:rFonts w:hint="eastAsia" w:ascii="宋体" w:hAnsi="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提供信息系统服务交付能力等级证书的，一级得</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分，二级得</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分，其他不得分，提供相关证明复印件并加盖公章。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p>
        </w:tc>
        <w:tc>
          <w:tcPr>
            <w:tcW w:w="155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7074"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cs="宋体" w:eastAsiaTheme="minorEastAsia"/>
                <w:color w:val="auto"/>
                <w:kern w:val="0"/>
                <w:sz w:val="21"/>
                <w:szCs w:val="21"/>
                <w:highlight w:val="none"/>
                <w:lang w:val="en-US" w:eastAsia="zh-CN"/>
              </w:rPr>
            </w:pPr>
            <w:r>
              <w:rPr>
                <w:rFonts w:hint="eastAsia" w:ascii="宋体" w:hAnsi="宋体" w:eastAsia="宋体" w:cs="宋体"/>
                <w:color w:val="auto"/>
                <w:kern w:val="0"/>
                <w:sz w:val="21"/>
                <w:szCs w:val="21"/>
                <w:highlight w:val="none"/>
                <w:lang w:val="en-GB"/>
              </w:rPr>
              <w:t>投标人或投标人所投平台软件制造商应具有较好的软件创新能力</w:t>
            </w:r>
            <w:r>
              <w:rPr>
                <w:rFonts w:hint="eastAsia" w:ascii="宋体" w:hAnsi="宋体" w:eastAsia="宋体" w:cs="宋体"/>
                <w:color w:val="auto"/>
                <w:kern w:val="0"/>
                <w:sz w:val="21"/>
                <w:szCs w:val="21"/>
                <w:highlight w:val="none"/>
                <w:lang w:val="en-GB" w:eastAsia="zh-CN"/>
              </w:rPr>
              <w:t>、</w:t>
            </w:r>
            <w:r>
              <w:rPr>
                <w:rFonts w:hint="eastAsia" w:ascii="宋体" w:hAnsi="宋体" w:eastAsia="宋体" w:cs="宋体"/>
                <w:color w:val="auto"/>
                <w:kern w:val="0"/>
                <w:sz w:val="21"/>
                <w:szCs w:val="21"/>
                <w:highlight w:val="none"/>
                <w:lang w:val="en-GB"/>
              </w:rPr>
              <w:t>质量保障</w:t>
            </w:r>
            <w:r>
              <w:rPr>
                <w:rFonts w:hint="eastAsia" w:ascii="宋体" w:hAnsi="宋体" w:eastAsia="宋体" w:cs="宋体"/>
                <w:color w:val="auto"/>
                <w:kern w:val="0"/>
                <w:sz w:val="21"/>
                <w:szCs w:val="21"/>
                <w:highlight w:val="none"/>
                <w:lang w:val="en-US" w:eastAsia="zh-CN"/>
              </w:rPr>
              <w:t>以及服务</w:t>
            </w:r>
            <w:r>
              <w:rPr>
                <w:rFonts w:hint="eastAsia" w:ascii="宋体" w:hAnsi="宋体" w:eastAsia="宋体" w:cs="宋体"/>
                <w:color w:val="auto"/>
                <w:kern w:val="0"/>
                <w:sz w:val="21"/>
                <w:szCs w:val="21"/>
                <w:highlight w:val="none"/>
                <w:lang w:val="en-GB"/>
              </w:rPr>
              <w:t>能力；根据相关证明材料</w:t>
            </w:r>
            <w:r>
              <w:rPr>
                <w:rFonts w:hint="eastAsia" w:ascii="宋体" w:hAnsi="宋体" w:eastAsia="宋体" w:cs="宋体"/>
                <w:color w:val="auto"/>
                <w:kern w:val="0"/>
                <w:sz w:val="21"/>
                <w:szCs w:val="21"/>
                <w:highlight w:val="none"/>
                <w:lang w:val="en-US" w:eastAsia="zh-CN"/>
              </w:rPr>
              <w:t>进行</w:t>
            </w:r>
            <w:r>
              <w:rPr>
                <w:rFonts w:hint="eastAsia" w:ascii="宋体" w:hAnsi="宋体" w:eastAsia="宋体" w:cs="宋体"/>
                <w:color w:val="auto"/>
                <w:kern w:val="0"/>
                <w:sz w:val="21"/>
                <w:szCs w:val="21"/>
                <w:highlight w:val="none"/>
                <w:lang w:val="en-GB"/>
              </w:rPr>
              <w:t>综合打分。（</w:t>
            </w:r>
            <w:r>
              <w:rPr>
                <w:rFonts w:hint="eastAsia" w:ascii="宋体" w:hAnsi="宋体" w:eastAsia="宋体" w:cs="宋体"/>
                <w:color w:val="auto"/>
                <w:kern w:val="0"/>
                <w:sz w:val="21"/>
                <w:szCs w:val="21"/>
                <w:highlight w:val="none"/>
              </w:rPr>
              <w:t>评分范围：</w:t>
            </w:r>
            <w:r>
              <w:rPr>
                <w:rFonts w:hint="eastAsia" w:ascii="宋体" w:hAnsi="宋体" w:eastAsia="宋体" w:cs="宋体"/>
                <w:color w:val="auto"/>
                <w:kern w:val="0"/>
                <w:sz w:val="21"/>
                <w:szCs w:val="21"/>
                <w:highlight w:val="none"/>
                <w:lang w:val="en-US" w:eastAsia="zh-CN"/>
              </w:rPr>
              <w:t>6-0分</w:t>
            </w:r>
            <w:r>
              <w:rPr>
                <w:rFonts w:hint="eastAsia" w:ascii="宋体" w:hAnsi="宋体" w:eastAsia="宋体" w:cs="宋体"/>
                <w:color w:val="auto"/>
                <w:kern w:val="0"/>
                <w:sz w:val="21"/>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7074"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w:t>
            </w:r>
            <w:r>
              <w:rPr>
                <w:rFonts w:hint="eastAsia" w:ascii="宋体" w:hAnsi="宋体" w:cs="宋体"/>
                <w:color w:val="auto"/>
                <w:kern w:val="0"/>
                <w:sz w:val="21"/>
                <w:szCs w:val="21"/>
                <w:highlight w:val="none"/>
                <w:lang w:val="en-US" w:eastAsia="zh-CN"/>
              </w:rPr>
              <w:t>人</w:t>
            </w:r>
            <w:r>
              <w:rPr>
                <w:rFonts w:hint="eastAsia" w:ascii="宋体" w:hAnsi="宋体" w:cs="宋体"/>
                <w:color w:val="auto"/>
                <w:kern w:val="0"/>
                <w:sz w:val="21"/>
                <w:szCs w:val="21"/>
                <w:highlight w:val="none"/>
              </w:rPr>
              <w:t>自2022年01月01日以来（以合同签订时间为准）在国内签订的</w:t>
            </w:r>
            <w:r>
              <w:rPr>
                <w:rFonts w:hint="eastAsia" w:ascii="宋体" w:hAnsi="宋体" w:cs="宋体"/>
                <w:color w:val="auto"/>
                <w:kern w:val="0"/>
                <w:sz w:val="21"/>
                <w:szCs w:val="21"/>
                <w:highlight w:val="none"/>
                <w:lang w:val="en-US" w:eastAsia="zh-CN"/>
              </w:rPr>
              <w:t>医疗行业同类</w:t>
            </w:r>
            <w:r>
              <w:rPr>
                <w:rFonts w:hint="eastAsia" w:ascii="宋体" w:hAnsi="宋体" w:cs="宋体"/>
                <w:color w:val="auto"/>
                <w:kern w:val="0"/>
                <w:sz w:val="21"/>
                <w:szCs w:val="21"/>
                <w:highlight w:val="none"/>
              </w:rPr>
              <w:t>项目业绩，符合条件1分/个，最高得3分。</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注：提供完整的合同</w:t>
            </w:r>
            <w:r>
              <w:rPr>
                <w:rFonts w:hint="eastAsia" w:ascii="宋体" w:hAnsi="宋体" w:cs="宋体"/>
                <w:color w:val="auto"/>
                <w:sz w:val="21"/>
                <w:szCs w:val="21"/>
                <w:highlight w:val="none"/>
              </w:rPr>
              <w:t>复印件并加盖供应商公章</w:t>
            </w:r>
            <w:r>
              <w:rPr>
                <w:rFonts w:hint="eastAsia" w:ascii="宋体" w:hAnsi="宋体" w:cs="宋体"/>
                <w:color w:val="auto"/>
                <w:kern w:val="0"/>
                <w:sz w:val="21"/>
                <w:szCs w:val="21"/>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47"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551"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产品性能</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eastAsiaTheme="minorEastAsia"/>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7074" w:type="dxa"/>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bCs/>
                <w:spacing w:val="-4"/>
                <w:sz w:val="21"/>
                <w:szCs w:val="21"/>
                <w:lang w:val="zh-CN" w:eastAsia="zh-CN"/>
              </w:rPr>
              <w:t>加</w:t>
            </w:r>
            <w:r>
              <w:rPr>
                <w:rFonts w:hint="default"/>
                <w:sz w:val="21"/>
                <w:szCs w:val="21"/>
                <w:vertAlign w:val="baseline"/>
                <w:lang w:val="en-US" w:eastAsia="zh-CN"/>
              </w:rPr>
              <w:t>★</w:t>
            </w:r>
            <w:r>
              <w:rPr>
                <w:bCs/>
                <w:spacing w:val="-4"/>
                <w:sz w:val="21"/>
                <w:szCs w:val="21"/>
                <w:lang w:val="zh-CN" w:eastAsia="zh-CN"/>
              </w:rPr>
              <w:t>的</w:t>
            </w:r>
            <w:r>
              <w:rPr>
                <w:rFonts w:hint="eastAsia"/>
                <w:bCs/>
                <w:spacing w:val="-4"/>
                <w:sz w:val="21"/>
                <w:szCs w:val="21"/>
                <w:lang w:val="zh-CN"/>
              </w:rPr>
              <w:t>条款为关键技术参数，每一项</w:t>
            </w:r>
            <w:r>
              <w:rPr>
                <w:bCs/>
                <w:spacing w:val="-4"/>
                <w:sz w:val="21"/>
                <w:szCs w:val="21"/>
                <w:lang w:val="zh-CN" w:eastAsia="zh-CN"/>
              </w:rPr>
              <w:t>不满足</w:t>
            </w:r>
            <w:r>
              <w:rPr>
                <w:rFonts w:hint="eastAsia"/>
                <w:bCs/>
                <w:spacing w:val="-4"/>
                <w:sz w:val="21"/>
                <w:szCs w:val="21"/>
                <w:lang w:val="zh-CN"/>
              </w:rPr>
              <w:t>、未根据要求提供相关证明材料或提供证明材料与要求不符的扣</w:t>
            </w:r>
            <w:r>
              <w:rPr>
                <w:bCs/>
                <w:spacing w:val="-4"/>
                <w:sz w:val="21"/>
                <w:szCs w:val="21"/>
                <w:lang w:val="zh-CN" w:eastAsia="zh-CN"/>
              </w:rPr>
              <w:t>2</w:t>
            </w:r>
            <w:r>
              <w:rPr>
                <w:rFonts w:hint="eastAsia"/>
                <w:bCs/>
                <w:spacing w:val="-4"/>
                <w:sz w:val="21"/>
                <w:szCs w:val="21"/>
                <w:lang w:val="zh-CN" w:eastAsia="zh-CN"/>
              </w:rPr>
              <w:t>分</w:t>
            </w:r>
            <w:r>
              <w:rPr>
                <w:bCs/>
                <w:spacing w:val="-4"/>
                <w:sz w:val="21"/>
                <w:szCs w:val="21"/>
                <w:lang w:val="zh-CN" w:eastAsia="zh-CN"/>
              </w:rPr>
              <w:t>，</w:t>
            </w:r>
            <w:r>
              <w:rPr>
                <w:rFonts w:hint="eastAsia"/>
                <w:bCs/>
                <w:spacing w:val="-4"/>
                <w:sz w:val="21"/>
                <w:szCs w:val="21"/>
                <w:lang w:val="en-US" w:eastAsia="zh-CN"/>
              </w:rPr>
              <w:t>其它项不符的扣1分</w:t>
            </w:r>
            <w:r>
              <w:rPr>
                <w:rFonts w:hint="eastAsia"/>
                <w:bCs/>
                <w:spacing w:val="-4"/>
                <w:sz w:val="21"/>
                <w:szCs w:val="21"/>
                <w:lang w:val="zh-CN" w:eastAsia="zh-CN"/>
              </w:rPr>
              <w:t>，</w:t>
            </w:r>
            <w:r>
              <w:rPr>
                <w:bCs/>
                <w:spacing w:val="-4"/>
                <w:sz w:val="21"/>
                <w:szCs w:val="21"/>
                <w:lang w:val="zh-CN"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847"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p>
        </w:tc>
        <w:tc>
          <w:tcPr>
            <w:tcW w:w="1551" w:type="dxa"/>
            <w:vMerge w:val="continue"/>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074"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为保障本项目数据的安全性和可控性,投标人所投产品(产品含商用密码类)，制造商具备工业和信息化领域商用密码典型应用方案的,得</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val="en-US" w:eastAsia="zh-CN"/>
              </w:rPr>
              <w:t>须</w:t>
            </w:r>
            <w:r>
              <w:rPr>
                <w:rFonts w:hint="eastAsia" w:ascii="宋体" w:hAnsi="宋体" w:cs="宋体"/>
                <w:color w:val="auto"/>
                <w:kern w:val="0"/>
                <w:sz w:val="21"/>
                <w:szCs w:val="21"/>
                <w:highlight w:val="none"/>
              </w:rPr>
              <w:t>提供荣誉证书复印件并加盖公章。</w:t>
            </w:r>
          </w:p>
          <w:p>
            <w:pPr>
              <w:keepNext w:val="0"/>
              <w:keepLines w:val="0"/>
              <w:pageBreakBefore w:val="0"/>
              <w:numPr>
                <w:ilvl w:val="0"/>
                <w:numId w:val="0"/>
              </w:numPr>
              <w:kinsoku/>
              <w:wordWrap/>
              <w:overflowPunct/>
              <w:topLinePunct w:val="0"/>
              <w:autoSpaceDE/>
              <w:autoSpaceDN/>
              <w:bidi w:val="0"/>
              <w:adjustRightInd/>
              <w:snapToGrid/>
              <w:spacing w:line="360" w:lineRule="exac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 为保证门禁系统的开发安全，门禁系统生产厂家需具备中国信息安全测评中心颁发的信息安全服务安全开发二级资质，得</w:t>
            </w:r>
            <w:r>
              <w:rPr>
                <w:rFonts w:hint="eastAsia" w:ascii="宋体" w:hAnsi="宋体" w:cs="宋体"/>
                <w:color w:val="auto"/>
                <w:kern w:val="0"/>
                <w:sz w:val="21"/>
                <w:szCs w:val="21"/>
                <w:highlight w:val="none"/>
                <w:lang w:val="en-US" w:eastAsia="zh-CN"/>
              </w:rPr>
              <w:t>3</w:t>
            </w:r>
            <w:r>
              <w:rPr>
                <w:rFonts w:hint="eastAsia" w:ascii="宋体" w:hAnsi="宋体" w:cs="宋体"/>
                <w:color w:val="auto"/>
                <w:kern w:val="0"/>
                <w:sz w:val="21"/>
                <w:szCs w:val="21"/>
                <w:highlight w:val="none"/>
              </w:rPr>
              <w:t>分</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须</w:t>
            </w:r>
            <w:r>
              <w:rPr>
                <w:rFonts w:hint="eastAsia" w:ascii="宋体" w:hAnsi="宋体" w:cs="宋体"/>
                <w:color w:val="auto"/>
                <w:kern w:val="0"/>
                <w:sz w:val="21"/>
                <w:szCs w:val="21"/>
                <w:highlight w:val="none"/>
              </w:rPr>
              <w:t>提供相关证书复印件证明。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cs="宋体"/>
                <w:bCs/>
                <w:color w:val="auto"/>
                <w:sz w:val="21"/>
                <w:szCs w:val="21"/>
                <w:highlight w:val="none"/>
                <w:lang w:val="en-US" w:eastAsia="zh-CN"/>
              </w:rPr>
              <w:t>4</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项目技术方案</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sz w:val="21"/>
                <w:szCs w:val="21"/>
                <w:highlight w:val="none"/>
              </w:rPr>
            </w:pPr>
            <w:r>
              <w:rPr>
                <w:rFonts w:hint="eastAsia" w:ascii="宋体" w:hAnsi="宋体" w:eastAsia="宋体" w:cs="宋体"/>
                <w:color w:val="auto"/>
                <w:kern w:val="0"/>
                <w:sz w:val="21"/>
                <w:szCs w:val="21"/>
                <w:highlight w:val="none"/>
              </w:rPr>
              <w:t>根据</w:t>
            </w:r>
            <w:r>
              <w:rPr>
                <w:rFonts w:hint="eastAsia" w:ascii="宋体" w:hAnsi="宋体" w:eastAsia="宋体" w:cs="宋体"/>
                <w:color w:val="auto"/>
                <w:kern w:val="0"/>
                <w:sz w:val="21"/>
                <w:szCs w:val="21"/>
                <w:highlight w:val="none"/>
                <w:lang w:val="zh-CN"/>
              </w:rPr>
              <w:t>投标文件的</w:t>
            </w:r>
            <w:r>
              <w:rPr>
                <w:rFonts w:hint="eastAsia" w:ascii="宋体" w:hAnsi="宋体" w:eastAsia="宋体" w:cs="宋体"/>
                <w:color w:val="auto"/>
                <w:kern w:val="0"/>
                <w:sz w:val="21"/>
                <w:szCs w:val="21"/>
                <w:highlight w:val="none"/>
                <w:lang w:val="en-US" w:eastAsia="zh-CN"/>
              </w:rPr>
              <w:t>提供的技术方案，从</w:t>
            </w:r>
            <w:r>
              <w:rPr>
                <w:rFonts w:hint="eastAsia" w:ascii="宋体" w:hAnsi="宋体" w:eastAsia="宋体" w:cs="宋体"/>
                <w:color w:val="auto"/>
                <w:kern w:val="0"/>
                <w:sz w:val="21"/>
                <w:szCs w:val="21"/>
                <w:highlight w:val="none"/>
                <w:lang w:val="zh-CN"/>
              </w:rPr>
              <w:t>整体需求理解、系统架构设计、技术路线</w:t>
            </w:r>
            <w:r>
              <w:rPr>
                <w:rFonts w:hint="eastAsia" w:ascii="宋体" w:hAnsi="宋体" w:eastAsia="宋体" w:cs="宋体"/>
                <w:color w:val="auto"/>
                <w:kern w:val="0"/>
                <w:sz w:val="21"/>
                <w:szCs w:val="21"/>
                <w:highlight w:val="none"/>
                <w:lang w:val="en-US" w:eastAsia="zh-CN"/>
              </w:rPr>
              <w:t>以及对</w:t>
            </w:r>
            <w:r>
              <w:rPr>
                <w:rFonts w:hint="eastAsia" w:ascii="宋体" w:hAnsi="宋体" w:eastAsia="宋体" w:cs="宋体"/>
                <w:color w:val="auto"/>
                <w:kern w:val="0"/>
                <w:sz w:val="21"/>
                <w:szCs w:val="21"/>
                <w:highlight w:val="none"/>
                <w:lang w:val="zh-CN"/>
              </w:rPr>
              <w:t>招标人业务需求</w:t>
            </w:r>
            <w:r>
              <w:rPr>
                <w:rFonts w:hint="eastAsia" w:ascii="宋体" w:hAnsi="宋体" w:eastAsia="宋体" w:cs="宋体"/>
                <w:color w:val="auto"/>
                <w:kern w:val="0"/>
                <w:sz w:val="21"/>
                <w:szCs w:val="21"/>
                <w:highlight w:val="none"/>
                <w:lang w:val="en-US" w:eastAsia="zh-CN"/>
              </w:rPr>
              <w:t>等方面进行综合评分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GB"/>
              </w:rPr>
              <w:t>（</w:t>
            </w:r>
            <w:r>
              <w:rPr>
                <w:rFonts w:hint="eastAsia" w:ascii="宋体" w:hAnsi="宋体" w:eastAsia="宋体" w:cs="宋体"/>
                <w:color w:val="auto"/>
                <w:kern w:val="0"/>
                <w:sz w:val="21"/>
                <w:szCs w:val="21"/>
                <w:highlight w:val="none"/>
              </w:rPr>
              <w:t>评分范围：</w:t>
            </w:r>
            <w:r>
              <w:rPr>
                <w:rFonts w:hint="eastAsia" w:ascii="宋体" w:hAnsi="宋体" w:eastAsia="宋体" w:cs="宋体"/>
                <w:color w:val="auto"/>
                <w:kern w:val="0"/>
                <w:sz w:val="21"/>
                <w:szCs w:val="21"/>
                <w:highlight w:val="none"/>
                <w:lang w:val="en-US" w:eastAsia="zh-CN"/>
              </w:rPr>
              <w:t>6-0分</w:t>
            </w:r>
            <w:r>
              <w:rPr>
                <w:rFonts w:hint="eastAsia" w:ascii="宋体" w:hAnsi="宋体" w:eastAsia="宋体" w:cs="宋体"/>
                <w:color w:val="auto"/>
                <w:kern w:val="0"/>
                <w:sz w:val="21"/>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售后服务</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根据投标人的售后</w:t>
            </w:r>
            <w:r>
              <w:rPr>
                <w:rFonts w:hint="eastAsia" w:ascii="宋体" w:hAnsi="宋体" w:eastAsia="宋体" w:cs="宋体"/>
                <w:b w:val="0"/>
                <w:bCs w:val="0"/>
                <w:color w:val="auto"/>
                <w:sz w:val="21"/>
                <w:szCs w:val="21"/>
                <w:highlight w:val="none"/>
              </w:rPr>
              <w:t>服务</w:t>
            </w:r>
            <w:r>
              <w:rPr>
                <w:rFonts w:hint="eastAsia" w:ascii="宋体" w:hAnsi="宋体" w:cs="宋体"/>
                <w:b w:val="0"/>
                <w:bCs w:val="0"/>
                <w:color w:val="auto"/>
                <w:sz w:val="21"/>
                <w:szCs w:val="21"/>
                <w:highlight w:val="none"/>
                <w:lang w:val="en-US" w:eastAsia="zh-CN"/>
              </w:rPr>
              <w:t>方案进行综合</w:t>
            </w:r>
            <w:r>
              <w:rPr>
                <w:rFonts w:hint="eastAsia" w:ascii="宋体" w:hAnsi="宋体" w:eastAsia="宋体" w:cs="宋体"/>
                <w:b w:val="0"/>
                <w:bCs w:val="0"/>
                <w:color w:val="auto"/>
                <w:sz w:val="21"/>
                <w:szCs w:val="21"/>
                <w:highlight w:val="none"/>
                <w:lang w:val="en-US" w:eastAsia="zh-CN"/>
              </w:rPr>
              <w:t>打分</w:t>
            </w:r>
            <w:r>
              <w:rPr>
                <w:rFonts w:hint="eastAsia" w:ascii="宋体" w:hAnsi="宋体" w:eastAsia="宋体" w:cs="宋体"/>
                <w:b w:val="0"/>
                <w:bCs w:val="0"/>
                <w:color w:val="auto"/>
                <w:sz w:val="21"/>
                <w:szCs w:val="21"/>
                <w:highlight w:val="none"/>
              </w:rPr>
              <w:t>。</w:t>
            </w:r>
            <w:r>
              <w:rPr>
                <w:rFonts w:hint="eastAsia" w:ascii="宋体" w:hAnsi="宋体" w:cs="宋体"/>
                <w:color w:val="auto"/>
                <w:sz w:val="21"/>
                <w:szCs w:val="21"/>
                <w:highlight w:val="none"/>
                <w:lang w:val="en-GB"/>
              </w:rPr>
              <w:t>（</w:t>
            </w:r>
            <w:r>
              <w:rPr>
                <w:rFonts w:hint="eastAsia" w:ascii="宋体" w:hAnsi="宋体" w:cs="宋体"/>
                <w:color w:val="auto"/>
                <w:sz w:val="21"/>
                <w:szCs w:val="21"/>
                <w:highlight w:val="none"/>
              </w:rPr>
              <w:t>评分范围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6-0分</w:t>
            </w:r>
            <w:r>
              <w:rPr>
                <w:rFonts w:hint="eastAsia" w:ascii="宋体" w:hAnsi="宋体" w:cs="宋体"/>
                <w:color w:val="auto"/>
                <w:sz w:val="21"/>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培训</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rPr>
              <w:t>根据投标人提供的培训方案，内容包含但不限于培训内容、培训计划、培训团队技术实力以及操作手册等内容进</w:t>
            </w:r>
            <w:bookmarkStart w:id="9" w:name="_GoBack"/>
            <w:bookmarkEnd w:id="9"/>
            <w:r>
              <w:rPr>
                <w:rFonts w:hint="eastAsia" w:ascii="宋体" w:hAnsi="宋体" w:eastAsia="宋体" w:cs="宋体"/>
                <w:color w:val="auto"/>
                <w:kern w:val="0"/>
                <w:sz w:val="21"/>
                <w:szCs w:val="21"/>
                <w:highlight w:val="none"/>
              </w:rPr>
              <w:t>行打分。</w:t>
            </w:r>
            <w:r>
              <w:rPr>
                <w:rFonts w:hint="eastAsia" w:ascii="宋体" w:hAnsi="宋体" w:cs="宋体"/>
                <w:color w:val="auto"/>
                <w:sz w:val="21"/>
                <w:szCs w:val="21"/>
                <w:highlight w:val="none"/>
                <w:lang w:val="en-GB"/>
              </w:rPr>
              <w:t>（</w:t>
            </w:r>
            <w:r>
              <w:rPr>
                <w:rFonts w:hint="eastAsia" w:ascii="宋体" w:hAnsi="宋体" w:cs="宋体"/>
                <w:color w:val="auto"/>
                <w:sz w:val="21"/>
                <w:szCs w:val="21"/>
                <w:highlight w:val="none"/>
              </w:rPr>
              <w:t>评分范围：</w:t>
            </w:r>
            <w:r>
              <w:rPr>
                <w:rFonts w:hint="eastAsia" w:ascii="宋体" w:hAnsi="宋体" w:cs="宋体"/>
                <w:color w:val="auto"/>
                <w:sz w:val="21"/>
                <w:szCs w:val="21"/>
                <w:highlight w:val="none"/>
                <w:lang w:val="en-US" w:eastAsia="zh-CN"/>
              </w:rPr>
              <w:t>3-0分</w:t>
            </w:r>
            <w:r>
              <w:rPr>
                <w:rFonts w:hint="eastAsia" w:ascii="宋体" w:hAnsi="宋体" w:cs="宋体"/>
                <w:color w:val="auto"/>
                <w:sz w:val="21"/>
                <w:szCs w:val="21"/>
                <w:highlight w:val="non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551"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服务支持</w:t>
            </w:r>
          </w:p>
        </w:tc>
        <w:tc>
          <w:tcPr>
            <w:tcW w:w="72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707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0"/>
                <w:sz w:val="21"/>
                <w:szCs w:val="21"/>
                <w:highlight w:val="none"/>
              </w:rPr>
              <w:t>投标人承诺给予采购人的</w:t>
            </w:r>
            <w:r>
              <w:rPr>
                <w:rFonts w:hint="eastAsia" w:ascii="宋体" w:hAnsi="宋体" w:eastAsia="宋体" w:cs="宋体"/>
                <w:color w:val="auto"/>
                <w:kern w:val="0"/>
                <w:sz w:val="21"/>
                <w:szCs w:val="21"/>
                <w:highlight w:val="none"/>
                <w:lang w:val="en-US" w:eastAsia="zh-CN"/>
              </w:rPr>
              <w:t>其他服务支持，根据支持程度和</w:t>
            </w:r>
            <w:r>
              <w:rPr>
                <w:rFonts w:hint="eastAsia" w:ascii="宋体" w:hAnsi="宋体" w:eastAsia="宋体" w:cs="宋体"/>
                <w:color w:val="auto"/>
                <w:kern w:val="0"/>
                <w:sz w:val="21"/>
                <w:szCs w:val="21"/>
                <w:highlight w:val="none"/>
              </w:rPr>
              <w:t>实</w:t>
            </w:r>
            <w:r>
              <w:rPr>
                <w:rFonts w:hint="eastAsia" w:ascii="宋体" w:hAnsi="宋体" w:eastAsia="宋体" w:cs="宋体"/>
                <w:color w:val="auto"/>
                <w:kern w:val="0"/>
                <w:sz w:val="21"/>
                <w:szCs w:val="21"/>
                <w:highlight w:val="none"/>
                <w:lang w:val="en-US" w:eastAsia="zh-CN"/>
              </w:rPr>
              <w:t>用性</w:t>
            </w:r>
            <w:r>
              <w:rPr>
                <w:rFonts w:hint="eastAsia" w:ascii="宋体" w:hAnsi="宋体" w:eastAsia="宋体" w:cs="宋体"/>
                <w:color w:val="auto"/>
                <w:kern w:val="0"/>
                <w:sz w:val="21"/>
                <w:szCs w:val="21"/>
                <w:highlight w:val="none"/>
              </w:rPr>
              <w:t>情况</w:t>
            </w:r>
            <w:r>
              <w:rPr>
                <w:rFonts w:hint="eastAsia" w:ascii="宋体" w:hAnsi="宋体" w:eastAsia="宋体" w:cs="宋体"/>
                <w:color w:val="auto"/>
                <w:kern w:val="0"/>
                <w:sz w:val="21"/>
                <w:szCs w:val="21"/>
                <w:highlight w:val="none"/>
                <w:lang w:val="en-US" w:eastAsia="zh-CN"/>
              </w:rPr>
              <w:t>进行</w:t>
            </w:r>
            <w:r>
              <w:rPr>
                <w:rFonts w:hint="eastAsia" w:ascii="宋体" w:hAnsi="宋体" w:eastAsia="宋体" w:cs="宋体"/>
                <w:color w:val="auto"/>
                <w:kern w:val="0"/>
                <w:sz w:val="21"/>
                <w:szCs w:val="21"/>
                <w:highlight w:val="none"/>
              </w:rPr>
              <w:t>评分。</w:t>
            </w:r>
            <w:r>
              <w:rPr>
                <w:rFonts w:hint="eastAsia" w:ascii="宋体" w:hAnsi="宋体" w:cs="宋体"/>
                <w:color w:val="auto"/>
                <w:sz w:val="21"/>
                <w:szCs w:val="21"/>
                <w:highlight w:val="none"/>
                <w:lang w:val="en-GB"/>
              </w:rPr>
              <w:t>（</w:t>
            </w:r>
            <w:r>
              <w:rPr>
                <w:rFonts w:hint="eastAsia" w:ascii="宋体" w:hAnsi="宋体" w:cs="宋体"/>
                <w:color w:val="auto"/>
                <w:sz w:val="21"/>
                <w:szCs w:val="21"/>
                <w:highlight w:val="none"/>
              </w:rPr>
              <w:t>评分范围</w:t>
            </w:r>
            <w:r>
              <w:rPr>
                <w:rFonts w:hint="eastAsia" w:ascii="宋体" w:hAnsi="宋体" w:cs="宋体"/>
                <w:color w:val="auto"/>
                <w:sz w:val="21"/>
                <w:szCs w:val="21"/>
                <w:highlight w:val="none"/>
                <w:lang w:val="en-US" w:eastAsia="zh-CN"/>
              </w:rPr>
              <w:t>：5-0分</w:t>
            </w:r>
            <w:r>
              <w:rPr>
                <w:rFonts w:hint="eastAsia" w:ascii="宋体" w:hAnsi="宋体" w:cs="宋体"/>
                <w:color w:val="auto"/>
                <w:sz w:val="21"/>
                <w:szCs w:val="21"/>
                <w:highlight w:val="none"/>
                <w:lang w:val="en-GB"/>
              </w:rPr>
              <w:t>）</w:t>
            </w:r>
          </w:p>
        </w:tc>
      </w:tr>
    </w:tbl>
    <w:p>
      <w:pPr>
        <w:pStyle w:val="22"/>
        <w:rPr>
          <w:color w:val="auto"/>
        </w:rPr>
      </w:pPr>
    </w:p>
    <w:p>
      <w:pPr>
        <w:numPr>
          <w:ilvl w:val="0"/>
          <w:numId w:val="2"/>
        </w:numPr>
        <w:rPr>
          <w:rFonts w:hint="eastAsia" w:ascii="宋体" w:hAnsi="宋体" w:cs="宋体"/>
          <w:b/>
          <w:bCs/>
          <w:color w:val="auto"/>
          <w:sz w:val="22"/>
          <w:szCs w:val="22"/>
        </w:rPr>
      </w:pPr>
      <w:r>
        <w:rPr>
          <w:rFonts w:hint="eastAsia" w:ascii="宋体" w:hAnsi="宋体" w:cs="宋体"/>
          <w:b/>
          <w:bCs/>
          <w:color w:val="auto"/>
          <w:sz w:val="22"/>
          <w:szCs w:val="22"/>
        </w:rPr>
        <w:t>价格评分：满分</w:t>
      </w:r>
      <w:r>
        <w:rPr>
          <w:rFonts w:hint="eastAsia" w:ascii="宋体" w:hAnsi="宋体" w:cs="宋体"/>
          <w:b/>
          <w:bCs/>
          <w:color w:val="auto"/>
          <w:sz w:val="22"/>
          <w:szCs w:val="22"/>
          <w:lang w:val="en-US" w:eastAsia="zh-CN"/>
        </w:rPr>
        <w:t>3</w:t>
      </w:r>
      <w:r>
        <w:rPr>
          <w:rFonts w:hint="eastAsia" w:ascii="宋体" w:hAnsi="宋体" w:cs="宋体"/>
          <w:b/>
          <w:bCs/>
          <w:color w:val="auto"/>
          <w:sz w:val="22"/>
          <w:szCs w:val="22"/>
        </w:rPr>
        <w:t>0分</w:t>
      </w:r>
    </w:p>
    <w:p>
      <w:pPr>
        <w:tabs>
          <w:tab w:val="left" w:pos="774"/>
        </w:tabs>
        <w:autoSpaceDE w:val="0"/>
        <w:autoSpaceDN w:val="0"/>
        <w:spacing w:before="240" w:line="276" w:lineRule="auto"/>
        <w:ind w:left="774" w:hanging="576"/>
        <w:jc w:val="center"/>
        <w:outlineLvl w:val="2"/>
        <w:rPr>
          <w:rFonts w:hint="eastAsia" w:ascii="宋体" w:hAnsi="宋体" w:cs="宋体"/>
          <w:b/>
          <w:color w:val="auto"/>
          <w:sz w:val="28"/>
          <w:szCs w:val="28"/>
          <w:lang w:val="zh-CN"/>
        </w:rPr>
      </w:pPr>
      <w:bookmarkStart w:id="7" w:name="_Toc11964"/>
      <w:bookmarkStart w:id="8" w:name="_Toc8618"/>
      <w:r>
        <w:rPr>
          <w:rFonts w:hint="eastAsia" w:ascii="宋体" w:hAnsi="宋体" w:cs="宋体"/>
          <w:b/>
          <w:color w:val="auto"/>
          <w:sz w:val="28"/>
          <w:szCs w:val="28"/>
          <w:lang w:val="zh-CN"/>
        </w:rPr>
        <w:t>（</w:t>
      </w:r>
      <w:r>
        <w:rPr>
          <w:rFonts w:hint="eastAsia" w:ascii="宋体" w:hAnsi="宋体" w:cs="宋体"/>
          <w:b/>
          <w:color w:val="auto"/>
          <w:sz w:val="28"/>
          <w:szCs w:val="28"/>
          <w:lang w:val="en-US" w:eastAsia="zh-CN"/>
        </w:rPr>
        <w:t>1）</w:t>
      </w:r>
      <w:r>
        <w:rPr>
          <w:rFonts w:hint="eastAsia" w:ascii="宋体" w:hAnsi="宋体" w:cs="宋体"/>
          <w:b/>
          <w:color w:val="auto"/>
          <w:sz w:val="28"/>
          <w:szCs w:val="28"/>
          <w:lang w:val="zh-CN"/>
        </w:rPr>
        <w:t>报价一览表</w:t>
      </w:r>
      <w:bookmarkEnd w:id="7"/>
      <w:bookmarkEnd w:id="8"/>
    </w:p>
    <w:p>
      <w:pPr>
        <w:rPr>
          <w:rFonts w:hint="eastAsia" w:ascii="宋体" w:hAnsi="宋体" w:cs="宋体"/>
          <w:color w:val="auto"/>
          <w:sz w:val="22"/>
          <w:szCs w:val="18"/>
        </w:rPr>
      </w:pPr>
    </w:p>
    <w:tbl>
      <w:tblPr>
        <w:tblStyle w:val="16"/>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2770"/>
        <w:gridCol w:w="3875"/>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noWrap/>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2770" w:type="dxa"/>
            <w:noWrap/>
            <w:vAlign w:val="center"/>
          </w:tcPr>
          <w:p>
            <w:pPr>
              <w:spacing w:line="360" w:lineRule="auto"/>
              <w:jc w:val="center"/>
              <w:rPr>
                <w:rFonts w:hint="eastAsia" w:ascii="宋体" w:hAnsi="宋体" w:cs="宋体"/>
                <w:color w:val="auto"/>
                <w:sz w:val="24"/>
              </w:rPr>
            </w:pPr>
            <w:r>
              <w:rPr>
                <w:rFonts w:hint="eastAsia" w:ascii="宋体" w:hAnsi="宋体" w:cs="宋体"/>
                <w:bCs/>
                <w:color w:val="auto"/>
                <w:sz w:val="24"/>
              </w:rPr>
              <w:t>项目名称</w:t>
            </w:r>
          </w:p>
        </w:tc>
        <w:tc>
          <w:tcPr>
            <w:tcW w:w="3875" w:type="dxa"/>
            <w:noWrap/>
            <w:vAlign w:val="center"/>
          </w:tcPr>
          <w:p>
            <w:pPr>
              <w:spacing w:line="360" w:lineRule="auto"/>
              <w:jc w:val="center"/>
              <w:rPr>
                <w:rFonts w:hint="eastAsia" w:ascii="宋体" w:hAnsi="宋体" w:cs="宋体"/>
                <w:color w:val="auto"/>
                <w:sz w:val="24"/>
              </w:rPr>
            </w:pPr>
            <w:r>
              <w:rPr>
                <w:rFonts w:hint="eastAsia" w:ascii="宋体" w:hAnsi="宋体" w:cs="宋体"/>
                <w:bCs/>
                <w:color w:val="auto"/>
                <w:sz w:val="24"/>
              </w:rPr>
              <w:t>报价（人民币元）</w:t>
            </w:r>
          </w:p>
        </w:tc>
        <w:tc>
          <w:tcPr>
            <w:tcW w:w="1747" w:type="dxa"/>
            <w:noWrap/>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noWrap/>
            <w:vAlign w:val="center"/>
          </w:tcPr>
          <w:p>
            <w:pPr>
              <w:spacing w:line="360" w:lineRule="auto"/>
              <w:jc w:val="center"/>
              <w:rPr>
                <w:rFonts w:hint="eastAsia" w:ascii="宋体" w:hAnsi="宋体" w:cs="宋体"/>
                <w:color w:val="auto"/>
                <w:sz w:val="22"/>
              </w:rPr>
            </w:pPr>
            <w:r>
              <w:rPr>
                <w:rFonts w:hint="eastAsia" w:ascii="宋体" w:hAnsi="宋体" w:cs="宋体"/>
                <w:color w:val="auto"/>
                <w:sz w:val="22"/>
              </w:rPr>
              <w:t>1</w:t>
            </w:r>
          </w:p>
        </w:tc>
        <w:tc>
          <w:tcPr>
            <w:tcW w:w="2770" w:type="dxa"/>
            <w:vMerge w:val="restart"/>
            <w:noWrap/>
            <w:vAlign w:val="center"/>
          </w:tcPr>
          <w:p>
            <w:pPr>
              <w:spacing w:line="360" w:lineRule="auto"/>
              <w:jc w:val="center"/>
              <w:rPr>
                <w:rFonts w:hint="eastAsia" w:ascii="宋体" w:hAnsi="宋体" w:cs="宋体"/>
                <w:color w:val="auto"/>
                <w:sz w:val="22"/>
              </w:rPr>
            </w:pPr>
            <w:r>
              <w:rPr>
                <w:rFonts w:hint="eastAsia" w:ascii="宋体" w:hAnsi="宋体" w:cs="宋体"/>
                <w:color w:val="auto"/>
                <w:sz w:val="24"/>
                <w:lang w:eastAsia="zh-Hans"/>
              </w:rPr>
              <w:t>温州市中医院</w:t>
            </w:r>
            <w:r>
              <w:rPr>
                <w:rFonts w:hint="eastAsia" w:ascii="宋体" w:hAnsi="宋体" w:cs="宋体"/>
                <w:color w:val="auto"/>
                <w:sz w:val="24"/>
                <w:lang w:val="en-US" w:eastAsia="zh-CN"/>
              </w:rPr>
              <w:t xml:space="preserve">        </w:t>
            </w:r>
            <w:r>
              <w:rPr>
                <w:rFonts w:hint="eastAsia"/>
                <w:color w:val="auto"/>
                <w:sz w:val="24"/>
                <w:lang w:val="en-US" w:eastAsia="zh-CN"/>
              </w:rPr>
              <w:t>信息机房密评改造</w:t>
            </w:r>
            <w:r>
              <w:rPr>
                <w:rFonts w:hint="eastAsia" w:ascii="宋体" w:hAnsi="宋体" w:cs="宋体"/>
                <w:color w:val="auto"/>
                <w:sz w:val="24"/>
              </w:rPr>
              <w:t xml:space="preserve"> </w:t>
            </w:r>
          </w:p>
        </w:tc>
        <w:tc>
          <w:tcPr>
            <w:tcW w:w="3875" w:type="dxa"/>
            <w:noWrap/>
            <w:vAlign w:val="center"/>
          </w:tcPr>
          <w:p>
            <w:pPr>
              <w:spacing w:line="360" w:lineRule="auto"/>
              <w:rPr>
                <w:rFonts w:hint="eastAsia" w:ascii="宋体" w:hAnsi="宋体" w:cs="宋体"/>
                <w:color w:val="auto"/>
                <w:sz w:val="22"/>
              </w:rPr>
            </w:pPr>
            <w:r>
              <w:rPr>
                <w:rFonts w:hint="eastAsia" w:ascii="宋体" w:hAnsi="宋体" w:cs="宋体"/>
                <w:color w:val="auto"/>
                <w:sz w:val="22"/>
              </w:rPr>
              <w:t>大写：</w:t>
            </w:r>
          </w:p>
        </w:tc>
        <w:tc>
          <w:tcPr>
            <w:tcW w:w="1747" w:type="dxa"/>
            <w:vMerge w:val="restart"/>
            <w:noWrap/>
            <w:vAlign w:val="center"/>
          </w:tcPr>
          <w:p>
            <w:pPr>
              <w:spacing w:line="360" w:lineRule="auto"/>
              <w:jc w:val="center"/>
              <w:rPr>
                <w:rFonts w:hint="eastAsia"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noWrap/>
            <w:vAlign w:val="center"/>
          </w:tcPr>
          <w:p>
            <w:pPr>
              <w:spacing w:line="360" w:lineRule="auto"/>
              <w:jc w:val="center"/>
              <w:rPr>
                <w:rFonts w:hint="eastAsia" w:ascii="宋体" w:hAnsi="宋体" w:cs="宋体"/>
                <w:color w:val="auto"/>
                <w:sz w:val="22"/>
              </w:rPr>
            </w:pPr>
          </w:p>
        </w:tc>
        <w:tc>
          <w:tcPr>
            <w:tcW w:w="2770" w:type="dxa"/>
            <w:vMerge w:val="continue"/>
            <w:noWrap/>
            <w:vAlign w:val="center"/>
          </w:tcPr>
          <w:p>
            <w:pPr>
              <w:spacing w:line="360" w:lineRule="auto"/>
              <w:jc w:val="center"/>
              <w:rPr>
                <w:rFonts w:hint="eastAsia" w:ascii="宋体" w:hAnsi="宋体" w:cs="宋体"/>
                <w:color w:val="auto"/>
                <w:sz w:val="22"/>
              </w:rPr>
            </w:pPr>
          </w:p>
        </w:tc>
        <w:tc>
          <w:tcPr>
            <w:tcW w:w="3875" w:type="dxa"/>
            <w:noWrap/>
            <w:vAlign w:val="center"/>
          </w:tcPr>
          <w:p>
            <w:pPr>
              <w:spacing w:line="360" w:lineRule="auto"/>
              <w:rPr>
                <w:rFonts w:hint="eastAsia" w:ascii="宋体" w:hAnsi="宋体" w:cs="宋体"/>
                <w:color w:val="auto"/>
                <w:sz w:val="22"/>
              </w:rPr>
            </w:pPr>
            <w:r>
              <w:rPr>
                <w:rFonts w:hint="eastAsia" w:ascii="宋体" w:hAnsi="宋体" w:cs="宋体"/>
                <w:color w:val="auto"/>
                <w:sz w:val="22"/>
              </w:rPr>
              <w:t>小写：</w:t>
            </w:r>
          </w:p>
        </w:tc>
        <w:tc>
          <w:tcPr>
            <w:tcW w:w="1747" w:type="dxa"/>
            <w:vMerge w:val="continue"/>
            <w:noWrap/>
            <w:vAlign w:val="center"/>
          </w:tcPr>
          <w:p>
            <w:pPr>
              <w:spacing w:line="360" w:lineRule="auto"/>
              <w:jc w:val="center"/>
              <w:rPr>
                <w:rFonts w:hint="eastAsia" w:ascii="宋体" w:hAnsi="宋体" w:cs="宋体"/>
                <w:color w:val="auto"/>
                <w:sz w:val="22"/>
              </w:rPr>
            </w:pPr>
          </w:p>
        </w:tc>
      </w:tr>
    </w:tbl>
    <w:p>
      <w:pPr>
        <w:spacing w:line="450" w:lineRule="exact"/>
        <w:rPr>
          <w:rFonts w:hint="eastAsia" w:ascii="宋体" w:hAnsi="宋体" w:cs="宋体"/>
          <w:b/>
          <w:color w:val="auto"/>
          <w:sz w:val="22"/>
        </w:rPr>
      </w:pPr>
    </w:p>
    <w:p>
      <w:pPr>
        <w:rPr>
          <w:rFonts w:hint="eastAsia" w:ascii="宋体" w:hAnsi="宋体" w:cs="宋体"/>
          <w:b/>
          <w:color w:val="auto"/>
          <w:sz w:val="22"/>
        </w:rPr>
      </w:pPr>
      <w:r>
        <w:rPr>
          <w:rFonts w:hint="eastAsia" w:ascii="宋体" w:hAnsi="宋体" w:cs="宋体"/>
          <w:b/>
          <w:color w:val="auto"/>
          <w:sz w:val="22"/>
        </w:rPr>
        <w:t>说明：</w:t>
      </w:r>
    </w:p>
    <w:p>
      <w:pPr>
        <w:spacing w:line="360" w:lineRule="auto"/>
        <w:ind w:firstLine="442" w:firstLineChars="200"/>
        <w:rPr>
          <w:rFonts w:hint="eastAsia" w:ascii="宋体" w:hAnsi="宋体" w:cs="宋体"/>
          <w:b/>
          <w:color w:val="auto"/>
          <w:sz w:val="22"/>
        </w:rPr>
      </w:pPr>
      <w:r>
        <w:rPr>
          <w:rFonts w:hint="eastAsia" w:ascii="宋体" w:hAnsi="宋体" w:cs="宋体"/>
          <w:b/>
          <w:color w:val="auto"/>
          <w:sz w:val="22"/>
        </w:rPr>
        <w:t>1、全部报价均为税后价。</w:t>
      </w:r>
    </w:p>
    <w:p>
      <w:pPr>
        <w:pStyle w:val="3"/>
        <w:ind w:firstLine="442" w:firstLineChars="200"/>
        <w:rPr>
          <w:color w:val="auto"/>
          <w:sz w:val="22"/>
          <w:szCs w:val="22"/>
        </w:rPr>
      </w:pPr>
      <w:r>
        <w:rPr>
          <w:rFonts w:hint="eastAsia"/>
          <w:color w:val="auto"/>
          <w:sz w:val="22"/>
          <w:szCs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ind w:firstLine="442" w:firstLineChars="200"/>
        <w:rPr>
          <w:rFonts w:hint="eastAsia" w:hAnsi="宋体" w:cs="宋体"/>
          <w:color w:val="auto"/>
          <w:sz w:val="22"/>
        </w:rPr>
      </w:pPr>
      <w:r>
        <w:rPr>
          <w:rFonts w:hint="eastAsia" w:hAnsi="宋体" w:cs="宋体"/>
          <w:color w:val="auto"/>
          <w:sz w:val="22"/>
        </w:rPr>
        <w:t>3、不提供此表格将被视为没有实质性响应文件。</w:t>
      </w:r>
    </w:p>
    <w:p>
      <w:pPr>
        <w:ind w:firstLine="442" w:firstLineChars="200"/>
        <w:rPr>
          <w:color w:val="auto"/>
        </w:rPr>
      </w:pPr>
      <w:r>
        <w:rPr>
          <w:rFonts w:hint="eastAsia" w:ascii="宋体" w:hAnsi="宋体" w:cs="宋体"/>
          <w:b/>
          <w:color w:val="auto"/>
          <w:sz w:val="22"/>
        </w:rPr>
        <w:t>4、报价超过预算金额按无效标处理。</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w:t>
      </w: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供应商全称（盖章）：</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供应商代表（签字）：</w:t>
      </w:r>
    </w:p>
    <w:p>
      <w:pPr>
        <w:spacing w:line="460" w:lineRule="exact"/>
        <w:ind w:firstLine="4400" w:firstLineChars="2000"/>
        <w:rPr>
          <w:rFonts w:hint="eastAsia" w:ascii="宋体" w:hAnsi="宋体" w:cs="宋体"/>
          <w:color w:val="auto"/>
          <w:sz w:val="22"/>
          <w:szCs w:val="22"/>
        </w:rPr>
      </w:pPr>
      <w:r>
        <w:rPr>
          <w:rFonts w:hint="eastAsia" w:ascii="宋体" w:hAnsi="宋体" w:cs="宋体"/>
          <w:color w:val="auto"/>
          <w:sz w:val="22"/>
          <w:szCs w:val="22"/>
        </w:rPr>
        <w:t xml:space="preserve">   日  期：   </w:t>
      </w:r>
    </w:p>
    <w:p>
      <w:pPr>
        <w:pStyle w:val="3"/>
        <w:rPr>
          <w:color w:val="auto"/>
        </w:rPr>
      </w:pPr>
    </w:p>
    <w:p>
      <w:pPr>
        <w:adjustRightInd w:val="0"/>
        <w:snapToGrid w:val="0"/>
        <w:spacing w:line="360" w:lineRule="auto"/>
        <w:jc w:val="left"/>
        <w:rPr>
          <w:rFonts w:hint="eastAsia" w:ascii="宋体" w:hAnsi="宋体"/>
          <w:color w:val="auto"/>
          <w:szCs w:val="21"/>
        </w:rPr>
      </w:pPr>
    </w:p>
    <w:p>
      <w:pPr>
        <w:pStyle w:val="2"/>
        <w:rPr>
          <w:rFonts w:hint="eastAsia"/>
        </w:rPr>
      </w:pPr>
    </w:p>
    <w:p>
      <w:pPr>
        <w:spacing w:line="400" w:lineRule="exact"/>
        <w:jc w:val="center"/>
        <w:outlineLvl w:val="3"/>
        <w:rPr>
          <w:rFonts w:ascii="宋体" w:hAnsi="宋体" w:cs="宋体"/>
          <w:b/>
          <w:sz w:val="28"/>
          <w:szCs w:val="28"/>
          <w:highlight w:val="none"/>
          <w:lang w:val="zh-CN"/>
        </w:rPr>
      </w:pPr>
      <w:r>
        <w:rPr>
          <w:rFonts w:hint="eastAsia" w:ascii="宋体" w:hAnsi="宋体" w:cs="宋体"/>
          <w:b/>
          <w:sz w:val="28"/>
          <w:szCs w:val="28"/>
          <w:highlight w:val="none"/>
          <w:lang w:val="en-US" w:eastAsia="zh-CN"/>
        </w:rPr>
        <w:t>（2）</w:t>
      </w:r>
      <w:r>
        <w:rPr>
          <w:rFonts w:hint="eastAsia" w:ascii="宋体" w:hAnsi="宋体" w:cs="宋体"/>
          <w:b/>
          <w:sz w:val="28"/>
          <w:szCs w:val="28"/>
          <w:highlight w:val="none"/>
          <w:lang w:val="zh-CN"/>
        </w:rPr>
        <w:t>分项报价表</w:t>
      </w:r>
    </w:p>
    <w:p>
      <w:pPr>
        <w:keepNext/>
        <w:spacing w:line="360" w:lineRule="auto"/>
        <w:rPr>
          <w:rFonts w:hint="eastAsia" w:ascii="宋体" w:hAnsi="宋体" w:eastAsia="宋体" w:cs="宋体"/>
          <w:b/>
          <w:sz w:val="22"/>
          <w:szCs w:val="22"/>
          <w:highlight w:val="none"/>
          <w:lang w:eastAsia="zh-CN"/>
        </w:rPr>
      </w:pPr>
      <w:r>
        <w:rPr>
          <w:rFonts w:hint="eastAsia" w:ascii="宋体" w:hAnsi="宋体" w:cs="宋体"/>
          <w:sz w:val="22"/>
          <w:szCs w:val="22"/>
          <w:highlight w:val="none"/>
        </w:rPr>
        <w:t>项目名称：</w:t>
      </w:r>
      <w:r>
        <w:rPr>
          <w:rFonts w:hint="eastAsia" w:ascii="宋体" w:hAnsi="宋体" w:cs="宋体"/>
          <w:color w:val="auto"/>
          <w:sz w:val="22"/>
          <w:szCs w:val="22"/>
          <w:lang w:eastAsia="zh-Hans"/>
        </w:rPr>
        <w:t>温州市中医院</w:t>
      </w:r>
      <w:r>
        <w:rPr>
          <w:rFonts w:hint="eastAsia"/>
          <w:color w:val="auto"/>
          <w:sz w:val="22"/>
          <w:szCs w:val="22"/>
          <w:lang w:val="en-US" w:eastAsia="zh-CN"/>
        </w:rPr>
        <w:t>信息机房密评改造</w:t>
      </w:r>
    </w:p>
    <w:tbl>
      <w:tblPr>
        <w:tblStyle w:val="16"/>
        <w:tblW w:w="943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4156"/>
        <w:gridCol w:w="1047"/>
        <w:gridCol w:w="1046"/>
        <w:gridCol w:w="127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0"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序号</w:t>
            </w:r>
          </w:p>
          <w:p>
            <w:pPr>
              <w:spacing w:line="460" w:lineRule="exact"/>
              <w:jc w:val="center"/>
              <w:rPr>
                <w:rFonts w:ascii="宋体" w:hAnsi="宋体" w:cs="宋体"/>
                <w:sz w:val="22"/>
                <w:szCs w:val="22"/>
                <w:highlight w:val="none"/>
              </w:rPr>
            </w:pPr>
          </w:p>
        </w:tc>
        <w:tc>
          <w:tcPr>
            <w:tcW w:w="4156"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项目内容</w:t>
            </w:r>
          </w:p>
        </w:tc>
        <w:tc>
          <w:tcPr>
            <w:tcW w:w="1047"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数量</w:t>
            </w:r>
          </w:p>
        </w:tc>
        <w:tc>
          <w:tcPr>
            <w:tcW w:w="1046"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单价</w:t>
            </w:r>
          </w:p>
        </w:tc>
        <w:tc>
          <w:tcPr>
            <w:tcW w:w="1277"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合价</w:t>
            </w:r>
          </w:p>
        </w:tc>
        <w:tc>
          <w:tcPr>
            <w:tcW w:w="958"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1</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2</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3</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4</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5</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6</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7</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8</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9</w:t>
            </w:r>
          </w:p>
        </w:tc>
        <w:tc>
          <w:tcPr>
            <w:tcW w:w="4156" w:type="dxa"/>
            <w:shd w:val="clear" w:color="auto" w:fill="FFFFFF"/>
            <w:vAlign w:val="center"/>
          </w:tcPr>
          <w:p>
            <w:pPr>
              <w:widowControl/>
              <w:spacing w:before="156" w:beforeLines="50" w:after="156" w:afterLines="50" w:line="460" w:lineRule="exact"/>
              <w:rPr>
                <w:rFonts w:ascii="宋体" w:hAnsi="宋体" w:cs="宋体"/>
                <w:sz w:val="22"/>
                <w:szCs w:val="22"/>
                <w:highlight w:val="none"/>
              </w:rPr>
            </w:pP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950" w:type="dxa"/>
            <w:shd w:val="clear" w:color="auto" w:fill="auto"/>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10</w:t>
            </w:r>
          </w:p>
        </w:tc>
        <w:tc>
          <w:tcPr>
            <w:tcW w:w="4156" w:type="dxa"/>
            <w:shd w:val="clear" w:color="auto" w:fill="FFFFFF"/>
            <w:vAlign w:val="center"/>
          </w:tcPr>
          <w:p>
            <w:pPr>
              <w:widowControl/>
              <w:spacing w:before="156" w:beforeLines="50" w:after="156" w:afterLines="50" w:line="460" w:lineRule="exact"/>
              <w:jc w:val="center"/>
              <w:rPr>
                <w:rFonts w:ascii="宋体" w:hAnsi="宋体" w:cs="宋体"/>
                <w:sz w:val="22"/>
                <w:szCs w:val="22"/>
                <w:highlight w:val="none"/>
              </w:rPr>
            </w:pPr>
            <w:r>
              <w:rPr>
                <w:rFonts w:hint="eastAsia" w:ascii="宋体" w:hAnsi="宋体" w:cs="宋体"/>
                <w:b/>
                <w:bCs/>
                <w:sz w:val="22"/>
                <w:szCs w:val="22"/>
                <w:highlight w:val="none"/>
              </w:rPr>
              <w:t>......</w:t>
            </w: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50"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11</w:t>
            </w:r>
          </w:p>
        </w:tc>
        <w:tc>
          <w:tcPr>
            <w:tcW w:w="4156" w:type="dxa"/>
            <w:vAlign w:val="center"/>
          </w:tcPr>
          <w:p>
            <w:pPr>
              <w:spacing w:line="460" w:lineRule="exact"/>
              <w:jc w:val="center"/>
              <w:rPr>
                <w:rFonts w:ascii="宋体" w:hAnsi="宋体" w:cs="宋体"/>
                <w:bCs/>
                <w:sz w:val="22"/>
                <w:szCs w:val="22"/>
                <w:highlight w:val="none"/>
              </w:rPr>
            </w:pPr>
            <w:r>
              <w:rPr>
                <w:rFonts w:hint="eastAsia" w:ascii="宋体" w:hAnsi="宋体" w:cs="宋体"/>
                <w:bCs/>
                <w:sz w:val="22"/>
                <w:szCs w:val="22"/>
                <w:highlight w:val="none"/>
              </w:rPr>
              <w:t>人员费用</w:t>
            </w:r>
          </w:p>
        </w:tc>
        <w:tc>
          <w:tcPr>
            <w:tcW w:w="1047" w:type="dxa"/>
            <w:vAlign w:val="center"/>
          </w:tcPr>
          <w:p>
            <w:pPr>
              <w:spacing w:line="460" w:lineRule="exact"/>
              <w:jc w:val="center"/>
              <w:rPr>
                <w:rFonts w:ascii="宋体" w:hAnsi="宋体" w:cs="宋体"/>
                <w:sz w:val="22"/>
                <w:szCs w:val="22"/>
                <w:highlight w:val="none"/>
              </w:rPr>
            </w:pPr>
          </w:p>
        </w:tc>
        <w:tc>
          <w:tcPr>
            <w:tcW w:w="1046" w:type="dxa"/>
            <w:vAlign w:val="center"/>
          </w:tcPr>
          <w:p>
            <w:pPr>
              <w:spacing w:line="460" w:lineRule="exact"/>
              <w:jc w:val="center"/>
              <w:rPr>
                <w:rFonts w:ascii="宋体" w:hAnsi="宋体" w:cs="宋体"/>
                <w:sz w:val="22"/>
                <w:szCs w:val="22"/>
                <w:highlight w:val="none"/>
              </w:rPr>
            </w:pPr>
          </w:p>
        </w:tc>
        <w:tc>
          <w:tcPr>
            <w:tcW w:w="1277" w:type="dxa"/>
            <w:vAlign w:val="center"/>
          </w:tcPr>
          <w:p>
            <w:pPr>
              <w:spacing w:line="460" w:lineRule="exact"/>
              <w:jc w:val="center"/>
              <w:rPr>
                <w:rFonts w:ascii="宋体" w:hAnsi="宋体" w:cs="宋体"/>
                <w:sz w:val="22"/>
                <w:szCs w:val="22"/>
                <w:highlight w:val="none"/>
              </w:rPr>
            </w:pPr>
          </w:p>
        </w:tc>
        <w:tc>
          <w:tcPr>
            <w:tcW w:w="958" w:type="dxa"/>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950"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12</w:t>
            </w:r>
          </w:p>
        </w:tc>
        <w:tc>
          <w:tcPr>
            <w:tcW w:w="4156"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税金</w:t>
            </w:r>
          </w:p>
        </w:tc>
        <w:tc>
          <w:tcPr>
            <w:tcW w:w="4328" w:type="dxa"/>
            <w:gridSpan w:val="4"/>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950"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13</w:t>
            </w:r>
          </w:p>
        </w:tc>
        <w:tc>
          <w:tcPr>
            <w:tcW w:w="4156" w:type="dxa"/>
            <w:vAlign w:val="center"/>
          </w:tcPr>
          <w:p>
            <w:pPr>
              <w:spacing w:line="460" w:lineRule="exact"/>
              <w:jc w:val="center"/>
              <w:rPr>
                <w:rFonts w:ascii="宋体" w:hAnsi="宋体" w:cs="宋体"/>
                <w:sz w:val="22"/>
                <w:szCs w:val="22"/>
                <w:highlight w:val="none"/>
              </w:rPr>
            </w:pPr>
            <w:r>
              <w:rPr>
                <w:rFonts w:hint="eastAsia" w:ascii="宋体" w:hAnsi="宋体" w:cs="宋体"/>
                <w:sz w:val="22"/>
                <w:szCs w:val="22"/>
                <w:highlight w:val="none"/>
              </w:rPr>
              <w:t>其他</w:t>
            </w:r>
          </w:p>
        </w:tc>
        <w:tc>
          <w:tcPr>
            <w:tcW w:w="4328" w:type="dxa"/>
            <w:gridSpan w:val="4"/>
            <w:vAlign w:val="center"/>
          </w:tcPr>
          <w:p>
            <w:pPr>
              <w:spacing w:line="460" w:lineRule="exact"/>
              <w:jc w:val="center"/>
              <w:rPr>
                <w:rFonts w:ascii="宋体" w:hAnsi="宋体" w:cs="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5106" w:type="dxa"/>
            <w:gridSpan w:val="2"/>
          </w:tcPr>
          <w:p>
            <w:pPr>
              <w:spacing w:line="460" w:lineRule="exact"/>
              <w:ind w:firstLine="1650" w:firstLineChars="750"/>
              <w:rPr>
                <w:rFonts w:ascii="宋体" w:hAnsi="宋体" w:cs="宋体"/>
                <w:sz w:val="22"/>
                <w:szCs w:val="22"/>
                <w:highlight w:val="none"/>
              </w:rPr>
            </w:pPr>
            <w:r>
              <w:rPr>
                <w:rFonts w:hint="eastAsia" w:ascii="宋体" w:hAnsi="宋体" w:cs="宋体"/>
                <w:sz w:val="22"/>
                <w:szCs w:val="22"/>
                <w:highlight w:val="none"/>
              </w:rPr>
              <w:t>总计价</w:t>
            </w:r>
          </w:p>
        </w:tc>
        <w:tc>
          <w:tcPr>
            <w:tcW w:w="4328" w:type="dxa"/>
            <w:gridSpan w:val="4"/>
            <w:vAlign w:val="center"/>
          </w:tcPr>
          <w:p>
            <w:pPr>
              <w:spacing w:line="460" w:lineRule="exact"/>
              <w:jc w:val="center"/>
              <w:rPr>
                <w:rFonts w:ascii="宋体" w:hAnsi="宋体" w:cs="宋体"/>
                <w:sz w:val="22"/>
                <w:szCs w:val="22"/>
                <w:highlight w:val="none"/>
              </w:rPr>
            </w:pPr>
          </w:p>
        </w:tc>
      </w:tr>
    </w:tbl>
    <w:p>
      <w:pPr>
        <w:spacing w:line="380" w:lineRule="exact"/>
        <w:rPr>
          <w:rFonts w:ascii="宋体" w:hAnsi="宋体" w:cs="宋体"/>
          <w:b/>
          <w:sz w:val="22"/>
          <w:szCs w:val="22"/>
          <w:highlight w:val="none"/>
        </w:rPr>
      </w:pPr>
    </w:p>
    <w:p>
      <w:pPr>
        <w:spacing w:line="380" w:lineRule="exact"/>
        <w:rPr>
          <w:rFonts w:ascii="宋体" w:hAnsi="宋体" w:cs="宋体"/>
          <w:b/>
          <w:bCs/>
          <w:sz w:val="22"/>
          <w:szCs w:val="22"/>
          <w:highlight w:val="none"/>
        </w:rPr>
      </w:pPr>
      <w:r>
        <w:rPr>
          <w:rFonts w:hint="eastAsia" w:ascii="宋体" w:hAnsi="宋体" w:cs="宋体"/>
          <w:b/>
          <w:sz w:val="22"/>
          <w:szCs w:val="22"/>
          <w:highlight w:val="none"/>
        </w:rPr>
        <w:t>说明：</w:t>
      </w:r>
      <w:r>
        <w:rPr>
          <w:rFonts w:hint="eastAsia" w:ascii="宋体" w:hAnsi="宋体" w:cs="宋体"/>
          <w:b/>
          <w:bCs/>
          <w:sz w:val="22"/>
          <w:szCs w:val="22"/>
          <w:highlight w:val="none"/>
        </w:rPr>
        <w:t>1、此表总计价应与“2、报价一览表”中报价相一致。</w:t>
      </w:r>
    </w:p>
    <w:p>
      <w:pPr>
        <w:spacing w:line="380" w:lineRule="exact"/>
        <w:ind w:firstLine="720"/>
        <w:rPr>
          <w:rFonts w:ascii="宋体" w:hAnsi="宋体" w:cs="宋体"/>
          <w:sz w:val="20"/>
          <w:szCs w:val="22"/>
          <w:highlight w:val="none"/>
        </w:rPr>
      </w:pPr>
      <w:r>
        <w:rPr>
          <w:rFonts w:hint="eastAsia" w:ascii="宋体" w:hAnsi="宋体" w:cs="宋体"/>
          <w:b/>
          <w:bCs/>
          <w:sz w:val="22"/>
          <w:szCs w:val="22"/>
          <w:highlight w:val="none"/>
          <w:lang w:val="en-US" w:eastAsia="zh-CN"/>
        </w:rPr>
        <w:t>2</w:t>
      </w:r>
      <w:r>
        <w:rPr>
          <w:rFonts w:hint="eastAsia" w:ascii="宋体" w:hAnsi="宋体" w:cs="宋体"/>
          <w:b/>
          <w:bCs/>
          <w:sz w:val="22"/>
          <w:szCs w:val="22"/>
          <w:highlight w:val="none"/>
        </w:rPr>
        <w:t>、如果免费请在该项内容栏内注明“免”，如果含在产品价格中则填“含”，如无此项内容则填“无”。</w:t>
      </w:r>
    </w:p>
    <w:p>
      <w:pPr>
        <w:spacing w:line="360" w:lineRule="auto"/>
        <w:jc w:val="left"/>
        <w:rPr>
          <w:rFonts w:ascii="宋体" w:hAnsi="宋体" w:cs="宋体"/>
          <w:sz w:val="22"/>
          <w:szCs w:val="22"/>
          <w:highlight w:val="none"/>
        </w:rPr>
      </w:pPr>
    </w:p>
    <w:p>
      <w:pPr>
        <w:spacing w:line="360" w:lineRule="auto"/>
        <w:jc w:val="left"/>
        <w:rPr>
          <w:rFonts w:ascii="宋体" w:hAnsi="宋体" w:cs="宋体"/>
          <w:sz w:val="22"/>
          <w:szCs w:val="22"/>
          <w:highlight w:val="none"/>
        </w:rPr>
      </w:pPr>
      <w:r>
        <w:rPr>
          <w:rFonts w:hint="eastAsia" w:ascii="宋体" w:hAnsi="宋体" w:cs="宋体"/>
          <w:sz w:val="22"/>
          <w:szCs w:val="22"/>
          <w:highlight w:val="none"/>
        </w:rPr>
        <w:t>投标人全称（盖章）：</w:t>
      </w:r>
    </w:p>
    <w:p>
      <w:pPr>
        <w:spacing w:line="360" w:lineRule="auto"/>
        <w:jc w:val="left"/>
        <w:rPr>
          <w:rFonts w:ascii="宋体" w:hAnsi="宋体" w:cs="宋体"/>
          <w:sz w:val="22"/>
          <w:szCs w:val="22"/>
          <w:highlight w:val="none"/>
        </w:rPr>
      </w:pPr>
      <w:r>
        <w:rPr>
          <w:rFonts w:hint="eastAsia" w:ascii="宋体" w:hAnsi="宋体" w:cs="宋体"/>
          <w:kern w:val="0"/>
          <w:sz w:val="22"/>
          <w:szCs w:val="22"/>
          <w:highlight w:val="none"/>
        </w:rPr>
        <w:t>法定代表人或其授权代表（签字或盖章）</w:t>
      </w:r>
      <w:r>
        <w:rPr>
          <w:rFonts w:hint="eastAsia" w:ascii="宋体" w:hAnsi="宋体" w:cs="宋体"/>
          <w:sz w:val="22"/>
          <w:szCs w:val="22"/>
          <w:highlight w:val="none"/>
        </w:rPr>
        <w:t>：</w:t>
      </w:r>
    </w:p>
    <w:p>
      <w:pPr>
        <w:spacing w:line="360" w:lineRule="auto"/>
        <w:jc w:val="left"/>
        <w:rPr>
          <w:rFonts w:ascii="宋体" w:hAnsi="宋体" w:cs="宋体"/>
          <w:sz w:val="22"/>
          <w:szCs w:val="22"/>
          <w:highlight w:val="none"/>
        </w:rPr>
      </w:pPr>
      <w:r>
        <w:rPr>
          <w:rFonts w:hint="eastAsia" w:ascii="宋体" w:hAnsi="宋体" w:cs="宋体"/>
          <w:sz w:val="22"/>
          <w:szCs w:val="22"/>
          <w:highlight w:val="none"/>
        </w:rPr>
        <w:t>日期：</w:t>
      </w:r>
    </w:p>
    <w:p>
      <w:pPr>
        <w:rPr>
          <w:rFonts w:hint="eastAsia" w:ascii="宋体" w:hAnsi="宋体"/>
          <w:color w:val="auto"/>
          <w:szCs w:val="21"/>
        </w:rPr>
      </w:pPr>
      <w:r>
        <w:rPr>
          <w:rFonts w:hint="eastAsia" w:ascii="宋体" w:hAnsi="宋体" w:cs="宋体"/>
          <w:b/>
          <w:bCs/>
          <w:sz w:val="28"/>
          <w:szCs w:val="28"/>
          <w:highlight w:val="none"/>
        </w:rPr>
        <w:br w:type="page"/>
      </w:r>
    </w:p>
    <w:p>
      <w:pPr>
        <w:pStyle w:val="22"/>
        <w:rPr>
          <w:rFonts w:hint="eastAsia" w:ascii="宋体" w:hAnsi="宋体"/>
          <w:color w:val="auto"/>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8099A"/>
    <w:multiLevelType w:val="singleLevel"/>
    <w:tmpl w:val="D3F8099A"/>
    <w:lvl w:ilvl="0" w:tentative="0">
      <w:start w:val="2"/>
      <w:numFmt w:val="chineseCounting"/>
      <w:suff w:val="nothing"/>
      <w:lvlText w:val="（%1）"/>
      <w:lvlJc w:val="left"/>
      <w:rPr>
        <w:rFonts w:hint="eastAsia"/>
      </w:rPr>
    </w:lvl>
  </w:abstractNum>
  <w:abstractNum w:abstractNumId="1">
    <w:nsid w:val="E7F69252"/>
    <w:multiLevelType w:val="singleLevel"/>
    <w:tmpl w:val="E7F6925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264178"/>
    <w:rsid w:val="0029760C"/>
    <w:rsid w:val="003207AC"/>
    <w:rsid w:val="003D41C7"/>
    <w:rsid w:val="003E091A"/>
    <w:rsid w:val="00537F7B"/>
    <w:rsid w:val="005D6C7D"/>
    <w:rsid w:val="0074274D"/>
    <w:rsid w:val="0077449E"/>
    <w:rsid w:val="00985CF6"/>
    <w:rsid w:val="009C732C"/>
    <w:rsid w:val="00A81427"/>
    <w:rsid w:val="00BD504C"/>
    <w:rsid w:val="00DB7EDC"/>
    <w:rsid w:val="00FA6B75"/>
    <w:rsid w:val="035241C7"/>
    <w:rsid w:val="03F44E33"/>
    <w:rsid w:val="04D94B9F"/>
    <w:rsid w:val="09181A29"/>
    <w:rsid w:val="0A34042D"/>
    <w:rsid w:val="0C88605D"/>
    <w:rsid w:val="0EF80781"/>
    <w:rsid w:val="0F427144"/>
    <w:rsid w:val="0F9C6A6C"/>
    <w:rsid w:val="0FD20B69"/>
    <w:rsid w:val="1124087B"/>
    <w:rsid w:val="11BA18B5"/>
    <w:rsid w:val="12276931"/>
    <w:rsid w:val="1367269B"/>
    <w:rsid w:val="14CD6793"/>
    <w:rsid w:val="14D414CD"/>
    <w:rsid w:val="154327F2"/>
    <w:rsid w:val="15F0193F"/>
    <w:rsid w:val="16586A57"/>
    <w:rsid w:val="1AAC3B0A"/>
    <w:rsid w:val="1DD0413A"/>
    <w:rsid w:val="203F5CE6"/>
    <w:rsid w:val="215E5325"/>
    <w:rsid w:val="23900CEE"/>
    <w:rsid w:val="253F05F7"/>
    <w:rsid w:val="26614AE7"/>
    <w:rsid w:val="2AB037DF"/>
    <w:rsid w:val="2B9D1E83"/>
    <w:rsid w:val="2C0B329E"/>
    <w:rsid w:val="2DA52879"/>
    <w:rsid w:val="2EE23DA1"/>
    <w:rsid w:val="2FAF6379"/>
    <w:rsid w:val="304676BA"/>
    <w:rsid w:val="32EC217B"/>
    <w:rsid w:val="33F15215"/>
    <w:rsid w:val="38620F4A"/>
    <w:rsid w:val="39072D82"/>
    <w:rsid w:val="3AA307AA"/>
    <w:rsid w:val="3BD333EF"/>
    <w:rsid w:val="3D4A148F"/>
    <w:rsid w:val="3E3C64D5"/>
    <w:rsid w:val="3EBF27E8"/>
    <w:rsid w:val="40490124"/>
    <w:rsid w:val="442D7AA8"/>
    <w:rsid w:val="45FE3475"/>
    <w:rsid w:val="47421B7F"/>
    <w:rsid w:val="4BB26B7D"/>
    <w:rsid w:val="50250266"/>
    <w:rsid w:val="52A01F28"/>
    <w:rsid w:val="53303AC0"/>
    <w:rsid w:val="567F3200"/>
    <w:rsid w:val="57A36574"/>
    <w:rsid w:val="58D72375"/>
    <w:rsid w:val="59374B66"/>
    <w:rsid w:val="59F74833"/>
    <w:rsid w:val="5DAF6DF6"/>
    <w:rsid w:val="5DD2630F"/>
    <w:rsid w:val="63750765"/>
    <w:rsid w:val="687051DE"/>
    <w:rsid w:val="6B1E16E2"/>
    <w:rsid w:val="6FAE5652"/>
    <w:rsid w:val="705A7660"/>
    <w:rsid w:val="724D0AFE"/>
    <w:rsid w:val="72E83474"/>
    <w:rsid w:val="72F62F44"/>
    <w:rsid w:val="73B5687F"/>
    <w:rsid w:val="78362761"/>
    <w:rsid w:val="791672BC"/>
    <w:rsid w:val="79F966D5"/>
    <w:rsid w:val="7B9A6B62"/>
    <w:rsid w:val="7BAB5838"/>
    <w:rsid w:val="7DBF4FA6"/>
    <w:rsid w:val="7E036272"/>
    <w:rsid w:val="7E163D2D"/>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color w:val="FF0000"/>
      <w:szCs w:val="20"/>
    </w:rPr>
  </w:style>
  <w:style w:type="paragraph" w:styleId="7">
    <w:name w:val="Body Text"/>
    <w:basedOn w:val="1"/>
    <w:next w:val="8"/>
    <w:autoRedefine/>
    <w:qFormat/>
    <w:uiPriority w:val="0"/>
    <w:pPr>
      <w:spacing w:after="120"/>
    </w:pPr>
  </w:style>
  <w:style w:type="paragraph" w:styleId="8">
    <w:name w:val="Body Text First Indent"/>
    <w:basedOn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9">
    <w:name w:val="Body Text Indent"/>
    <w:basedOn w:val="1"/>
    <w:next w:val="1"/>
    <w:autoRedefine/>
    <w:qFormat/>
    <w:uiPriority w:val="0"/>
    <w:pPr>
      <w:ind w:left="480" w:hanging="480" w:hangingChars="200"/>
    </w:pPr>
    <w:rPr>
      <w:sz w:val="24"/>
    </w:r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endnote text"/>
    <w:basedOn w:val="1"/>
    <w:autoRedefine/>
    <w:unhideWhenUsed/>
    <w:qFormat/>
    <w:uiPriority w:val="99"/>
    <w:pPr>
      <w:snapToGrid w:val="0"/>
      <w:jc w:val="left"/>
    </w:pPr>
    <w:rPr>
      <w:lang w:val="zh-CN"/>
    </w:rPr>
  </w:style>
  <w:style w:type="paragraph" w:styleId="12">
    <w:name w:val="footer"/>
    <w:basedOn w:val="1"/>
    <w:link w:val="27"/>
    <w:autoRedefine/>
    <w:qFormat/>
    <w:uiPriority w:val="0"/>
    <w:pPr>
      <w:tabs>
        <w:tab w:val="center" w:pos="4153"/>
        <w:tab w:val="right" w:pos="8306"/>
      </w:tabs>
      <w:snapToGrid w:val="0"/>
      <w:jc w:val="left"/>
    </w:pPr>
    <w:rPr>
      <w:sz w:val="18"/>
      <w:szCs w:val="18"/>
    </w:rPr>
  </w:style>
  <w:style w:type="paragraph" w:styleId="13">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rPr>
      <w:sz w:val="24"/>
    </w:rPr>
  </w:style>
  <w:style w:type="paragraph" w:styleId="15">
    <w:name w:val="Body Text First Indent 2"/>
    <w:basedOn w:val="9"/>
    <w:autoRedefine/>
    <w:semiHidden/>
    <w:unhideWhenUsed/>
    <w:qFormat/>
    <w:uiPriority w:val="99"/>
    <w:pPr>
      <w:ind w:firstLine="420" w:firstLineChars="200"/>
    </w:p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FollowedHyperlink"/>
    <w:basedOn w:val="18"/>
    <w:autoRedefine/>
    <w:qFormat/>
    <w:uiPriority w:val="0"/>
    <w:rPr>
      <w:color w:val="800080"/>
      <w:u w:val="single"/>
    </w:rPr>
  </w:style>
  <w:style w:type="character" w:styleId="21">
    <w:name w:val="Hyperlink"/>
    <w:autoRedefine/>
    <w:qFormat/>
    <w:uiPriority w:val="99"/>
    <w:rPr>
      <w:color w:val="0000FF"/>
      <w:u w:val="single"/>
    </w:rPr>
  </w:style>
  <w:style w:type="paragraph" w:customStyle="1" w:styleId="2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23">
    <w:name w:val="BodyText1I"/>
    <w:basedOn w:val="24"/>
    <w:autoRedefine/>
    <w:qFormat/>
    <w:uiPriority w:val="0"/>
    <w:pPr>
      <w:ind w:firstLine="420" w:firstLineChars="100"/>
    </w:pPr>
  </w:style>
  <w:style w:type="paragraph" w:customStyle="1" w:styleId="24">
    <w:name w:val="BodyText"/>
    <w:basedOn w:val="1"/>
    <w:autoRedefine/>
    <w:qFormat/>
    <w:uiPriority w:val="0"/>
    <w:pPr>
      <w:spacing w:after="120"/>
    </w:pPr>
  </w:style>
  <w:style w:type="paragraph" w:customStyle="1" w:styleId="25">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6">
    <w:name w:val="页眉 字符"/>
    <w:basedOn w:val="18"/>
    <w:link w:val="13"/>
    <w:autoRedefine/>
    <w:qFormat/>
    <w:uiPriority w:val="0"/>
    <w:rPr>
      <w:kern w:val="2"/>
      <w:sz w:val="18"/>
      <w:szCs w:val="18"/>
    </w:rPr>
  </w:style>
  <w:style w:type="character" w:customStyle="1" w:styleId="27">
    <w:name w:val="页脚 字符"/>
    <w:basedOn w:val="18"/>
    <w:link w:val="12"/>
    <w:autoRedefine/>
    <w:qFormat/>
    <w:uiPriority w:val="0"/>
    <w:rPr>
      <w:kern w:val="2"/>
      <w:sz w:val="18"/>
      <w:szCs w:val="18"/>
    </w:rPr>
  </w:style>
  <w:style w:type="paragraph" w:styleId="28">
    <w:name w:val="List Paragraph"/>
    <w:basedOn w:val="1"/>
    <w:autoRedefine/>
    <w:qFormat/>
    <w:uiPriority w:val="0"/>
    <w:pPr>
      <w:ind w:firstLine="420" w:firstLineChars="200"/>
    </w:pPr>
    <w:rPr>
      <w:rFonts w:ascii="Calibri" w:hAnsi="Calibri"/>
      <w:szCs w:val="22"/>
    </w:rPr>
  </w:style>
  <w:style w:type="paragraph" w:customStyle="1" w:styleId="29">
    <w:name w:val="列出段落1"/>
    <w:basedOn w:val="1"/>
    <w:autoRedefine/>
    <w:qFormat/>
    <w:uiPriority w:val="0"/>
    <w:pPr>
      <w:widowControl/>
      <w:spacing w:after="160" w:line="360" w:lineRule="auto"/>
      <w:ind w:left="720"/>
      <w:contextualSpacing/>
      <w:jc w:val="left"/>
    </w:pPr>
    <w:rPr>
      <w:szCs w:val="22"/>
    </w:rPr>
  </w:style>
  <w:style w:type="table" w:customStyle="1" w:styleId="30">
    <w:name w:val="网格型1"/>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U_正文2"/>
    <w:basedOn w:val="1"/>
    <w:autoRedefine/>
    <w:qFormat/>
    <w:uiPriority w:val="0"/>
    <w:pPr>
      <w:spacing w:beforeLines="10" w:afterLines="10" w:line="300" w:lineRule="auto"/>
    </w:pPr>
    <w:rPr>
      <w:sz w:val="24"/>
      <w:szCs w:val="20"/>
    </w:rPr>
  </w:style>
  <w:style w:type="paragraph" w:customStyle="1" w:styleId="32">
    <w:name w:val="Table Text"/>
    <w:basedOn w:val="1"/>
    <w:autoRedefine/>
    <w:semiHidden/>
    <w:qFormat/>
    <w:uiPriority w:val="0"/>
    <w:rPr>
      <w:rFonts w:ascii="宋体" w:hAnsi="宋体" w:cs="宋体"/>
      <w:sz w:val="18"/>
      <w:szCs w:val="18"/>
      <w:lang w:eastAsia="en-US"/>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font01"/>
    <w:basedOn w:val="18"/>
    <w:autoRedefine/>
    <w:qFormat/>
    <w:uiPriority w:val="0"/>
    <w:rPr>
      <w:rFonts w:hint="eastAsia" w:ascii="宋体" w:hAnsi="宋体" w:eastAsia="宋体" w:cs="宋体"/>
      <w:color w:val="000000"/>
      <w:sz w:val="22"/>
      <w:szCs w:val="22"/>
      <w:u w:val="none"/>
    </w:rPr>
  </w:style>
  <w:style w:type="character" w:customStyle="1" w:styleId="35">
    <w:name w:val="font31"/>
    <w:basedOn w:val="18"/>
    <w:autoRedefine/>
    <w:qFormat/>
    <w:uiPriority w:val="0"/>
    <w:rPr>
      <w:rFonts w:hint="default" w:ascii="Times New Roman" w:hAnsi="Times New Roman" w:cs="Times New Roman"/>
      <w:color w:val="000000"/>
      <w:sz w:val="19"/>
      <w:szCs w:val="19"/>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2452</Words>
  <Characters>13979</Characters>
  <Lines>116</Lines>
  <Paragraphs>32</Paragraphs>
  <TotalTime>3</TotalTime>
  <ScaleCrop>false</ScaleCrop>
  <LinksUpToDate>false</LinksUpToDate>
  <CharactersWithSpaces>16399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2024-12-18T03:20:00Z</dcterms:created>
  <dc:creator>小米</dc:creator>
  <cp:lastModifiedBy>市渔业应急处置指挥中心</cp:lastModifiedBy>
  <dcterms:modified xsi:type="dcterms:W3CDTF">2025-09-22T06:09:50Z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