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Theme="minorEastAsia"/>
          <w:b/>
          <w:bCs/>
          <w:sz w:val="36"/>
          <w:szCs w:val="36"/>
          <w:lang w:val="en-US" w:eastAsia="zh-CN"/>
        </w:rPr>
      </w:pPr>
      <w:r>
        <w:rPr>
          <w:rFonts w:hint="eastAsia"/>
          <w:b/>
          <w:bCs/>
          <w:sz w:val="36"/>
          <w:szCs w:val="36"/>
        </w:rPr>
        <w:t>附件一、采购内容及要求</w:t>
      </w:r>
      <w:r>
        <w:rPr>
          <w:rFonts w:hint="eastAsia"/>
          <w:b/>
          <w:bCs/>
          <w:sz w:val="36"/>
          <w:szCs w:val="36"/>
          <w:lang w:eastAsia="zh-CN"/>
        </w:rPr>
        <w:t>（</w:t>
      </w:r>
      <w:r>
        <w:rPr>
          <w:rFonts w:hint="eastAsia"/>
          <w:b/>
          <w:bCs/>
          <w:sz w:val="36"/>
          <w:szCs w:val="36"/>
          <w:lang w:val="en-US" w:eastAsia="zh-CN"/>
        </w:rPr>
        <w:t>重）</w:t>
      </w:r>
    </w:p>
    <w:p>
      <w:pPr>
        <w:spacing w:line="360" w:lineRule="auto"/>
        <w:rPr>
          <w:rFonts w:hint="default" w:ascii="宋体" w:hAnsi="宋体" w:eastAsia="宋体" w:cs="宋体"/>
          <w:b/>
          <w:bCs/>
          <w:sz w:val="24"/>
          <w:lang w:val="en-US" w:eastAsia="zh-CN"/>
        </w:rPr>
      </w:pPr>
      <w:r>
        <w:rPr>
          <w:rFonts w:hint="eastAsia" w:ascii="宋体" w:hAnsi="宋体" w:eastAsia="宋体" w:cs="宋体"/>
          <w:b/>
          <w:bCs/>
          <w:sz w:val="24"/>
        </w:rPr>
        <w:t>一、项目名称：</w:t>
      </w:r>
      <w:bookmarkStart w:id="0" w:name="OLE_LINK1"/>
      <w:bookmarkStart w:id="1" w:name="OLE_LINK2"/>
      <w:r>
        <w:rPr>
          <w:rFonts w:hint="eastAsia" w:ascii="宋体" w:hAnsi="宋体" w:eastAsia="宋体" w:cs="宋体"/>
          <w:b/>
          <w:bCs/>
          <w:sz w:val="24"/>
          <w:lang w:val="en-US" w:eastAsia="zh-CN"/>
        </w:rPr>
        <w:t>呼叫屏、宣传屏</w:t>
      </w:r>
      <w:r>
        <w:rPr>
          <w:rFonts w:hint="eastAsia" w:ascii="宋体" w:hAnsi="宋体" w:eastAsia="宋体" w:cs="宋体"/>
          <w:b/>
          <w:bCs/>
          <w:sz w:val="24"/>
        </w:rPr>
        <w:t>等产品采购</w:t>
      </w:r>
      <w:bookmarkEnd w:id="0"/>
      <w:bookmarkEnd w:id="1"/>
      <w:r>
        <w:rPr>
          <w:rFonts w:hint="eastAsia" w:ascii="宋体" w:hAnsi="宋体" w:eastAsia="宋体" w:cs="宋体"/>
          <w:b/>
          <w:bCs/>
          <w:sz w:val="24"/>
          <w:lang w:eastAsia="zh-CN"/>
        </w:rPr>
        <w:t>（</w:t>
      </w:r>
      <w:r>
        <w:rPr>
          <w:rFonts w:hint="eastAsia" w:ascii="宋体" w:hAnsi="宋体" w:eastAsia="宋体" w:cs="宋体"/>
          <w:b/>
          <w:bCs/>
          <w:sz w:val="24"/>
          <w:lang w:val="en-US" w:eastAsia="zh-CN"/>
        </w:rPr>
        <w:t>重）</w:t>
      </w:r>
      <w:bookmarkStart w:id="2" w:name="_GoBack"/>
      <w:bookmarkEnd w:id="2"/>
    </w:p>
    <w:p>
      <w:pPr>
        <w:pStyle w:val="2"/>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二、项</w:t>
      </w:r>
      <w:r>
        <w:rPr>
          <w:rFonts w:hint="eastAsia" w:ascii="宋体" w:hAnsi="宋体" w:eastAsia="宋体" w:cs="宋体"/>
          <w:b/>
          <w:bCs/>
          <w:sz w:val="24"/>
          <w:szCs w:val="24"/>
          <w:lang w:val="en-US" w:eastAsia="zh-CN"/>
        </w:rPr>
        <w:t>预算金额</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28300元</w:t>
      </w:r>
    </w:p>
    <w:p>
      <w:pPr>
        <w:pStyle w:val="2"/>
        <w:spacing w:line="360" w:lineRule="auto"/>
        <w:ind w:firstLine="0" w:firstLine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三、项目内容及要求</w:t>
      </w:r>
    </w:p>
    <w:tbl>
      <w:tblPr>
        <w:tblStyle w:val="11"/>
        <w:tblW w:w="5067" w:type="pct"/>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333"/>
        <w:gridCol w:w="1593"/>
        <w:gridCol w:w="932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95" w:type="pct"/>
            <w:shd w:val="clear" w:color="auto" w:fill="auto"/>
            <w:vAlign w:val="center"/>
          </w:tcPr>
          <w:p>
            <w:pPr>
              <w:widowControl/>
              <w:spacing w:line="440" w:lineRule="exact"/>
              <w:jc w:val="center"/>
              <w:rPr>
                <w:rFonts w:ascii="宋体" w:hAnsi="宋体" w:cs="宋体"/>
                <w:sz w:val="24"/>
              </w:rPr>
            </w:pPr>
            <w:r>
              <w:rPr>
                <w:rFonts w:hint="eastAsia" w:ascii="宋体" w:hAnsi="宋体" w:cs="宋体"/>
                <w:sz w:val="24"/>
              </w:rPr>
              <w:t>序号</w:t>
            </w:r>
          </w:p>
        </w:tc>
        <w:tc>
          <w:tcPr>
            <w:tcW w:w="455" w:type="pct"/>
            <w:shd w:val="clear" w:color="auto" w:fill="auto"/>
            <w:vAlign w:val="center"/>
          </w:tcPr>
          <w:p>
            <w:pPr>
              <w:widowControl/>
              <w:spacing w:line="440" w:lineRule="exact"/>
              <w:jc w:val="center"/>
              <w:rPr>
                <w:rFonts w:ascii="宋体" w:hAnsi="宋体" w:eastAsia="宋体" w:cs="宋体"/>
                <w:sz w:val="24"/>
              </w:rPr>
            </w:pPr>
            <w:r>
              <w:rPr>
                <w:rFonts w:hint="eastAsia" w:ascii="宋体" w:hAnsi="宋体" w:cs="宋体"/>
                <w:sz w:val="24"/>
              </w:rPr>
              <w:t>产品名称</w:t>
            </w:r>
          </w:p>
        </w:tc>
        <w:tc>
          <w:tcPr>
            <w:tcW w:w="54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lang w:val="en-US" w:eastAsia="zh-CN"/>
              </w:rPr>
              <w:t>数量及</w:t>
            </w:r>
            <w:r>
              <w:rPr>
                <w:rFonts w:hint="eastAsia" w:ascii="宋体" w:hAnsi="宋体" w:eastAsia="宋体" w:cs="宋体"/>
                <w:sz w:val="24"/>
              </w:rPr>
              <w:t>单位</w:t>
            </w:r>
          </w:p>
        </w:tc>
        <w:tc>
          <w:tcPr>
            <w:tcW w:w="318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采购要求</w:t>
            </w:r>
          </w:p>
        </w:tc>
        <w:tc>
          <w:tcPr>
            <w:tcW w:w="522" w:type="pct"/>
            <w:shd w:val="clear" w:color="auto" w:fill="auto"/>
            <w:vAlign w:val="center"/>
          </w:tcPr>
          <w:p>
            <w:pPr>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455"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呼叫屏</w:t>
            </w:r>
            <w:r>
              <w:rPr>
                <w:rFonts w:hint="eastAsia" w:ascii="宋体" w:hAnsi="宋体" w:eastAsia="宋体" w:cs="宋体"/>
                <w:sz w:val="24"/>
                <w:lang w:val="en-US" w:eastAsia="zh-CN"/>
              </w:rPr>
              <w:t xml:space="preserve">   </w:t>
            </w:r>
            <w:r>
              <w:rPr>
                <w:rFonts w:hint="eastAsia" w:ascii="宋体" w:hAnsi="宋体" w:eastAsia="宋体" w:cs="宋体"/>
                <w:sz w:val="24"/>
              </w:rPr>
              <w:t>（55寸）</w:t>
            </w:r>
          </w:p>
        </w:tc>
        <w:tc>
          <w:tcPr>
            <w:tcW w:w="54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台</w:t>
            </w:r>
          </w:p>
        </w:tc>
        <w:tc>
          <w:tcPr>
            <w:tcW w:w="3183" w:type="pct"/>
            <w:shd w:val="clear" w:color="auto" w:fill="auto"/>
            <w:vAlign w:val="center"/>
          </w:tcPr>
          <w:p>
            <w:pPr>
              <w:pStyle w:val="2"/>
              <w:ind w:firstLine="0" w:firstLineChars="0"/>
              <w:rPr>
                <w:rFonts w:hint="eastAsia"/>
              </w:rPr>
            </w:pPr>
            <w:r>
              <w:rPr>
                <w:rFonts w:hint="eastAsia"/>
                <w:lang w:val="en-US" w:eastAsia="zh-CN"/>
              </w:rPr>
              <w:t>1、</w:t>
            </w:r>
            <w:r>
              <w:rPr>
                <w:rFonts w:hint="eastAsia"/>
              </w:rPr>
              <w:t>屏幕尺寸：55英寸</w:t>
            </w:r>
          </w:p>
          <w:p>
            <w:pPr>
              <w:pStyle w:val="2"/>
              <w:ind w:firstLine="0" w:firstLineChars="0"/>
              <w:rPr>
                <w:rFonts w:hint="eastAsia"/>
              </w:rPr>
            </w:pPr>
            <w:r>
              <w:rPr>
                <w:rFonts w:hint="eastAsia"/>
                <w:lang w:val="en-US" w:eastAsia="zh-CN"/>
              </w:rPr>
              <w:t>2、</w:t>
            </w:r>
            <w:r>
              <w:rPr>
                <w:rFonts w:hint="eastAsia"/>
              </w:rPr>
              <w:t>处理器要求：A55，8核</w:t>
            </w:r>
          </w:p>
          <w:p>
            <w:pPr>
              <w:pStyle w:val="2"/>
              <w:ind w:firstLine="0" w:firstLineChars="0"/>
              <w:rPr>
                <w:rFonts w:hint="eastAsia"/>
              </w:rPr>
            </w:pPr>
            <w:r>
              <w:rPr>
                <w:rFonts w:hint="eastAsia"/>
                <w:lang w:val="en-US" w:eastAsia="zh-CN"/>
              </w:rPr>
              <w:t>3、</w:t>
            </w:r>
            <w:r>
              <w:rPr>
                <w:rFonts w:hint="eastAsia"/>
              </w:rPr>
              <w:t>内存要求：≥2GB</w:t>
            </w:r>
          </w:p>
          <w:p>
            <w:pPr>
              <w:pStyle w:val="2"/>
              <w:ind w:firstLine="0" w:firstLineChars="0"/>
              <w:rPr>
                <w:rFonts w:hint="eastAsia"/>
              </w:rPr>
            </w:pPr>
            <w:r>
              <w:rPr>
                <w:rFonts w:hint="eastAsia"/>
                <w:lang w:val="en-US" w:eastAsia="zh-CN"/>
              </w:rPr>
              <w:t>4、</w:t>
            </w:r>
            <w:r>
              <w:rPr>
                <w:rFonts w:hint="eastAsia"/>
              </w:rPr>
              <w:t>外存储：≥8GB</w:t>
            </w:r>
          </w:p>
          <w:p>
            <w:pPr>
              <w:pStyle w:val="2"/>
              <w:ind w:firstLine="0" w:firstLineChars="0"/>
              <w:rPr>
                <w:rFonts w:hint="eastAsia"/>
              </w:rPr>
            </w:pPr>
            <w:r>
              <w:rPr>
                <w:rFonts w:hint="eastAsia"/>
                <w:lang w:val="en-US" w:eastAsia="zh-CN"/>
              </w:rPr>
              <w:t>5、</w:t>
            </w:r>
            <w:r>
              <w:rPr>
                <w:rFonts w:hint="eastAsia"/>
              </w:rPr>
              <w:t>操作系统：Android12，且操作系统需为厂家深度开发定制产品，稳定性高，不易遭受病毒感染。</w:t>
            </w:r>
          </w:p>
          <w:p>
            <w:pPr>
              <w:pStyle w:val="2"/>
              <w:ind w:firstLine="0" w:firstLineChars="0"/>
              <w:rPr>
                <w:rFonts w:hint="eastAsia"/>
              </w:rPr>
            </w:pPr>
            <w:r>
              <w:rPr>
                <w:rFonts w:hint="eastAsia"/>
                <w:lang w:val="en-US" w:eastAsia="zh-CN"/>
              </w:rPr>
              <w:t>6、</w:t>
            </w:r>
            <w:r>
              <w:rPr>
                <w:rFonts w:hint="eastAsia"/>
              </w:rPr>
              <w:t>分辨率≥3840*2160</w:t>
            </w:r>
          </w:p>
          <w:p>
            <w:pPr>
              <w:pStyle w:val="2"/>
              <w:ind w:firstLine="0" w:firstLineChars="0"/>
              <w:rPr>
                <w:rFonts w:hint="eastAsia"/>
              </w:rPr>
            </w:pPr>
            <w:r>
              <w:rPr>
                <w:rFonts w:hint="eastAsia"/>
                <w:lang w:val="en-US" w:eastAsia="zh-CN"/>
              </w:rPr>
              <w:t>7、</w:t>
            </w:r>
            <w:r>
              <w:rPr>
                <w:rFonts w:hint="eastAsia"/>
              </w:rPr>
              <w:t>亮度≥350 cd/m²</w:t>
            </w:r>
          </w:p>
          <w:p>
            <w:pPr>
              <w:pStyle w:val="2"/>
              <w:ind w:firstLine="0" w:firstLineChars="0"/>
              <w:rPr>
                <w:rFonts w:hint="eastAsia"/>
              </w:rPr>
            </w:pPr>
            <w:r>
              <w:rPr>
                <w:rFonts w:hint="eastAsia"/>
                <w:lang w:val="en-US" w:eastAsia="zh-CN"/>
              </w:rPr>
              <w:t>8、</w:t>
            </w:r>
            <w:r>
              <w:rPr>
                <w:rFonts w:hint="eastAsia"/>
              </w:rPr>
              <w:t>音频格式：MP3/WMA/AAC/OGG</w:t>
            </w:r>
          </w:p>
          <w:p>
            <w:pPr>
              <w:pStyle w:val="2"/>
              <w:ind w:firstLine="0" w:firstLineChars="0"/>
              <w:rPr>
                <w:rFonts w:hint="eastAsia"/>
              </w:rPr>
            </w:pPr>
            <w:r>
              <w:rPr>
                <w:rFonts w:hint="eastAsia"/>
                <w:lang w:val="en-US" w:eastAsia="zh-CN"/>
              </w:rPr>
              <w:t>9、</w:t>
            </w:r>
            <w:r>
              <w:rPr>
                <w:rFonts w:hint="eastAsia"/>
              </w:rPr>
              <w:t>高清视频格式: RMVB/AVI/MPG/MKV/TS/ASF/FLV/WebM</w:t>
            </w:r>
          </w:p>
          <w:p>
            <w:pPr>
              <w:pStyle w:val="2"/>
              <w:ind w:firstLine="0" w:firstLineChars="0"/>
              <w:rPr>
                <w:rFonts w:hint="eastAsia"/>
              </w:rPr>
            </w:pPr>
            <w:r>
              <w:rPr>
                <w:rFonts w:hint="eastAsia"/>
                <w:lang w:val="en-US" w:eastAsia="zh-CN"/>
              </w:rPr>
              <w:t>10、</w:t>
            </w:r>
            <w:r>
              <w:rPr>
                <w:rFonts w:hint="eastAsia"/>
              </w:rPr>
              <w:t>视频接口： 支持HDMI IN</w:t>
            </w:r>
          </w:p>
          <w:p>
            <w:pPr>
              <w:pStyle w:val="2"/>
              <w:ind w:firstLine="0" w:firstLineChars="0"/>
              <w:rPr>
                <w:rFonts w:hint="eastAsia"/>
              </w:rPr>
            </w:pPr>
            <w:r>
              <w:rPr>
                <w:rFonts w:hint="eastAsia"/>
                <w:lang w:val="en-US" w:eastAsia="zh-CN"/>
              </w:rPr>
              <w:t>11、</w:t>
            </w:r>
            <w:r>
              <w:rPr>
                <w:rFonts w:hint="eastAsia"/>
              </w:rPr>
              <w:t>音频接口：耳机 3.5mm音频</w:t>
            </w:r>
          </w:p>
          <w:p>
            <w:pPr>
              <w:pStyle w:val="2"/>
              <w:ind w:firstLine="0" w:firstLineChars="0"/>
              <w:rPr>
                <w:rFonts w:hint="eastAsia"/>
              </w:rPr>
            </w:pPr>
            <w:r>
              <w:rPr>
                <w:rFonts w:hint="eastAsia"/>
                <w:lang w:val="en-US" w:eastAsia="zh-CN"/>
              </w:rPr>
              <w:t>12、</w:t>
            </w:r>
            <w:r>
              <w:rPr>
                <w:rFonts w:hint="eastAsia"/>
              </w:rPr>
              <w:t>工作电压要求：220V 50Hz</w:t>
            </w:r>
          </w:p>
          <w:p>
            <w:pPr>
              <w:pStyle w:val="2"/>
              <w:ind w:firstLine="0" w:firstLineChars="0"/>
              <w:rPr>
                <w:rFonts w:hint="eastAsia"/>
              </w:rPr>
            </w:pPr>
            <w:r>
              <w:rPr>
                <w:rFonts w:hint="eastAsia"/>
                <w:lang w:val="en-US" w:eastAsia="zh-CN"/>
              </w:rPr>
              <w:t>13、</w:t>
            </w:r>
            <w:r>
              <w:rPr>
                <w:rFonts w:hint="eastAsia"/>
              </w:rPr>
              <w:t>安装方式要求：壁挂/吊挂安装</w:t>
            </w:r>
          </w:p>
          <w:p>
            <w:pPr>
              <w:pStyle w:val="2"/>
              <w:ind w:firstLine="0" w:firstLineChars="0"/>
              <w:rPr>
                <w:rFonts w:hint="eastAsia"/>
              </w:rPr>
            </w:pPr>
            <w:r>
              <w:rPr>
                <w:rFonts w:hint="eastAsia"/>
                <w:lang w:val="en-US" w:eastAsia="zh-CN"/>
              </w:rPr>
              <w:t>14、</w:t>
            </w:r>
            <w:r>
              <w:rPr>
                <w:rFonts w:hint="eastAsia"/>
              </w:rPr>
              <w:t>资质要求：</w:t>
            </w:r>
          </w:p>
          <w:p>
            <w:pPr>
              <w:pStyle w:val="2"/>
              <w:ind w:firstLine="0" w:firstLineChars="0"/>
              <w:rPr>
                <w:rFonts w:hint="eastAsia"/>
              </w:rPr>
            </w:pPr>
            <w:r>
              <w:rPr>
                <w:rFonts w:hint="eastAsia"/>
                <w:lang w:eastAsia="zh-CN"/>
              </w:rPr>
              <w:t>（</w:t>
            </w:r>
            <w:r>
              <w:rPr>
                <w:rFonts w:hint="eastAsia"/>
              </w:rPr>
              <w:t>1</w:t>
            </w:r>
            <w:r>
              <w:rPr>
                <w:rFonts w:hint="eastAsia"/>
                <w:lang w:eastAsia="zh-CN"/>
              </w:rPr>
              <w:t>）</w:t>
            </w:r>
            <w:r>
              <w:rPr>
                <w:rFonts w:hint="eastAsia"/>
              </w:rPr>
              <w:t>要求设备安全防护的强度达到GB 4943.1-2022中P级判定，提供CNAS或CMA认证的检测报告；</w:t>
            </w:r>
          </w:p>
          <w:p>
            <w:pPr>
              <w:pStyle w:val="2"/>
              <w:ind w:firstLine="0" w:firstLineChars="0"/>
              <w:rPr>
                <w:rFonts w:hint="eastAsia"/>
              </w:rPr>
            </w:pPr>
            <w:r>
              <w:rPr>
                <w:rFonts w:hint="eastAsia"/>
                <w:lang w:eastAsia="zh-CN"/>
              </w:rPr>
              <w:t>（</w:t>
            </w:r>
            <w:r>
              <w:rPr>
                <w:rFonts w:hint="eastAsia"/>
              </w:rPr>
              <w:t>2</w:t>
            </w:r>
            <w:r>
              <w:rPr>
                <w:rFonts w:hint="eastAsia"/>
                <w:lang w:eastAsia="zh-CN"/>
              </w:rPr>
              <w:t>）</w:t>
            </w:r>
            <w:r>
              <w:rPr>
                <w:rFonts w:hint="eastAsia"/>
              </w:rPr>
              <w:t>★具备分屏显示功能，可以将模版画面分屏显示，可划分多个区域,每个区域内都可以混合播放不同类型的素材，提供CNAS或CMA认证的检测报告；</w:t>
            </w:r>
          </w:p>
          <w:p>
            <w:pPr>
              <w:pStyle w:val="2"/>
              <w:ind w:firstLine="0" w:firstLineChars="0"/>
              <w:rPr>
                <w:rFonts w:hint="eastAsia"/>
              </w:rPr>
            </w:pPr>
            <w:r>
              <w:rPr>
                <w:rFonts w:hint="eastAsia"/>
                <w:lang w:eastAsia="zh-CN"/>
              </w:rPr>
              <w:t>（</w:t>
            </w:r>
            <w:r>
              <w:rPr>
                <w:rFonts w:hint="eastAsia"/>
              </w:rPr>
              <w:t>3</w:t>
            </w:r>
            <w:r>
              <w:rPr>
                <w:rFonts w:hint="eastAsia"/>
                <w:lang w:eastAsia="zh-CN"/>
              </w:rPr>
              <w:t>）</w:t>
            </w:r>
            <w:r>
              <w:rPr>
                <w:rFonts w:hint="eastAsia"/>
              </w:rPr>
              <w:t>★为保障用电安全，要求设备具有安全电压接入设计装，提供CNAS或CMA认证的检测报告；</w:t>
            </w:r>
          </w:p>
          <w:p>
            <w:pPr>
              <w:pStyle w:val="2"/>
              <w:ind w:firstLine="0" w:firstLineChars="0"/>
              <w:rPr>
                <w:rFonts w:hint="eastAsia"/>
              </w:rPr>
            </w:pPr>
            <w:r>
              <w:rPr>
                <w:rFonts w:hint="eastAsia"/>
                <w:lang w:eastAsia="zh-CN"/>
              </w:rPr>
              <w:t>（</w:t>
            </w:r>
            <w:r>
              <w:rPr>
                <w:rFonts w:hint="eastAsia"/>
              </w:rPr>
              <w:t>4</w:t>
            </w:r>
            <w:r>
              <w:rPr>
                <w:rFonts w:hint="eastAsia"/>
                <w:lang w:eastAsia="zh-CN"/>
              </w:rPr>
              <w:t>）</w:t>
            </w:r>
            <w:r>
              <w:rPr>
                <w:rFonts w:hint="eastAsia"/>
              </w:rPr>
              <w:t>★为便于管理，要求设备具有远程操作功能，设备可以通过网络控制终端设备执行远程开机、远程关机、远程重启、定时开关机、远程控制、远程截图、远程桌面、远程音量调节、远程日志抓取、磁盘信息、下载查看、设备信息、状态统计、下载限速、终端音量、终端亮度、定时播放监控、定时刷新、自动截取所有设备当前播放画面等操作，提供CNAS或CMA认证的检测报告；</w:t>
            </w:r>
          </w:p>
          <w:p>
            <w:pPr>
              <w:pStyle w:val="2"/>
              <w:ind w:firstLine="0" w:firstLineChars="0"/>
              <w:rPr>
                <w:rFonts w:hint="eastAsia"/>
              </w:rPr>
            </w:pPr>
            <w:r>
              <w:rPr>
                <w:rFonts w:hint="eastAsia"/>
                <w:lang w:val="en-US" w:eastAsia="zh-CN"/>
              </w:rPr>
              <w:t xml:space="preserve">( </w:t>
            </w:r>
            <w:r>
              <w:rPr>
                <w:rFonts w:hint="eastAsia"/>
              </w:rPr>
              <w:t>5</w:t>
            </w:r>
            <w:r>
              <w:rPr>
                <w:rFonts w:hint="eastAsia"/>
                <w:lang w:val="en-US" w:eastAsia="zh-CN"/>
              </w:rPr>
              <w:t xml:space="preserve"> ) </w:t>
            </w:r>
            <w:r>
              <w:rPr>
                <w:rFonts w:hint="eastAsia"/>
              </w:rPr>
              <w:t>★要求设备支持多种素材播放，具有图片、视频、幻灯片、静态文本等多种媒体样式的素材管理和播放，提供CNAS或CMA认证的检测报告；</w:t>
            </w:r>
          </w:p>
          <w:p>
            <w:pPr>
              <w:pStyle w:val="2"/>
              <w:ind w:firstLine="0" w:firstLineChars="0"/>
            </w:pPr>
            <w:r>
              <w:rPr>
                <w:rFonts w:hint="eastAsia"/>
                <w:lang w:val="en-US" w:eastAsia="zh-CN"/>
              </w:rPr>
              <w:t xml:space="preserve">( </w:t>
            </w:r>
            <w:r>
              <w:rPr>
                <w:rFonts w:hint="eastAsia"/>
              </w:rPr>
              <w:t>6</w:t>
            </w:r>
            <w:r>
              <w:rPr>
                <w:rFonts w:hint="eastAsia"/>
                <w:lang w:val="en-US" w:eastAsia="zh-CN"/>
              </w:rPr>
              <w:t xml:space="preserve"> ) </w:t>
            </w:r>
            <w:r>
              <w:rPr>
                <w:rFonts w:hint="eastAsia"/>
              </w:rPr>
              <w:t>★要求提供显示设备外壳材料铜绿假单胞菌和金黄色葡萄球菌抗菌率检测报告，提供CNAS或CMA认证的检测报告；</w:t>
            </w:r>
          </w:p>
        </w:tc>
        <w:tc>
          <w:tcPr>
            <w:tcW w:w="522" w:type="pct"/>
            <w:shd w:val="clear" w:color="auto" w:fill="auto"/>
            <w:vAlign w:val="center"/>
          </w:tcPr>
          <w:p>
            <w:pPr>
              <w:pStyle w:val="2"/>
              <w:ind w:firstLine="0" w:firstLineChars="0"/>
              <w:rPr>
                <w:rFonts w:hint="default" w:eastAsia="宋体"/>
                <w:lang w:val="en-US" w:eastAsia="zh-CN"/>
              </w:rPr>
            </w:pPr>
            <w:r>
              <w:rPr>
                <w:rFonts w:hint="eastAsia" w:ascii="宋体" w:hAnsi="宋体" w:eastAsia="宋体" w:cs="宋体"/>
                <w:sz w:val="24"/>
                <w:szCs w:val="24"/>
              </w:rPr>
              <w:t>11500</w:t>
            </w:r>
            <w:r>
              <w:rPr>
                <w:rFonts w:hint="eastAsia" w:ascii="宋体" w:hAnsi="宋体" w:eastAsia="宋体" w:cs="宋体"/>
                <w:sz w:val="24"/>
                <w:szCs w:val="24"/>
                <w:lang w:val="en-US" w:eastAsia="zh-CN"/>
              </w:rPr>
              <w:t>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95"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455" w:type="pct"/>
            <w:shd w:val="clear" w:color="auto" w:fill="auto"/>
            <w:vAlign w:val="center"/>
          </w:tcPr>
          <w:p>
            <w:pPr>
              <w:spacing w:line="440" w:lineRule="exact"/>
              <w:jc w:val="center"/>
              <w:rPr>
                <w:rFonts w:ascii="宋体" w:hAnsi="宋体" w:eastAsia="宋体" w:cs="宋体"/>
                <w:sz w:val="24"/>
              </w:rPr>
            </w:pPr>
          </w:p>
          <w:p>
            <w:pPr>
              <w:spacing w:line="440" w:lineRule="exact"/>
              <w:jc w:val="center"/>
              <w:rPr>
                <w:rFonts w:ascii="宋体" w:hAnsi="宋体" w:eastAsia="宋体" w:cs="宋体"/>
                <w:sz w:val="24"/>
              </w:rPr>
            </w:pPr>
          </w:p>
          <w:p>
            <w:pPr>
              <w:spacing w:line="440" w:lineRule="exact"/>
              <w:jc w:val="center"/>
              <w:rPr>
                <w:rFonts w:ascii="宋体" w:hAnsi="宋体" w:eastAsia="宋体" w:cs="宋体"/>
                <w:sz w:val="24"/>
              </w:rPr>
            </w:pPr>
          </w:p>
          <w:p>
            <w:pPr>
              <w:spacing w:line="440" w:lineRule="exact"/>
              <w:jc w:val="center"/>
              <w:rPr>
                <w:rFonts w:hint="eastAsia" w:ascii="宋体" w:hAnsi="宋体" w:eastAsia="宋体" w:cs="宋体"/>
                <w:sz w:val="24"/>
              </w:rPr>
            </w:pPr>
            <w:r>
              <w:rPr>
                <w:rFonts w:hint="eastAsia" w:ascii="宋体" w:hAnsi="宋体" w:eastAsia="宋体" w:cs="宋体"/>
                <w:sz w:val="24"/>
              </w:rPr>
              <w:t>宣传屏</w:t>
            </w:r>
          </w:p>
          <w:p>
            <w:pPr>
              <w:spacing w:line="440" w:lineRule="exact"/>
              <w:jc w:val="center"/>
              <w:rPr>
                <w:rFonts w:ascii="宋体" w:hAnsi="宋体" w:eastAsia="宋体" w:cs="宋体"/>
                <w:sz w:val="24"/>
              </w:rPr>
            </w:pPr>
            <w:r>
              <w:rPr>
                <w:rFonts w:hint="eastAsia" w:ascii="宋体" w:hAnsi="宋体" w:eastAsia="宋体" w:cs="宋体"/>
                <w:sz w:val="24"/>
              </w:rPr>
              <w:t>（竖屏）</w:t>
            </w:r>
          </w:p>
          <w:p>
            <w:pPr>
              <w:spacing w:line="440" w:lineRule="exact"/>
              <w:jc w:val="center"/>
              <w:rPr>
                <w:rFonts w:ascii="宋体" w:hAnsi="宋体" w:eastAsia="宋体" w:cs="宋体"/>
                <w:sz w:val="24"/>
              </w:rPr>
            </w:pPr>
            <w:r>
              <w:rPr>
                <w:rFonts w:hint="eastAsia" w:ascii="宋体" w:hAnsi="宋体" w:eastAsia="宋体" w:cs="宋体"/>
                <w:sz w:val="24"/>
              </w:rPr>
              <w:t>（55寸）</w:t>
            </w:r>
          </w:p>
          <w:p>
            <w:pPr>
              <w:pStyle w:val="2"/>
              <w:ind w:firstLine="0" w:firstLineChars="0"/>
            </w:pPr>
          </w:p>
          <w:p>
            <w:pPr>
              <w:pStyle w:val="2"/>
              <w:ind w:firstLine="0" w:firstLineChars="0"/>
              <w:rPr>
                <w:sz w:val="24"/>
                <w:highlight w:val="cyan"/>
              </w:rPr>
            </w:pPr>
          </w:p>
          <w:p>
            <w:pPr>
              <w:pStyle w:val="2"/>
              <w:ind w:firstLine="0" w:firstLineChars="0"/>
              <w:rPr>
                <w:sz w:val="24"/>
                <w:highlight w:val="cyan"/>
              </w:rPr>
            </w:pPr>
          </w:p>
          <w:p>
            <w:pPr>
              <w:pStyle w:val="2"/>
              <w:ind w:firstLine="0" w:firstLineChars="0"/>
              <w:rPr>
                <w:sz w:val="24"/>
                <w:highlight w:val="cyan"/>
              </w:rPr>
            </w:pPr>
          </w:p>
          <w:p>
            <w:pPr>
              <w:pStyle w:val="2"/>
              <w:ind w:firstLine="0" w:firstLineChars="0"/>
              <w:rPr>
                <w:sz w:val="24"/>
                <w:highlight w:val="cyan"/>
              </w:rPr>
            </w:pPr>
          </w:p>
          <w:p>
            <w:pPr>
              <w:pStyle w:val="2"/>
              <w:ind w:firstLine="0" w:firstLineChars="0"/>
              <w:rPr>
                <w:sz w:val="24"/>
                <w:highlight w:val="cyan"/>
              </w:rPr>
            </w:pPr>
          </w:p>
          <w:p>
            <w:pPr>
              <w:pStyle w:val="2"/>
              <w:ind w:firstLine="0" w:firstLineChars="0"/>
              <w:rPr>
                <w:sz w:val="24"/>
                <w:highlight w:val="cyan"/>
              </w:rPr>
            </w:pPr>
          </w:p>
          <w:p>
            <w:pPr>
              <w:pStyle w:val="2"/>
              <w:ind w:firstLine="0" w:firstLineChars="0"/>
              <w:rPr>
                <w:sz w:val="24"/>
              </w:rPr>
            </w:pPr>
          </w:p>
        </w:tc>
        <w:tc>
          <w:tcPr>
            <w:tcW w:w="54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台</w:t>
            </w:r>
          </w:p>
        </w:tc>
        <w:tc>
          <w:tcPr>
            <w:tcW w:w="3183" w:type="pct"/>
            <w:shd w:val="clear" w:color="auto" w:fill="auto"/>
            <w:vAlign w:val="center"/>
          </w:tcPr>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屏幕尺寸：55 英寸</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处理器要求：A55，8核</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内存要求：≥2GB</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外存储：≥8GB</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操作系统：Android12，且操作系统需为厂家深度开发定制产品，稳定性高，不易遭受病毒感染。</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分辨率：≥3840*2160</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屏寿命：≥3万小时</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音频格式:支持MP3/WMA/AAC/OGG</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视频格式:支持RMVB/AVI/MPG/MKV/TS/ASF/FLV/WebM</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数据接口：需支持USB2.0、RJ45</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安装方式要求：落地安装</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资质要求：</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要求设备安全防护的强度达到GB 4943.1-2022中P级判定，提供CNAS或CMA认证的检测报告；</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★具备分屏显示功能，可以将模版画面分屏显示，可划分多个区域,每个区域内都可以混合播放不同类型的素材，提供CNAS或CMA认证的检测报告；</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★为保障用电安全，要求设备具有安全电压接入设计装，提供CNAS或CMA认证的检测报告；</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便于管理，要求设备具有远程操作功能，设备可以通过网络控制终端设备执行远程开机、远程关机、远程重启、定时开关机、远程控制、远程截图、远程桌面、远程音量调节、远程日志抓取、磁盘信息、下载查看、设备信息、状态统计、下载限速、终端音量、终端亮度、定时播放监控、定时刷新、自动截取所有设备当前播放画面等操作，提供CNAS或CMA认证的检测报告；</w:t>
            </w:r>
          </w:p>
          <w:p>
            <w:pPr>
              <w:pStyle w:val="2"/>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★要求设备支持多种素材播放，具有图片、视频、幻灯片、静态文本等多种媒体样式的素材管理和播放，提供CNAS或CMA认证的检测报告；</w:t>
            </w:r>
          </w:p>
          <w:p>
            <w:pPr>
              <w:pStyle w:val="2"/>
              <w:ind w:firstLine="0" w:firstLineChars="0"/>
              <w:rPr>
                <w:color w:val="000000" w:themeColor="text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★要求提供显示设备外壳材料铜绿假单胞菌和金黄色葡萄球菌抗菌率检测报告，提供CNAS或CMA认证的检测报告；</w:t>
            </w:r>
          </w:p>
        </w:tc>
        <w:tc>
          <w:tcPr>
            <w:tcW w:w="522" w:type="pct"/>
            <w:shd w:val="clear" w:color="auto" w:fill="auto"/>
            <w:vAlign w:val="center"/>
          </w:tcPr>
          <w:p>
            <w:pPr>
              <w:pStyle w:val="2"/>
              <w:ind w:firstLine="0" w:firstLineChars="0"/>
              <w:rPr>
                <w:rFonts w:hint="eastAsia"/>
                <w:color w:val="000000" w:themeColor="text1"/>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sz w:val="24"/>
                <w:szCs w:val="24"/>
                <w:lang w:val="en-US" w:eastAsia="zh-CN"/>
              </w:rPr>
              <w:t>6800元/台</w:t>
            </w:r>
          </w:p>
        </w:tc>
      </w:tr>
    </w:tbl>
    <w:p>
      <w:pPr>
        <w:pStyle w:val="5"/>
        <w:ind w:firstLine="1205" w:firstLineChars="500"/>
        <w:rPr>
          <w:rFonts w:hint="eastAsia" w:ascii="宋体" w:hAnsi="宋体" w:eastAsia="宋体" w:cs="宋体"/>
          <w:b/>
          <w:bCs/>
          <w:color w:val="FF0000"/>
          <w:sz w:val="24"/>
          <w:szCs w:val="24"/>
          <w:u w:val="single"/>
        </w:rPr>
      </w:pPr>
    </w:p>
    <w:p>
      <w:pPr>
        <w:pStyle w:val="5"/>
        <w:ind w:firstLine="1205" w:firstLineChars="500"/>
        <w:rPr>
          <w:rFonts w:hint="eastAsia" w:ascii="宋体" w:hAnsi="宋体" w:eastAsia="宋体" w:cs="宋体"/>
          <w:b/>
          <w:bCs/>
          <w:color w:val="FF0000"/>
          <w:sz w:val="24"/>
          <w:szCs w:val="24"/>
          <w:u w:val="single"/>
        </w:rPr>
      </w:pPr>
      <w:r>
        <w:rPr>
          <w:rFonts w:hint="eastAsia" w:ascii="宋体" w:hAnsi="宋体" w:eastAsia="宋体" w:cs="宋体"/>
          <w:b/>
          <w:bCs/>
          <w:color w:val="FF0000"/>
          <w:sz w:val="24"/>
          <w:szCs w:val="24"/>
          <w:u w:val="single"/>
        </w:rPr>
        <w:t>▲</w:t>
      </w:r>
      <w:r>
        <w:rPr>
          <w:rFonts w:hint="eastAsia" w:ascii="宋体" w:hAnsi="宋体" w:eastAsia="宋体" w:cs="宋体"/>
          <w:b/>
          <w:bCs/>
          <w:color w:val="FF0000"/>
          <w:sz w:val="24"/>
          <w:szCs w:val="24"/>
          <w:u w:val="single"/>
          <w:lang w:val="en-US" w:eastAsia="zh-CN"/>
        </w:rPr>
        <w:t>上述</w:t>
      </w:r>
      <w:r>
        <w:rPr>
          <w:rFonts w:hint="eastAsia" w:ascii="宋体" w:hAnsi="宋体" w:eastAsia="宋体" w:cs="宋体"/>
          <w:b/>
          <w:bCs/>
          <w:color w:val="FF0000"/>
          <w:sz w:val="24"/>
          <w:szCs w:val="24"/>
          <w:u w:val="single"/>
        </w:rPr>
        <w:t>设备</w:t>
      </w:r>
      <w:r>
        <w:rPr>
          <w:rFonts w:hint="eastAsia" w:ascii="宋体" w:hAnsi="宋体" w:eastAsia="宋体" w:cs="宋体"/>
          <w:b/>
          <w:bCs/>
          <w:color w:val="FF0000"/>
          <w:sz w:val="24"/>
          <w:szCs w:val="24"/>
          <w:u w:val="single"/>
          <w:lang w:val="en-US" w:eastAsia="zh-CN"/>
        </w:rPr>
        <w:t>要求</w:t>
      </w:r>
      <w:r>
        <w:rPr>
          <w:rFonts w:hint="eastAsia" w:ascii="宋体" w:hAnsi="宋体" w:eastAsia="宋体" w:cs="宋体"/>
          <w:b/>
          <w:bCs/>
          <w:color w:val="FF0000"/>
          <w:sz w:val="24"/>
          <w:szCs w:val="24"/>
          <w:u w:val="single"/>
        </w:rPr>
        <w:t>无缝接入医院现有引导系统平台</w:t>
      </w:r>
      <w:r>
        <w:rPr>
          <w:rFonts w:hint="eastAsia" w:ascii="宋体" w:hAnsi="宋体" w:eastAsia="宋体" w:cs="宋体"/>
          <w:b/>
          <w:bCs/>
          <w:color w:val="FF0000"/>
          <w:sz w:val="24"/>
          <w:szCs w:val="24"/>
          <w:u w:val="single"/>
          <w:lang w:val="en-US" w:eastAsia="zh-CN"/>
        </w:rPr>
        <w:t>,</w:t>
      </w:r>
      <w:r>
        <w:rPr>
          <w:rFonts w:hint="eastAsia" w:ascii="宋体" w:hAnsi="宋体" w:eastAsia="宋体" w:cs="宋体"/>
          <w:b/>
          <w:bCs/>
          <w:color w:val="FF0000"/>
          <w:sz w:val="24"/>
          <w:szCs w:val="24"/>
          <w:u w:val="single"/>
        </w:rPr>
        <w:t>投标前请提供原厂开具的接口对接确认函。</w:t>
      </w:r>
    </w:p>
    <w:p>
      <w:pPr>
        <w:pStyle w:val="2"/>
        <w:spacing w:line="360" w:lineRule="auto"/>
        <w:ind w:firstLine="0" w:firstLineChars="0"/>
        <w:rPr>
          <w:rFonts w:ascii="宋体" w:hAnsi="宋体" w:eastAsia="宋体" w:cs="宋体"/>
          <w:b/>
          <w:bCs/>
          <w:sz w:val="24"/>
        </w:rPr>
      </w:pPr>
    </w:p>
    <w:p>
      <w:pPr>
        <w:pStyle w:val="2"/>
        <w:spacing w:line="360" w:lineRule="auto"/>
        <w:ind w:firstLine="0" w:firstLineChars="0"/>
        <w:rPr>
          <w:rFonts w:ascii="宋体" w:hAnsi="宋体" w:eastAsia="宋体" w:cs="宋体"/>
          <w:b/>
          <w:bCs/>
          <w:sz w:val="24"/>
        </w:rPr>
      </w:pPr>
      <w:r>
        <w:rPr>
          <w:rFonts w:hint="eastAsia" w:ascii="宋体" w:hAnsi="宋体" w:eastAsia="宋体" w:cs="宋体"/>
          <w:b/>
          <w:bCs/>
          <w:sz w:val="24"/>
        </w:rPr>
        <w:t>四、付款方式：</w:t>
      </w:r>
    </w:p>
    <w:p>
      <w:pPr>
        <w:pStyle w:val="2"/>
        <w:spacing w:line="360" w:lineRule="auto"/>
        <w:ind w:firstLine="480"/>
        <w:rPr>
          <w:rFonts w:ascii="宋体" w:hAnsi="宋体" w:eastAsia="宋体" w:cs="宋体"/>
          <w:sz w:val="24"/>
        </w:rPr>
      </w:pPr>
      <w:r>
        <w:rPr>
          <w:rFonts w:ascii="宋体" w:hAnsi="宋体" w:eastAsia="宋体" w:cs="宋体"/>
          <w:sz w:val="24"/>
        </w:rPr>
        <w:t>货物交付完毕并经最终验收合格后，乙方向甲方开具发票，甲方在收到发票后</w:t>
      </w:r>
      <w:r>
        <w:rPr>
          <w:rFonts w:hint="eastAsia" w:ascii="宋体" w:hAnsi="宋体" w:eastAsia="宋体" w:cs="宋体"/>
          <w:sz w:val="24"/>
        </w:rPr>
        <w:t>三个月</w:t>
      </w:r>
      <w:r>
        <w:rPr>
          <w:rFonts w:ascii="宋体" w:hAnsi="宋体" w:eastAsia="宋体" w:cs="宋体"/>
          <w:sz w:val="24"/>
        </w:rPr>
        <w:t>内向乙方支付</w:t>
      </w:r>
      <w:r>
        <w:rPr>
          <w:rFonts w:hint="eastAsia" w:ascii="宋体" w:hAnsi="宋体" w:eastAsia="宋体" w:cs="宋体"/>
          <w:sz w:val="24"/>
          <w:lang w:val="en-US" w:eastAsia="zh-CN"/>
        </w:rPr>
        <w:t>全部</w:t>
      </w:r>
      <w:r>
        <w:rPr>
          <w:rFonts w:ascii="宋体" w:hAnsi="宋体" w:eastAsia="宋体" w:cs="宋体"/>
          <w:sz w:val="24"/>
        </w:rPr>
        <w:t>价款。</w:t>
      </w:r>
    </w:p>
    <w:p>
      <w:pPr>
        <w:pStyle w:val="2"/>
        <w:spacing w:line="360" w:lineRule="auto"/>
        <w:ind w:firstLine="0" w:firstLineChars="0"/>
        <w:rPr>
          <w:sz w:val="24"/>
        </w:rPr>
      </w:pPr>
      <w:r>
        <w:rPr>
          <w:rFonts w:hint="eastAsia" w:ascii="宋体" w:hAnsi="宋体" w:eastAsia="宋体" w:cs="宋体"/>
          <w:b/>
          <w:bCs/>
          <w:sz w:val="24"/>
        </w:rPr>
        <w:t>五、质保期≥3年</w:t>
      </w:r>
      <w:r>
        <w:rPr>
          <w:rFonts w:hint="eastAsia"/>
          <w:b/>
          <w:bCs/>
          <w:sz w:val="24"/>
        </w:rPr>
        <w:t>（自交货验收合格之日起计）。</w:t>
      </w:r>
    </w:p>
    <w:p>
      <w:pPr>
        <w:pStyle w:val="2"/>
        <w:spacing w:line="360" w:lineRule="auto"/>
        <w:ind w:firstLine="0" w:firstLineChars="0"/>
        <w:rPr>
          <w:rFonts w:ascii="宋体" w:hAnsi="宋体" w:eastAsia="宋体" w:cs="宋体"/>
          <w:b/>
          <w:bCs/>
          <w:sz w:val="24"/>
        </w:rPr>
      </w:pPr>
      <w:r>
        <w:rPr>
          <w:rFonts w:hint="eastAsia" w:ascii="宋体" w:hAnsi="宋体" w:eastAsia="宋体" w:cs="宋体"/>
          <w:b/>
          <w:bCs/>
          <w:sz w:val="24"/>
        </w:rPr>
        <w:t>六、交货期：合同签订后</w:t>
      </w:r>
      <w:r>
        <w:rPr>
          <w:rFonts w:hint="eastAsia" w:ascii="宋体" w:hAnsi="宋体" w:eastAsia="宋体" w:cs="宋体"/>
          <w:b/>
          <w:bCs/>
          <w:sz w:val="24"/>
          <w:u w:val="single"/>
        </w:rPr>
        <w:t xml:space="preserve"> 10 </w:t>
      </w:r>
      <w:r>
        <w:rPr>
          <w:rFonts w:hint="eastAsia" w:ascii="宋体" w:hAnsi="宋体" w:eastAsia="宋体" w:cs="宋体"/>
          <w:b/>
          <w:bCs/>
          <w:sz w:val="24"/>
        </w:rPr>
        <w:t>个工作日内。</w:t>
      </w:r>
    </w:p>
    <w:p>
      <w:pPr>
        <w:pStyle w:val="2"/>
        <w:spacing w:line="360" w:lineRule="auto"/>
        <w:ind w:firstLine="0" w:firstLineChars="0"/>
        <w:rPr>
          <w:b/>
          <w:bCs/>
          <w:sz w:val="24"/>
        </w:rPr>
      </w:pPr>
      <w:r>
        <w:rPr>
          <w:rFonts w:hint="eastAsia"/>
          <w:b/>
          <w:bCs/>
          <w:sz w:val="24"/>
          <w:lang w:val="en-US" w:eastAsia="zh-CN"/>
        </w:rPr>
        <w:t>七</w:t>
      </w:r>
      <w:r>
        <w:rPr>
          <w:rFonts w:hint="eastAsia"/>
          <w:b/>
          <w:bCs/>
          <w:sz w:val="24"/>
        </w:rPr>
        <w:t>、质量保证及售后服务</w:t>
      </w:r>
    </w:p>
    <w:p>
      <w:pPr>
        <w:pStyle w:val="2"/>
        <w:spacing w:line="360" w:lineRule="auto"/>
        <w:ind w:firstLine="480"/>
        <w:rPr>
          <w:sz w:val="24"/>
        </w:rPr>
      </w:pPr>
      <w:r>
        <w:rPr>
          <w:rFonts w:hint="eastAsia"/>
          <w:sz w:val="24"/>
        </w:rPr>
        <w:t>1、所供应的商品是最新生产的符合国家技术规格和质量标准的出厂原装合格产品。</w:t>
      </w:r>
    </w:p>
    <w:p>
      <w:pPr>
        <w:pStyle w:val="2"/>
        <w:spacing w:line="360" w:lineRule="auto"/>
        <w:ind w:firstLine="480"/>
        <w:rPr>
          <w:sz w:val="24"/>
        </w:rPr>
      </w:pPr>
      <w:r>
        <w:rPr>
          <w:rFonts w:hint="eastAsia"/>
          <w:sz w:val="24"/>
        </w:rPr>
        <w:t>2、所提供的货物在质保期内因货物本身发生质量问题的</w:t>
      </w:r>
      <w:r>
        <w:rPr>
          <w:rFonts w:hint="eastAsia"/>
          <w:color w:val="000000" w:themeColor="text1"/>
          <w:sz w:val="24"/>
          <w14:textFill>
            <w14:solidFill>
              <w14:schemeClr w14:val="tx1"/>
            </w14:solidFill>
          </w14:textFill>
        </w:rPr>
        <w:t>，供应商应负责免费更换配件</w:t>
      </w:r>
      <w:r>
        <w:rPr>
          <w:rFonts w:hint="eastAsia"/>
          <w:sz w:val="24"/>
        </w:rPr>
        <w:t>。对达不到质量要求者，根据实际情况，经双方协商，可按以下办法处理：</w:t>
      </w:r>
    </w:p>
    <w:p>
      <w:pPr>
        <w:pStyle w:val="2"/>
        <w:spacing w:line="360" w:lineRule="auto"/>
        <w:ind w:firstLine="480"/>
        <w:rPr>
          <w:sz w:val="24"/>
        </w:rPr>
      </w:pPr>
      <w:r>
        <w:rPr>
          <w:rFonts w:hint="eastAsia"/>
          <w:sz w:val="24"/>
        </w:rPr>
        <w:t>（1）更换：由乙方承担所发生的全部费用。</w:t>
      </w:r>
    </w:p>
    <w:p>
      <w:pPr>
        <w:pStyle w:val="2"/>
        <w:spacing w:line="360" w:lineRule="auto"/>
        <w:ind w:firstLine="480"/>
        <w:rPr>
          <w:sz w:val="24"/>
        </w:rPr>
      </w:pPr>
      <w:r>
        <w:rPr>
          <w:rFonts w:hint="eastAsia"/>
          <w:sz w:val="24"/>
        </w:rPr>
        <w:t>（2）贬值处理：由甲乙双方合议定价。</w:t>
      </w:r>
    </w:p>
    <w:p>
      <w:pPr>
        <w:pStyle w:val="2"/>
        <w:spacing w:line="360" w:lineRule="auto"/>
        <w:ind w:firstLine="480"/>
        <w:rPr>
          <w:sz w:val="24"/>
        </w:rPr>
      </w:pPr>
      <w:r>
        <w:rPr>
          <w:rFonts w:hint="eastAsia"/>
          <w:sz w:val="24"/>
        </w:rPr>
        <w:t>（3）退货处理：乙方应退还甲方支付的合同款，同时应承担该货物的直接费用（运输、保险、检验、货款利息及银行手续费等）。</w:t>
      </w:r>
    </w:p>
    <w:p>
      <w:pPr>
        <w:pStyle w:val="2"/>
        <w:spacing w:line="360" w:lineRule="auto"/>
        <w:ind w:firstLine="480"/>
        <w:rPr>
          <w:sz w:val="24"/>
        </w:rPr>
      </w:pPr>
      <w:r>
        <w:rPr>
          <w:rFonts w:hint="eastAsia"/>
          <w:sz w:val="24"/>
        </w:rPr>
        <w:t>3、在质保期内，乙方应对货物出现的质量及安全问题负责处理解决并承担一切费用。</w:t>
      </w:r>
    </w:p>
    <w:p>
      <w:pPr>
        <w:pStyle w:val="2"/>
        <w:spacing w:line="360" w:lineRule="auto"/>
        <w:ind w:firstLine="0" w:firstLineChars="0"/>
        <w:rPr>
          <w:b/>
          <w:bCs/>
          <w:sz w:val="24"/>
        </w:rPr>
      </w:pPr>
      <w:r>
        <w:rPr>
          <w:rFonts w:hint="eastAsia"/>
          <w:b/>
          <w:bCs/>
          <w:sz w:val="24"/>
          <w:lang w:val="en-US" w:eastAsia="zh-CN"/>
        </w:rPr>
        <w:t>八</w:t>
      </w:r>
      <w:r>
        <w:rPr>
          <w:rFonts w:hint="eastAsia"/>
          <w:b/>
          <w:bCs/>
          <w:sz w:val="24"/>
        </w:rPr>
        <w:t>、</w:t>
      </w:r>
      <w:r>
        <w:rPr>
          <w:b/>
          <w:bCs/>
          <w:sz w:val="24"/>
        </w:rPr>
        <w:t>货物的到货、安装、调试和验收</w:t>
      </w:r>
    </w:p>
    <w:p>
      <w:pPr>
        <w:pStyle w:val="2"/>
        <w:spacing w:line="360" w:lineRule="auto"/>
        <w:ind w:firstLine="480"/>
        <w:rPr>
          <w:sz w:val="24"/>
        </w:rPr>
      </w:pPr>
      <w:r>
        <w:rPr>
          <w:rFonts w:hint="eastAsia"/>
          <w:sz w:val="24"/>
        </w:rPr>
        <w:t>1、</w:t>
      </w:r>
      <w:r>
        <w:rPr>
          <w:sz w:val="24"/>
        </w:rPr>
        <w:t xml:space="preserve">到货 </w:t>
      </w:r>
    </w:p>
    <w:p>
      <w:pPr>
        <w:pStyle w:val="2"/>
        <w:spacing w:line="360" w:lineRule="auto"/>
        <w:ind w:firstLine="480"/>
        <w:rPr>
          <w:sz w:val="24"/>
        </w:rPr>
      </w:pPr>
      <w:r>
        <w:rPr>
          <w:sz w:val="24"/>
        </w:rPr>
        <w:t>卖方必须在合同规定的时间内完成货物的供货。货物到达现场后，卖方必须派员到现场与买方一起开箱并按供货清单验收</w:t>
      </w:r>
      <w:r>
        <w:rPr>
          <w:rFonts w:hint="eastAsia"/>
          <w:sz w:val="24"/>
        </w:rPr>
        <w:t>，</w:t>
      </w:r>
      <w:r>
        <w:rPr>
          <w:sz w:val="24"/>
        </w:rPr>
        <w:t>若有缺少或损坏，卖方应立即补足或更换全新同规格产品，直至买方满意为止。</w:t>
      </w:r>
    </w:p>
    <w:p>
      <w:pPr>
        <w:pStyle w:val="2"/>
        <w:spacing w:line="360" w:lineRule="auto"/>
        <w:ind w:firstLine="480"/>
        <w:rPr>
          <w:sz w:val="24"/>
        </w:rPr>
      </w:pPr>
      <w:r>
        <w:rPr>
          <w:sz w:val="24"/>
        </w:rPr>
        <w:t>2</w:t>
      </w:r>
      <w:r>
        <w:rPr>
          <w:rFonts w:hint="eastAsia"/>
          <w:sz w:val="24"/>
        </w:rPr>
        <w:t>、</w:t>
      </w:r>
      <w:r>
        <w:rPr>
          <w:sz w:val="24"/>
        </w:rPr>
        <w:t>安装</w:t>
      </w:r>
    </w:p>
    <w:p>
      <w:pPr>
        <w:pStyle w:val="2"/>
        <w:spacing w:line="360" w:lineRule="auto"/>
        <w:ind w:firstLine="480"/>
        <w:rPr>
          <w:sz w:val="24"/>
        </w:rPr>
      </w:pPr>
      <w:r>
        <w:rPr>
          <w:sz w:val="24"/>
        </w:rPr>
        <w:t>2.1</w:t>
      </w:r>
      <w:r>
        <w:rPr>
          <w:rFonts w:hint="eastAsia"/>
          <w:sz w:val="24"/>
        </w:rPr>
        <w:t xml:space="preserve">  </w:t>
      </w:r>
      <w:r>
        <w:rPr>
          <w:sz w:val="24"/>
        </w:rPr>
        <w:t>货物到达买方指定地点后，卖方应按买方规定的日期指派工程技术人员对货物进行安装调试，直至通过验收。货物的安装调试及现场培训应在合同规定的期限内完成。</w:t>
      </w:r>
    </w:p>
    <w:p>
      <w:pPr>
        <w:pStyle w:val="2"/>
        <w:spacing w:line="360" w:lineRule="auto"/>
        <w:ind w:firstLine="480"/>
        <w:rPr>
          <w:sz w:val="24"/>
        </w:rPr>
      </w:pPr>
      <w:r>
        <w:rPr>
          <w:sz w:val="24"/>
        </w:rPr>
        <w:t>2.2  设备的安装必须符合有关标准和规范。安装过程中买方将对货物的安装质量进行监督。</w:t>
      </w:r>
    </w:p>
    <w:p>
      <w:pPr>
        <w:pStyle w:val="2"/>
        <w:spacing w:line="360" w:lineRule="auto"/>
        <w:ind w:firstLine="480"/>
        <w:rPr>
          <w:sz w:val="24"/>
        </w:rPr>
      </w:pPr>
      <w:r>
        <w:rPr>
          <w:sz w:val="24"/>
        </w:rPr>
        <w:t>3</w:t>
      </w:r>
      <w:r>
        <w:rPr>
          <w:rFonts w:hint="eastAsia"/>
          <w:sz w:val="24"/>
        </w:rPr>
        <w:t>、</w:t>
      </w:r>
      <w:r>
        <w:rPr>
          <w:sz w:val="24"/>
        </w:rPr>
        <w:t>调试</w:t>
      </w:r>
    </w:p>
    <w:p>
      <w:pPr>
        <w:pStyle w:val="2"/>
        <w:spacing w:line="360" w:lineRule="auto"/>
        <w:ind w:firstLine="480"/>
        <w:rPr>
          <w:sz w:val="24"/>
        </w:rPr>
      </w:pPr>
      <w:r>
        <w:rPr>
          <w:sz w:val="24"/>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spacing w:line="360" w:lineRule="auto"/>
        <w:ind w:firstLine="480"/>
        <w:rPr>
          <w:sz w:val="24"/>
        </w:rPr>
      </w:pPr>
      <w:r>
        <w:rPr>
          <w:sz w:val="24"/>
        </w:rPr>
        <w:t>4</w:t>
      </w:r>
      <w:r>
        <w:rPr>
          <w:rFonts w:hint="eastAsia"/>
          <w:sz w:val="24"/>
        </w:rPr>
        <w:t>、</w:t>
      </w:r>
      <w:r>
        <w:rPr>
          <w:sz w:val="24"/>
        </w:rPr>
        <w:t>验收</w:t>
      </w:r>
    </w:p>
    <w:p>
      <w:pPr>
        <w:pStyle w:val="2"/>
        <w:spacing w:line="360" w:lineRule="auto"/>
        <w:ind w:firstLine="480"/>
        <w:rPr>
          <w:sz w:val="24"/>
        </w:rPr>
      </w:pPr>
      <w:r>
        <w:rPr>
          <w:sz w:val="24"/>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spacing w:line="360" w:lineRule="auto"/>
        <w:ind w:firstLine="480"/>
        <w:rPr>
          <w:sz w:val="24"/>
        </w:rPr>
      </w:pPr>
      <w:r>
        <w:rPr>
          <w:sz w:val="24"/>
        </w:rPr>
        <w:t>5</w:t>
      </w:r>
      <w:r>
        <w:rPr>
          <w:rFonts w:hint="eastAsia"/>
          <w:sz w:val="24"/>
        </w:rPr>
        <w:t>、</w:t>
      </w:r>
      <w:r>
        <w:rPr>
          <w:sz w:val="24"/>
        </w:rPr>
        <w:t>若因卖方产品质量或安装技术问题导致货物二次验收都不合格，买方有权选择退货，并保留向卖方索赔的权利。</w:t>
      </w:r>
    </w:p>
    <w:p>
      <w:pPr>
        <w:pStyle w:val="2"/>
        <w:spacing w:line="360" w:lineRule="auto"/>
        <w:ind w:firstLine="480"/>
        <w:rPr>
          <w:sz w:val="24"/>
        </w:rPr>
      </w:pPr>
      <w:r>
        <w:rPr>
          <w:sz w:val="24"/>
        </w:rPr>
        <w:t>6</w:t>
      </w:r>
      <w:r>
        <w:rPr>
          <w:rFonts w:hint="eastAsia"/>
          <w:sz w:val="24"/>
        </w:rPr>
        <w:t>、</w:t>
      </w:r>
      <w:r>
        <w:rPr>
          <w:sz w:val="24"/>
        </w:rPr>
        <w:t>卖方在货物到货、安装、调试和验收期间应接受买方的协调和管理，卖方应采取严格的防范措施，承担由于自身原因所造成的事故责任及其发生的一切费用。</w:t>
      </w:r>
    </w:p>
    <w:p>
      <w:pPr>
        <w:pStyle w:val="2"/>
        <w:spacing w:line="360" w:lineRule="auto"/>
        <w:ind w:firstLine="0" w:firstLineChars="0"/>
        <w:rPr>
          <w:b/>
          <w:bCs/>
          <w:sz w:val="24"/>
        </w:rPr>
      </w:pPr>
      <w:r>
        <w:rPr>
          <w:rFonts w:hint="eastAsia"/>
          <w:b/>
          <w:bCs/>
          <w:sz w:val="24"/>
          <w:lang w:val="en-US" w:eastAsia="zh-CN"/>
        </w:rPr>
        <w:t>九</w:t>
      </w:r>
      <w:r>
        <w:rPr>
          <w:rFonts w:hint="eastAsia"/>
          <w:b/>
          <w:bCs/>
          <w:sz w:val="24"/>
        </w:rPr>
        <w:t>、</w:t>
      </w:r>
      <w:r>
        <w:rPr>
          <w:b/>
          <w:bCs/>
          <w:sz w:val="24"/>
        </w:rPr>
        <w:t>技术服务</w:t>
      </w:r>
    </w:p>
    <w:p>
      <w:pPr>
        <w:pStyle w:val="2"/>
        <w:spacing w:line="360" w:lineRule="auto"/>
        <w:ind w:firstLine="480"/>
        <w:rPr>
          <w:sz w:val="24"/>
        </w:rPr>
      </w:pPr>
      <w:r>
        <w:rPr>
          <w:sz w:val="24"/>
        </w:rPr>
        <w:t>1</w:t>
      </w:r>
      <w:r>
        <w:rPr>
          <w:rFonts w:hint="eastAsia"/>
          <w:sz w:val="24"/>
        </w:rPr>
        <w:t>、</w:t>
      </w:r>
      <w:r>
        <w:rPr>
          <w:sz w:val="24"/>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spacing w:line="360" w:lineRule="auto"/>
        <w:ind w:firstLine="480"/>
        <w:rPr>
          <w:sz w:val="24"/>
        </w:rPr>
      </w:pPr>
      <w:r>
        <w:rPr>
          <w:rFonts w:hint="eastAsia"/>
          <w:sz w:val="24"/>
        </w:rPr>
        <w:t>2、</w:t>
      </w:r>
      <w:r>
        <w:rPr>
          <w:sz w:val="24"/>
        </w:rPr>
        <w:t>质保期满后，卖方工程技术、维修人员也须不定期的进行回访，并为买方提供优质、优价的终身维修和产品维护保养。</w:t>
      </w:r>
    </w:p>
    <w:p>
      <w:pPr>
        <w:pStyle w:val="2"/>
        <w:spacing w:line="360" w:lineRule="auto"/>
        <w:ind w:firstLine="0" w:firstLineChars="0"/>
        <w:rPr>
          <w:b/>
          <w:bCs/>
          <w:sz w:val="24"/>
        </w:rPr>
      </w:pPr>
      <w:r>
        <w:rPr>
          <w:rFonts w:hint="eastAsia"/>
          <w:b/>
          <w:bCs/>
          <w:sz w:val="24"/>
        </w:rPr>
        <w:t>十</w:t>
      </w:r>
      <w:r>
        <w:rPr>
          <w:b/>
          <w:bCs/>
          <w:sz w:val="24"/>
        </w:rPr>
        <w:t>、</w:t>
      </w:r>
      <w:r>
        <w:rPr>
          <w:rFonts w:hint="eastAsia"/>
          <w:b/>
          <w:bCs/>
          <w:sz w:val="24"/>
        </w:rPr>
        <w:t>合同签署-</w:t>
      </w:r>
      <w:r>
        <w:rPr>
          <w:b/>
          <w:bCs/>
          <w:sz w:val="24"/>
        </w:rPr>
        <w:t>违约责任</w:t>
      </w:r>
    </w:p>
    <w:p>
      <w:pPr>
        <w:pStyle w:val="2"/>
        <w:spacing w:line="360" w:lineRule="auto"/>
        <w:ind w:firstLine="480"/>
        <w:rPr>
          <w:rFonts w:ascii="宋体" w:hAnsi="宋体" w:eastAsia="宋体" w:cs="宋体"/>
          <w:sz w:val="24"/>
        </w:rPr>
      </w:pPr>
      <w:r>
        <w:rPr>
          <w:rFonts w:hint="eastAsia" w:ascii="宋体" w:hAnsi="宋体" w:eastAsia="宋体" w:cs="宋体"/>
          <w:sz w:val="24"/>
        </w:rPr>
        <w:t>1、甲方无正当理由拒收货物的，甲方向乙方偿付拒收货款总值的 百分之五 违约金。</w:t>
      </w:r>
    </w:p>
    <w:p>
      <w:pPr>
        <w:pStyle w:val="2"/>
        <w:spacing w:line="360" w:lineRule="auto"/>
        <w:ind w:firstLine="480"/>
        <w:rPr>
          <w:rFonts w:ascii="宋体" w:hAnsi="宋体" w:eastAsia="宋体" w:cs="宋体"/>
          <w:sz w:val="24"/>
        </w:rPr>
      </w:pPr>
      <w:r>
        <w:rPr>
          <w:rFonts w:hint="eastAsia" w:ascii="宋体" w:hAnsi="宋体" w:eastAsia="宋体" w:cs="宋体"/>
          <w:sz w:val="24"/>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2"/>
        <w:spacing w:line="360" w:lineRule="auto"/>
        <w:ind w:firstLine="480"/>
        <w:rPr>
          <w:rFonts w:ascii="宋体" w:hAnsi="宋体" w:eastAsia="宋体" w:cs="宋体"/>
          <w:sz w:val="24"/>
        </w:rPr>
      </w:pPr>
      <w:r>
        <w:rPr>
          <w:rFonts w:hint="eastAsia" w:ascii="宋体" w:hAnsi="宋体" w:eastAsia="宋体" w:cs="宋体"/>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line="360" w:lineRule="auto"/>
        <w:ind w:firstLine="480"/>
        <w:rPr>
          <w:rFonts w:ascii="宋体" w:hAnsi="宋体" w:eastAsia="宋体" w:cs="宋体"/>
          <w:sz w:val="24"/>
        </w:rPr>
      </w:pPr>
      <w:r>
        <w:rPr>
          <w:rFonts w:hint="eastAsia" w:ascii="宋体" w:hAnsi="宋体" w:eastAsia="宋体" w:cs="宋体"/>
          <w:sz w:val="24"/>
        </w:rPr>
        <w:t>4、由于乙方所提供的货物存在问题，给第三人人身或财产造成损害的，由乙方承担赔偿责任。若甲方承担赔偿责任后，有权向乙方追偿，包括但不限于律师费、诉讼费、交通费等。</w:t>
      </w:r>
    </w:p>
    <w:p>
      <w:pPr>
        <w:pStyle w:val="2"/>
        <w:spacing w:line="360" w:lineRule="auto"/>
        <w:ind w:firstLine="0" w:firstLineChars="0"/>
        <w:rPr>
          <w:b/>
          <w:bCs/>
          <w:sz w:val="24"/>
        </w:rPr>
      </w:pPr>
      <w:r>
        <w:rPr>
          <w:rFonts w:hint="eastAsia"/>
          <w:b/>
          <w:bCs/>
          <w:sz w:val="24"/>
        </w:rPr>
        <w:t>十</w:t>
      </w:r>
      <w:r>
        <w:rPr>
          <w:rFonts w:hint="eastAsia"/>
          <w:b/>
          <w:bCs/>
          <w:sz w:val="24"/>
          <w:lang w:val="en-US" w:eastAsia="zh-CN"/>
        </w:rPr>
        <w:t>一</w:t>
      </w:r>
      <w:r>
        <w:rPr>
          <w:b/>
          <w:bCs/>
          <w:sz w:val="24"/>
        </w:rPr>
        <w:t>、</w:t>
      </w:r>
      <w:r>
        <w:rPr>
          <w:rFonts w:hint="eastAsia"/>
          <w:b/>
          <w:bCs/>
          <w:sz w:val="24"/>
        </w:rPr>
        <w:t>合同签署-</w:t>
      </w:r>
      <w:r>
        <w:rPr>
          <w:b/>
          <w:bCs/>
          <w:sz w:val="24"/>
        </w:rPr>
        <w:t>不可抗力事件处理</w:t>
      </w:r>
    </w:p>
    <w:p>
      <w:pPr>
        <w:pStyle w:val="2"/>
        <w:spacing w:line="360" w:lineRule="auto"/>
        <w:ind w:firstLine="480"/>
        <w:rPr>
          <w:rFonts w:ascii="宋体" w:hAnsi="宋体" w:eastAsia="宋体" w:cs="宋体"/>
          <w:sz w:val="24"/>
        </w:rPr>
      </w:pPr>
      <w:r>
        <w:rPr>
          <w:rFonts w:hint="eastAsia" w:ascii="宋体" w:hAnsi="宋体" w:eastAsia="宋体" w:cs="宋体"/>
          <w:sz w:val="24"/>
        </w:rPr>
        <w:t>1、在合同有效期内，任何一方因不可抗力事件导致不能履行合同，则合同履行期可延长，其延长期与不可抗力影响期相同。</w:t>
      </w:r>
    </w:p>
    <w:p>
      <w:pPr>
        <w:pStyle w:val="2"/>
        <w:spacing w:line="360" w:lineRule="auto"/>
        <w:ind w:firstLine="480"/>
        <w:rPr>
          <w:rFonts w:ascii="宋体" w:hAnsi="宋体" w:eastAsia="宋体" w:cs="宋体"/>
          <w:sz w:val="24"/>
        </w:rPr>
      </w:pPr>
      <w:r>
        <w:rPr>
          <w:rFonts w:hint="eastAsia" w:ascii="宋体" w:hAnsi="宋体" w:eastAsia="宋体" w:cs="宋体"/>
          <w:sz w:val="24"/>
        </w:rPr>
        <w:t>2、不可抗力事件发生后，应立即通知对方，并寄送有关权威机构出具的证明。</w:t>
      </w:r>
    </w:p>
    <w:p>
      <w:pPr>
        <w:pStyle w:val="2"/>
        <w:spacing w:line="360" w:lineRule="auto"/>
        <w:ind w:firstLine="480"/>
        <w:rPr>
          <w:rFonts w:ascii="宋体" w:hAnsi="宋体" w:eastAsia="宋体" w:cs="宋体"/>
          <w:sz w:val="24"/>
        </w:rPr>
      </w:pPr>
      <w:r>
        <w:rPr>
          <w:rFonts w:hint="eastAsia" w:ascii="宋体" w:hAnsi="宋体" w:eastAsia="宋体" w:cs="宋体"/>
          <w:sz w:val="24"/>
        </w:rPr>
        <w:t>3、不可抗力事件延续 120天以上，双方应通过友好协商，确定是否继续履行合同。</w:t>
      </w:r>
    </w:p>
    <w:p>
      <w:pPr>
        <w:pStyle w:val="2"/>
        <w:spacing w:line="360" w:lineRule="auto"/>
        <w:ind w:firstLine="0" w:firstLineChars="0"/>
        <w:rPr>
          <w:b/>
          <w:bCs/>
          <w:sz w:val="24"/>
        </w:rPr>
      </w:pPr>
      <w:r>
        <w:rPr>
          <w:rFonts w:hint="eastAsia"/>
          <w:b/>
          <w:bCs/>
          <w:sz w:val="24"/>
        </w:rPr>
        <w:t>十</w:t>
      </w:r>
      <w:r>
        <w:rPr>
          <w:rFonts w:hint="eastAsia"/>
          <w:b/>
          <w:bCs/>
          <w:sz w:val="24"/>
          <w:lang w:val="en-US" w:eastAsia="zh-CN"/>
        </w:rPr>
        <w:t>二</w:t>
      </w:r>
      <w:r>
        <w:rPr>
          <w:b/>
          <w:bCs/>
          <w:sz w:val="24"/>
        </w:rPr>
        <w:t>、</w:t>
      </w:r>
      <w:r>
        <w:rPr>
          <w:rFonts w:hint="eastAsia"/>
          <w:b/>
          <w:bCs/>
          <w:sz w:val="24"/>
        </w:rPr>
        <w:t>合同签署-</w:t>
      </w:r>
      <w:r>
        <w:rPr>
          <w:b/>
          <w:bCs/>
          <w:sz w:val="24"/>
        </w:rPr>
        <w:t>诉讼</w:t>
      </w:r>
    </w:p>
    <w:p>
      <w:pPr>
        <w:pStyle w:val="2"/>
        <w:spacing w:line="360" w:lineRule="auto"/>
        <w:ind w:firstLine="480"/>
        <w:rPr>
          <w:sz w:val="24"/>
        </w:rPr>
      </w:pPr>
      <w:r>
        <w:rPr>
          <w:sz w:val="24"/>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3752A"/>
    <w:rsid w:val="0007646E"/>
    <w:rsid w:val="000820D6"/>
    <w:rsid w:val="000A3337"/>
    <w:rsid w:val="00153080"/>
    <w:rsid w:val="002929F8"/>
    <w:rsid w:val="002A0406"/>
    <w:rsid w:val="003716AE"/>
    <w:rsid w:val="003B541A"/>
    <w:rsid w:val="003C2922"/>
    <w:rsid w:val="00451F64"/>
    <w:rsid w:val="004A3E8A"/>
    <w:rsid w:val="004B30B6"/>
    <w:rsid w:val="004B7824"/>
    <w:rsid w:val="00545086"/>
    <w:rsid w:val="00690211"/>
    <w:rsid w:val="007373BC"/>
    <w:rsid w:val="00752323"/>
    <w:rsid w:val="008532D6"/>
    <w:rsid w:val="00A02A37"/>
    <w:rsid w:val="00A457FA"/>
    <w:rsid w:val="00B5443E"/>
    <w:rsid w:val="00C7313D"/>
    <w:rsid w:val="00DF1AFF"/>
    <w:rsid w:val="00EA6BC3"/>
    <w:rsid w:val="00F0269D"/>
    <w:rsid w:val="00F10DFD"/>
    <w:rsid w:val="00F6595E"/>
    <w:rsid w:val="04684506"/>
    <w:rsid w:val="048055C5"/>
    <w:rsid w:val="05255951"/>
    <w:rsid w:val="07BD311A"/>
    <w:rsid w:val="10C71F5A"/>
    <w:rsid w:val="12900868"/>
    <w:rsid w:val="12A74BF4"/>
    <w:rsid w:val="12F9465F"/>
    <w:rsid w:val="18723700"/>
    <w:rsid w:val="1D3C515C"/>
    <w:rsid w:val="1D577421"/>
    <w:rsid w:val="209B4FA7"/>
    <w:rsid w:val="21DA0877"/>
    <w:rsid w:val="252217F3"/>
    <w:rsid w:val="2844267A"/>
    <w:rsid w:val="2921523E"/>
    <w:rsid w:val="2AC41535"/>
    <w:rsid w:val="2EBF307B"/>
    <w:rsid w:val="2F410144"/>
    <w:rsid w:val="2F523A97"/>
    <w:rsid w:val="321150C9"/>
    <w:rsid w:val="3AB111F7"/>
    <w:rsid w:val="3DD35929"/>
    <w:rsid w:val="3EC97C4B"/>
    <w:rsid w:val="41192A66"/>
    <w:rsid w:val="420C188F"/>
    <w:rsid w:val="44553C00"/>
    <w:rsid w:val="45B542E5"/>
    <w:rsid w:val="48C84ABD"/>
    <w:rsid w:val="4B501BFA"/>
    <w:rsid w:val="517F67D1"/>
    <w:rsid w:val="53837859"/>
    <w:rsid w:val="55F21B8A"/>
    <w:rsid w:val="56385053"/>
    <w:rsid w:val="5A0F768E"/>
    <w:rsid w:val="5FC85836"/>
    <w:rsid w:val="5FF94923"/>
    <w:rsid w:val="62AF7ACD"/>
    <w:rsid w:val="62F51FB2"/>
    <w:rsid w:val="63AB6D47"/>
    <w:rsid w:val="670F2ED6"/>
    <w:rsid w:val="68AC65E3"/>
    <w:rsid w:val="6EAD47D5"/>
    <w:rsid w:val="6EBC5A77"/>
    <w:rsid w:val="71992B0C"/>
    <w:rsid w:val="71C32FE3"/>
    <w:rsid w:val="7479583A"/>
    <w:rsid w:val="747B3DF6"/>
    <w:rsid w:val="765A5288"/>
    <w:rsid w:val="7F8E4C30"/>
    <w:rsid w:val="7FE11989"/>
    <w:rsid w:val="EFFBB5E9"/>
    <w:rsid w:val="FF5F50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2"/>
    <w:autoRedefine/>
    <w:qFormat/>
    <w:uiPriority w:val="0"/>
    <w:pPr>
      <w:ind w:firstLine="555"/>
    </w:pPr>
  </w:style>
  <w:style w:type="paragraph" w:styleId="4">
    <w:name w:val="Normal Indent"/>
    <w:basedOn w:val="1"/>
    <w:next w:val="3"/>
    <w:autoRedefine/>
    <w:qFormat/>
    <w:uiPriority w:val="0"/>
    <w:pPr>
      <w:ind w:firstLine="420"/>
    </w:pPr>
    <w:rPr>
      <w:szCs w:val="20"/>
    </w:rPr>
  </w:style>
  <w:style w:type="paragraph" w:styleId="5">
    <w:name w:val="annotation text"/>
    <w:basedOn w:val="1"/>
    <w:link w:val="14"/>
    <w:autoRedefine/>
    <w:qFormat/>
    <w:uiPriority w:val="0"/>
    <w:pPr>
      <w:jc w:val="left"/>
    </w:pPr>
  </w:style>
  <w:style w:type="paragraph" w:styleId="6">
    <w:name w:val="Body Text"/>
    <w:basedOn w:val="1"/>
    <w:next w:val="1"/>
    <w:autoRedefine/>
    <w:qFormat/>
    <w:uiPriority w:val="0"/>
    <w:pPr>
      <w:spacing w:after="120"/>
    </w:pPr>
  </w:style>
  <w:style w:type="paragraph" w:styleId="7">
    <w:name w:val="Balloon Text"/>
    <w:basedOn w:val="1"/>
    <w:link w:val="13"/>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w:basedOn w:val="6"/>
    <w:autoRedefine/>
    <w:qFormat/>
    <w:uiPriority w:val="0"/>
    <w:pPr>
      <w:ind w:firstLine="420" w:firstLineChars="100"/>
    </w:pPr>
  </w:style>
  <w:style w:type="character" w:customStyle="1" w:styleId="13">
    <w:name w:val="批注框文本 字符"/>
    <w:basedOn w:val="12"/>
    <w:link w:val="7"/>
    <w:autoRedefine/>
    <w:qFormat/>
    <w:uiPriority w:val="0"/>
    <w:rPr>
      <w:rFonts w:asciiTheme="minorHAnsi" w:hAnsiTheme="minorHAnsi" w:eastAsiaTheme="minorEastAsia" w:cstheme="minorBidi"/>
      <w:kern w:val="2"/>
      <w:sz w:val="18"/>
      <w:szCs w:val="18"/>
    </w:rPr>
  </w:style>
  <w:style w:type="character" w:customStyle="1" w:styleId="14">
    <w:name w:val="批注文字 字符"/>
    <w:basedOn w:val="12"/>
    <w:link w:val="5"/>
    <w:autoRedefine/>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940</Words>
  <Characters>5358</Characters>
  <Lines>44</Lines>
  <Paragraphs>12</Paragraphs>
  <TotalTime>28</TotalTime>
  <ScaleCrop>false</ScaleCrop>
  <LinksUpToDate>false</LinksUpToDate>
  <CharactersWithSpaces>6286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2022-04-15T18:54:00Z</dcterms:created>
  <dc:creator>1</dc:creator>
  <cp:lastModifiedBy>市渔业应急处置指挥中心</cp:lastModifiedBy>
  <dcterms:modified xsi:type="dcterms:W3CDTF">2025-08-14T02:22:00Z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