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40"/>
        </w:tabs>
        <w:adjustRightInd/>
        <w:snapToGrid/>
        <w:spacing w:before="120" w:after="120" w:line="240" w:lineRule="auto"/>
        <w:jc w:val="center"/>
        <w:rPr>
          <w:rFonts w:hint="eastAsia"/>
          <w:b/>
          <w:bCs/>
          <w:sz w:val="40"/>
          <w:szCs w:val="40"/>
        </w:rPr>
      </w:pPr>
      <w:bookmarkStart w:id="0" w:name="_Toc451522337"/>
      <w:r>
        <w:rPr>
          <w:rFonts w:hint="eastAsia" w:ascii="宋体" w:hAnsi="宋体" w:eastAsia="宋体" w:cs="宋体"/>
          <w:color w:val="000000"/>
          <w:sz w:val="40"/>
          <w:szCs w:val="40"/>
        </w:rPr>
        <w:t>温州市中医院</w:t>
      </w:r>
      <w:bookmarkEnd w:id="0"/>
      <w:r>
        <w:rPr>
          <w:rFonts w:hint="eastAsia" w:hAnsi="宋体" w:cs="宋体"/>
          <w:color w:val="000000"/>
          <w:sz w:val="40"/>
          <w:szCs w:val="40"/>
          <w:lang w:val="en-US" w:eastAsia="zh-CN"/>
        </w:rPr>
        <w:t>手动双摇病床采购</w:t>
      </w:r>
      <w:r>
        <w:rPr>
          <w:rFonts w:hint="eastAsia" w:ascii="宋体" w:hAnsi="宋体" w:eastAsia="宋体" w:cs="宋体"/>
          <w:color w:val="000000"/>
          <w:sz w:val="40"/>
          <w:szCs w:val="40"/>
          <w:lang w:val="en-US" w:eastAsia="zh-CN"/>
        </w:rPr>
        <w:t>文件</w:t>
      </w:r>
    </w:p>
    <w:p>
      <w:pPr>
        <w:spacing w:line="360" w:lineRule="auto"/>
        <w:rPr>
          <w:rFonts w:hint="eastAsia"/>
          <w:b/>
          <w:bCs/>
          <w:sz w:val="24"/>
          <w:szCs w:val="24"/>
        </w:rPr>
      </w:pPr>
      <w:r>
        <w:rPr>
          <w:rFonts w:hint="eastAsia"/>
          <w:b/>
          <w:bCs/>
          <w:sz w:val="24"/>
          <w:szCs w:val="24"/>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t>项目名称</w:t>
      </w:r>
      <w:r>
        <w:rPr>
          <w:rFonts w:hint="eastAsia" w:ascii="宋体" w:hAnsi="宋体" w:eastAsia="宋体" w:cs="宋体"/>
          <w:sz w:val="21"/>
          <w:szCs w:val="21"/>
        </w:rPr>
        <w:t>：</w:t>
      </w:r>
      <w:bookmarkStart w:id="1" w:name="OLE_LINK2"/>
      <w:bookmarkStart w:id="2" w:name="OLE_LINK4"/>
      <w:r>
        <w:rPr>
          <w:rFonts w:hint="eastAsia" w:ascii="宋体" w:hAnsi="宋体" w:eastAsia="宋体" w:cs="宋体"/>
          <w:sz w:val="21"/>
          <w:szCs w:val="21"/>
          <w:lang w:val="en-US" w:eastAsia="zh-Hans"/>
        </w:rPr>
        <w:t>温</w:t>
      </w:r>
      <w:r>
        <w:rPr>
          <w:rFonts w:hint="eastAsia" w:ascii="宋体" w:hAnsi="宋体" w:eastAsia="宋体" w:cs="宋体"/>
          <w:b w:val="0"/>
          <w:bCs w:val="0"/>
          <w:sz w:val="21"/>
          <w:szCs w:val="21"/>
          <w:lang w:val="en-US" w:eastAsia="zh-Hans"/>
        </w:rPr>
        <w:t>州市中医院</w:t>
      </w:r>
      <w:bookmarkStart w:id="3" w:name="OLE_LINK1"/>
      <w:r>
        <w:rPr>
          <w:rFonts w:hint="eastAsia"/>
          <w:b w:val="0"/>
          <w:bCs w:val="0"/>
          <w:sz w:val="21"/>
          <w:szCs w:val="21"/>
          <w:lang w:val="en-US" w:eastAsia="zh-CN"/>
        </w:rPr>
        <w:t>手动双摇病床</w:t>
      </w:r>
      <w:bookmarkEnd w:id="1"/>
      <w:r>
        <w:rPr>
          <w:rFonts w:hint="eastAsia"/>
          <w:b w:val="0"/>
          <w:bCs w:val="0"/>
          <w:sz w:val="21"/>
          <w:szCs w:val="21"/>
          <w:lang w:val="en-US" w:eastAsia="zh-CN"/>
        </w:rPr>
        <w:t xml:space="preserve"> </w:t>
      </w:r>
    </w:p>
    <w:bookmarkEnd w:id="2"/>
    <w:bookmarkEnd w:id="3"/>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采购方式：公开遴选（非政府采购）</w:t>
      </w:r>
    </w:p>
    <w:p>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预算金额：15300元</w:t>
      </w:r>
    </w:p>
    <w:tbl>
      <w:tblPr>
        <w:tblStyle w:val="17"/>
        <w:tblpPr w:leftFromText="180" w:rightFromText="180" w:vertAnchor="text" w:horzAnchor="page" w:tblpX="385" w:tblpY="564"/>
        <w:tblOverlap w:val="never"/>
        <w:tblW w:w="16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8"/>
        <w:gridCol w:w="1104"/>
        <w:gridCol w:w="709"/>
        <w:gridCol w:w="737"/>
        <w:gridCol w:w="10104"/>
        <w:gridCol w:w="2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52"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手动双摇病床</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1、外形尺寸：≥</w:t>
            </w:r>
            <w:r>
              <w:rPr>
                <w:rFonts w:hint="eastAsia"/>
                <w:color w:val="000000"/>
                <w:sz w:val="18"/>
                <w:szCs w:val="18"/>
              </w:rPr>
              <w:t>21</w:t>
            </w:r>
            <w:r>
              <w:rPr>
                <w:rFonts w:hint="eastAsia"/>
                <w:color w:val="000000"/>
                <w:sz w:val="18"/>
                <w:szCs w:val="18"/>
                <w:lang w:val="en-US" w:eastAsia="zh-CN"/>
              </w:rPr>
              <w:t>0</w:t>
            </w:r>
            <w:r>
              <w:rPr>
                <w:rFonts w:hint="eastAsia"/>
                <w:color w:val="000000"/>
                <w:sz w:val="18"/>
                <w:szCs w:val="18"/>
              </w:rPr>
              <w:t>0</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w:t>
            </w:r>
            <w:r>
              <w:rPr>
                <w:rFonts w:hint="eastAsia"/>
                <w:color w:val="000000"/>
                <w:sz w:val="18"/>
                <w:szCs w:val="18"/>
              </w:rPr>
              <w:t>含护栏</w:t>
            </w:r>
            <w:r>
              <w:rPr>
                <w:rFonts w:hint="eastAsia"/>
                <w:color w:val="000000"/>
                <w:sz w:val="18"/>
                <w:szCs w:val="18"/>
                <w:lang w:eastAsia="zh-CN"/>
              </w:rPr>
              <w:t>）</w:t>
            </w:r>
            <w:r>
              <w:rPr>
                <w:rFonts w:hint="eastAsia"/>
                <w:color w:val="000000"/>
                <w:sz w:val="18"/>
                <w:szCs w:val="18"/>
              </w:rPr>
              <w:t>1000mm</w:t>
            </w:r>
            <w:r>
              <w:rPr>
                <w:rFonts w:hint="eastAsia" w:ascii="宋体" w:hAnsi="宋体" w:eastAsia="宋体" w:cs="宋体"/>
                <w:i w:val="0"/>
                <w:iCs w:val="0"/>
                <w:color w:val="000000"/>
                <w:kern w:val="0"/>
                <w:sz w:val="18"/>
                <w:szCs w:val="18"/>
                <w:u w:val="none"/>
                <w:lang w:val="en-US" w:eastAsia="zh-CN" w:bidi="ar"/>
              </w:rPr>
              <w:t>×500mm</w:t>
            </w:r>
          </w:p>
          <w:p>
            <w:pPr>
              <w:numPr>
                <w:ilvl w:val="0"/>
                <w:numId w:val="0"/>
              </w:numPr>
              <w:spacing w:line="300" w:lineRule="exact"/>
              <w:ind w:leftChars="0"/>
              <w:rPr>
                <w:rFonts w:hint="eastAsia"/>
                <w:color w:val="000000"/>
                <w:sz w:val="18"/>
                <w:szCs w:val="18"/>
              </w:rPr>
            </w:pPr>
            <w:r>
              <w:rPr>
                <w:rFonts w:hint="eastAsia"/>
                <w:color w:val="000000"/>
                <w:sz w:val="18"/>
                <w:szCs w:val="18"/>
                <w:lang w:val="en-US" w:eastAsia="zh-CN"/>
              </w:rPr>
              <w:t>2、</w:t>
            </w:r>
            <w:r>
              <w:rPr>
                <w:rFonts w:hint="eastAsia"/>
                <w:color w:val="000000"/>
                <w:sz w:val="18"/>
                <w:szCs w:val="18"/>
              </w:rPr>
              <w:t>摇杆：双组进口摇杆，隐藏式设计，操作轻松自如，可灵活调节患者背部、腿部体位。</w:t>
            </w:r>
          </w:p>
          <w:p>
            <w:pPr>
              <w:numPr>
                <w:ilvl w:val="0"/>
                <w:numId w:val="0"/>
              </w:numPr>
              <w:spacing w:line="300" w:lineRule="exact"/>
              <w:ind w:leftChars="0"/>
              <w:rPr>
                <w:rFonts w:hint="eastAsia"/>
                <w:color w:val="000000"/>
                <w:sz w:val="18"/>
                <w:szCs w:val="18"/>
              </w:rPr>
            </w:pPr>
            <w:r>
              <w:rPr>
                <w:rFonts w:hint="eastAsia"/>
                <w:color w:val="000000"/>
                <w:sz w:val="18"/>
                <w:szCs w:val="18"/>
                <w:lang w:val="en-US" w:eastAsia="zh-CN"/>
              </w:rPr>
              <w:t>3、</w:t>
            </w:r>
            <w:r>
              <w:rPr>
                <w:rFonts w:hint="eastAsia"/>
                <w:color w:val="000000"/>
                <w:sz w:val="18"/>
                <w:szCs w:val="18"/>
              </w:rPr>
              <w:t>摇杆采用不锈钢管加ABS强化塑料材料，具有高支撑力。</w:t>
            </w:r>
          </w:p>
          <w:p>
            <w:pPr>
              <w:numPr>
                <w:ilvl w:val="0"/>
                <w:numId w:val="0"/>
              </w:numPr>
              <w:spacing w:line="300" w:lineRule="exact"/>
              <w:ind w:leftChars="0"/>
              <w:rPr>
                <w:rFonts w:hint="eastAsia"/>
                <w:color w:val="000000"/>
                <w:sz w:val="18"/>
                <w:szCs w:val="18"/>
              </w:rPr>
            </w:pPr>
            <w:r>
              <w:rPr>
                <w:rFonts w:hint="eastAsia"/>
                <w:color w:val="000000"/>
                <w:sz w:val="18"/>
                <w:szCs w:val="18"/>
                <w:lang w:val="en-US" w:eastAsia="zh-CN"/>
              </w:rPr>
              <w:t>4、</w:t>
            </w:r>
            <w:r>
              <w:rPr>
                <w:rFonts w:hint="eastAsia"/>
                <w:color w:val="000000"/>
                <w:sz w:val="18"/>
                <w:szCs w:val="18"/>
              </w:rPr>
              <w:t>调节范围：背部倾斜度60</w:t>
            </w:r>
            <w:r>
              <w:rPr>
                <w:rFonts w:hint="eastAsia"/>
                <w:color w:val="000000"/>
                <w:sz w:val="18"/>
                <w:szCs w:val="18"/>
                <w:u w:val="single"/>
              </w:rPr>
              <w:t>+</w:t>
            </w:r>
            <w:r>
              <w:rPr>
                <w:rFonts w:hint="eastAsia"/>
                <w:color w:val="000000"/>
                <w:sz w:val="18"/>
                <w:szCs w:val="18"/>
              </w:rPr>
              <w:t>5</w:t>
            </w:r>
            <w:r>
              <w:rPr>
                <w:color w:val="000000"/>
                <w:sz w:val="18"/>
                <w:szCs w:val="18"/>
              </w:rPr>
              <w:t>º</w:t>
            </w:r>
            <w:r>
              <w:rPr>
                <w:rFonts w:hint="eastAsia"/>
                <w:color w:val="000000"/>
                <w:sz w:val="18"/>
                <w:szCs w:val="18"/>
              </w:rPr>
              <w:t>，腿部倾斜度35</w:t>
            </w:r>
            <w:r>
              <w:rPr>
                <w:rFonts w:hint="eastAsia"/>
                <w:color w:val="000000"/>
                <w:sz w:val="18"/>
                <w:szCs w:val="18"/>
                <w:u w:val="single"/>
              </w:rPr>
              <w:t>+</w:t>
            </w:r>
            <w:r>
              <w:rPr>
                <w:rFonts w:hint="eastAsia"/>
                <w:color w:val="000000"/>
                <w:sz w:val="18"/>
                <w:szCs w:val="18"/>
              </w:rPr>
              <w:t>5</w:t>
            </w:r>
            <w:r>
              <w:rPr>
                <w:color w:val="000000"/>
                <w:sz w:val="18"/>
                <w:szCs w:val="18"/>
              </w:rPr>
              <w:t>º</w:t>
            </w:r>
            <w:r>
              <w:rPr>
                <w:rFonts w:hint="eastAsia"/>
                <w:color w:val="000000"/>
                <w:sz w:val="18"/>
                <w:szCs w:val="18"/>
              </w:rPr>
              <w:t>。</w:t>
            </w:r>
          </w:p>
          <w:p>
            <w:pPr>
              <w:numPr>
                <w:ilvl w:val="0"/>
                <w:numId w:val="0"/>
              </w:numPr>
              <w:spacing w:line="300" w:lineRule="exact"/>
              <w:ind w:leftChars="0"/>
              <w:rPr>
                <w:rFonts w:hint="eastAsia"/>
                <w:color w:val="000000"/>
                <w:sz w:val="18"/>
                <w:szCs w:val="18"/>
              </w:rPr>
            </w:pPr>
            <w:r>
              <w:rPr>
                <w:rFonts w:hint="eastAsia"/>
                <w:color w:val="000000"/>
                <w:sz w:val="18"/>
                <w:szCs w:val="18"/>
                <w:lang w:val="en-US" w:eastAsia="zh-CN"/>
              </w:rPr>
              <w:t>5、</w:t>
            </w:r>
            <w:r>
              <w:rPr>
                <w:rFonts w:hint="eastAsia"/>
                <w:color w:val="000000"/>
                <w:sz w:val="18"/>
                <w:szCs w:val="18"/>
              </w:rPr>
              <w:t>床体承载重量：300kg。</w:t>
            </w:r>
          </w:p>
          <w:p>
            <w:pPr>
              <w:numPr>
                <w:ilvl w:val="0"/>
                <w:numId w:val="0"/>
              </w:numPr>
              <w:spacing w:line="300" w:lineRule="exact"/>
              <w:ind w:leftChars="0"/>
              <w:rPr>
                <w:rFonts w:hint="eastAsia"/>
                <w:color w:val="000000"/>
                <w:sz w:val="18"/>
                <w:szCs w:val="18"/>
              </w:rPr>
            </w:pPr>
            <w:r>
              <w:rPr>
                <w:rFonts w:hint="eastAsia"/>
                <w:color w:val="000000"/>
                <w:sz w:val="18"/>
                <w:szCs w:val="18"/>
                <w:lang w:val="en-US" w:eastAsia="zh-CN"/>
              </w:rPr>
              <w:t>6、</w:t>
            </w:r>
            <w:r>
              <w:rPr>
                <w:rFonts w:hint="eastAsia"/>
                <w:color w:val="000000"/>
                <w:sz w:val="18"/>
                <w:szCs w:val="18"/>
              </w:rPr>
              <w:t xml:space="preserve">侧面护栏为全覆式；D型铝合金扶手，表面硬化处理；六支不锈钢护栏支柱，耐磨，不变形，可收缩平放，收缩时略高出床垫，可防止床垫移位；双按键保险快速定位开关，有防夹手功能。 </w:t>
            </w:r>
          </w:p>
          <w:p>
            <w:pPr>
              <w:numPr>
                <w:ilvl w:val="0"/>
                <w:numId w:val="0"/>
              </w:numPr>
              <w:spacing w:line="300" w:lineRule="exact"/>
              <w:ind w:leftChars="0"/>
              <w:rPr>
                <w:rFonts w:hint="eastAsia"/>
                <w:color w:val="000000"/>
                <w:sz w:val="18"/>
                <w:szCs w:val="18"/>
              </w:rPr>
            </w:pPr>
            <w:r>
              <w:rPr>
                <w:rFonts w:hint="eastAsia"/>
                <w:color w:val="000000"/>
                <w:sz w:val="18"/>
                <w:szCs w:val="18"/>
                <w:lang w:val="en-US" w:eastAsia="zh-CN"/>
              </w:rPr>
              <w:t>7、</w:t>
            </w:r>
            <w:r>
              <w:rPr>
                <w:rFonts w:hint="eastAsia"/>
                <w:color w:val="000000"/>
                <w:sz w:val="18"/>
                <w:szCs w:val="18"/>
              </w:rPr>
              <w:t>床板具有多孔设计，便于透气。</w:t>
            </w:r>
          </w:p>
          <w:p>
            <w:pPr>
              <w:numPr>
                <w:ilvl w:val="0"/>
                <w:numId w:val="0"/>
              </w:numPr>
              <w:spacing w:line="300" w:lineRule="exact"/>
              <w:ind w:leftChars="0"/>
              <w:rPr>
                <w:rFonts w:hint="eastAsia"/>
                <w:color w:val="000000"/>
                <w:sz w:val="18"/>
                <w:szCs w:val="18"/>
              </w:rPr>
            </w:pPr>
            <w:r>
              <w:rPr>
                <w:rFonts w:hint="eastAsia"/>
                <w:color w:val="000000"/>
                <w:sz w:val="18"/>
                <w:szCs w:val="18"/>
                <w:lang w:val="en-US" w:eastAsia="zh-CN"/>
              </w:rPr>
              <w:t>8、</w:t>
            </w:r>
            <w:r>
              <w:rPr>
                <w:rFonts w:hint="eastAsia"/>
                <w:color w:val="000000"/>
                <w:sz w:val="18"/>
                <w:szCs w:val="18"/>
              </w:rPr>
              <w:t>床底</w:t>
            </w:r>
            <w:r>
              <w:rPr>
                <w:rFonts w:hint="eastAsia" w:ascii="宋体" w:hAnsi="宋体"/>
                <w:sz w:val="18"/>
                <w:szCs w:val="18"/>
              </w:rPr>
              <w:t>≥</w:t>
            </w:r>
            <w:r>
              <w:rPr>
                <w:rFonts w:hint="eastAsia"/>
                <w:color w:val="000000"/>
                <w:sz w:val="18"/>
                <w:szCs w:val="18"/>
              </w:rPr>
              <w:t>四个引流尿袋挂钩，</w:t>
            </w:r>
            <w:r>
              <w:rPr>
                <w:rFonts w:hint="eastAsia" w:ascii="宋体" w:hAnsi="宋体"/>
                <w:sz w:val="18"/>
                <w:szCs w:val="18"/>
              </w:rPr>
              <w:t>≥</w:t>
            </w:r>
            <w:r>
              <w:rPr>
                <w:rFonts w:hint="eastAsia"/>
                <w:color w:val="000000"/>
                <w:sz w:val="18"/>
                <w:szCs w:val="18"/>
              </w:rPr>
              <w:t>六个点滴架插孔。</w:t>
            </w:r>
          </w:p>
          <w:p>
            <w:pPr>
              <w:numPr>
                <w:ilvl w:val="0"/>
                <w:numId w:val="0"/>
              </w:numPr>
              <w:spacing w:line="300" w:lineRule="exact"/>
              <w:ind w:leftChars="0"/>
              <w:rPr>
                <w:rFonts w:hint="eastAsia"/>
                <w:color w:val="000000"/>
                <w:sz w:val="18"/>
                <w:szCs w:val="18"/>
              </w:rPr>
            </w:pPr>
            <w:r>
              <w:rPr>
                <w:rFonts w:hint="eastAsia"/>
                <w:color w:val="000000"/>
                <w:sz w:val="18"/>
                <w:szCs w:val="18"/>
                <w:lang w:val="en-US" w:eastAsia="zh-CN"/>
              </w:rPr>
              <w:t>9、</w:t>
            </w:r>
            <w:r>
              <w:rPr>
                <w:rFonts w:hint="eastAsia"/>
                <w:color w:val="000000"/>
                <w:sz w:val="18"/>
                <w:szCs w:val="18"/>
              </w:rPr>
              <w:t>床底面整体离地距离</w:t>
            </w:r>
            <w:r>
              <w:rPr>
                <w:rFonts w:hint="eastAsia" w:ascii="宋体" w:hAnsi="宋体"/>
                <w:sz w:val="18"/>
                <w:szCs w:val="18"/>
              </w:rPr>
              <w:t>≥</w:t>
            </w:r>
            <w:r>
              <w:rPr>
                <w:rFonts w:hint="eastAsia"/>
                <w:color w:val="000000"/>
                <w:sz w:val="18"/>
                <w:szCs w:val="18"/>
              </w:rPr>
              <w:t>4</w:t>
            </w:r>
            <w:r>
              <w:rPr>
                <w:rFonts w:hint="eastAsia"/>
                <w:color w:val="000000"/>
                <w:sz w:val="18"/>
                <w:szCs w:val="18"/>
                <w:lang w:val="en-US" w:eastAsia="zh-CN"/>
              </w:rPr>
              <w:t>0</w:t>
            </w:r>
            <w:r>
              <w:rPr>
                <w:rFonts w:hint="eastAsia"/>
                <w:color w:val="000000"/>
                <w:sz w:val="18"/>
                <w:szCs w:val="18"/>
              </w:rPr>
              <w:t>cm，便于临床检查操作及卫生清洁。</w:t>
            </w:r>
          </w:p>
          <w:p>
            <w:pPr>
              <w:numPr>
                <w:ilvl w:val="0"/>
                <w:numId w:val="0"/>
              </w:numPr>
              <w:spacing w:line="300" w:lineRule="exact"/>
              <w:ind w:leftChars="0"/>
              <w:rPr>
                <w:rFonts w:hint="eastAsia"/>
                <w:sz w:val="18"/>
                <w:szCs w:val="18"/>
              </w:rPr>
            </w:pPr>
            <w:r>
              <w:rPr>
                <w:rFonts w:hint="eastAsia"/>
                <w:sz w:val="18"/>
                <w:szCs w:val="18"/>
                <w:lang w:val="en-US" w:eastAsia="zh-CN"/>
              </w:rPr>
              <w:t>10、</w:t>
            </w:r>
            <w:r>
              <w:rPr>
                <w:rFonts w:hint="eastAsia"/>
                <w:sz w:val="18"/>
                <w:szCs w:val="18"/>
              </w:rPr>
              <w:t>床架采用</w:t>
            </w:r>
            <w:r>
              <w:rPr>
                <w:rFonts w:hint="eastAsia" w:ascii="宋体" w:hAnsi="宋体"/>
                <w:sz w:val="18"/>
                <w:szCs w:val="18"/>
              </w:rPr>
              <w:t>≥</w:t>
            </w:r>
            <w:r>
              <w:rPr>
                <w:sz w:val="18"/>
                <w:szCs w:val="18"/>
              </w:rPr>
              <w:t>2mm</w:t>
            </w:r>
            <w:r>
              <w:rPr>
                <w:rFonts w:hint="eastAsia"/>
                <w:sz w:val="18"/>
                <w:szCs w:val="18"/>
              </w:rPr>
              <w:t>高质冷轧钢管。</w:t>
            </w:r>
          </w:p>
          <w:p>
            <w:pPr>
              <w:numPr>
                <w:ilvl w:val="0"/>
                <w:numId w:val="0"/>
              </w:numPr>
              <w:spacing w:line="300" w:lineRule="exact"/>
              <w:ind w:leftChars="0"/>
              <w:rPr>
                <w:rFonts w:hint="eastAsia"/>
                <w:sz w:val="18"/>
                <w:szCs w:val="18"/>
              </w:rPr>
            </w:pPr>
            <w:r>
              <w:rPr>
                <w:rFonts w:hint="eastAsia"/>
                <w:sz w:val="18"/>
                <w:szCs w:val="18"/>
                <w:lang w:val="en-US" w:eastAsia="zh-CN"/>
              </w:rPr>
              <w:t>11、</w:t>
            </w:r>
            <w:r>
              <w:rPr>
                <w:rFonts w:hint="eastAsia"/>
                <w:sz w:val="18"/>
                <w:szCs w:val="18"/>
              </w:rPr>
              <w:t>床头尾板全ABS材料，一次注塑成型，可兼做CPR板应急使用，对称式快速插座，可快速拆卸，满足临床急救需要。</w:t>
            </w:r>
          </w:p>
          <w:p>
            <w:pPr>
              <w:numPr>
                <w:ilvl w:val="0"/>
                <w:numId w:val="0"/>
              </w:numPr>
              <w:spacing w:line="300" w:lineRule="exact"/>
              <w:ind w:leftChars="0"/>
              <w:rPr>
                <w:rFonts w:hint="eastAsia"/>
                <w:sz w:val="18"/>
                <w:szCs w:val="18"/>
              </w:rPr>
            </w:pPr>
            <w:r>
              <w:rPr>
                <w:rFonts w:hint="eastAsia"/>
                <w:sz w:val="18"/>
                <w:szCs w:val="18"/>
                <w:lang w:val="en-US" w:eastAsia="zh-CN"/>
              </w:rPr>
              <w:t>12、</w:t>
            </w:r>
            <w:r>
              <w:rPr>
                <w:rFonts w:hint="eastAsia"/>
                <w:sz w:val="18"/>
                <w:szCs w:val="18"/>
              </w:rPr>
              <w:t>床体涂覆为静电粉体涂装，厂内防锈全处理烤漆一贯作业，通过CNS认证标准，抗酸碱腐蚀，耐褪色。</w:t>
            </w:r>
          </w:p>
          <w:p>
            <w:pPr>
              <w:numPr>
                <w:ilvl w:val="0"/>
                <w:numId w:val="0"/>
              </w:numPr>
              <w:spacing w:line="300" w:lineRule="exact"/>
              <w:ind w:leftChars="0"/>
              <w:rPr>
                <w:rFonts w:hint="eastAsia"/>
                <w:sz w:val="18"/>
                <w:szCs w:val="18"/>
              </w:rPr>
            </w:pPr>
            <w:r>
              <w:rPr>
                <w:rFonts w:hint="eastAsia"/>
                <w:sz w:val="18"/>
                <w:szCs w:val="18"/>
                <w:lang w:val="en-US" w:eastAsia="zh-CN"/>
              </w:rPr>
              <w:t>13、</w:t>
            </w:r>
            <w:r>
              <w:rPr>
                <w:rFonts w:hint="eastAsia"/>
                <w:sz w:val="18"/>
                <w:szCs w:val="18"/>
              </w:rPr>
              <w:t>涂料对微生物大肠挨希氏菌和金黄色葡萄球菌均具有很强的抗菌作用，属于新世纪绿色健康环保产品</w:t>
            </w:r>
            <w:r>
              <w:rPr>
                <w:rFonts w:hint="eastAsia"/>
                <w:bCs/>
                <w:color w:val="000000"/>
                <w:sz w:val="18"/>
                <w:szCs w:val="18"/>
              </w:rPr>
              <w:t>,并通过有关省级机构检测</w:t>
            </w:r>
            <w:r>
              <w:rPr>
                <w:rFonts w:hint="eastAsia"/>
                <w:sz w:val="18"/>
                <w:szCs w:val="18"/>
              </w:rPr>
              <w:t>。</w:t>
            </w:r>
          </w:p>
          <w:p>
            <w:pPr>
              <w:numPr>
                <w:ilvl w:val="0"/>
                <w:numId w:val="0"/>
              </w:numPr>
              <w:spacing w:line="300" w:lineRule="exact"/>
              <w:ind w:leftChars="0"/>
              <w:rPr>
                <w:rFonts w:hint="eastAsia"/>
                <w:sz w:val="18"/>
                <w:szCs w:val="18"/>
              </w:rPr>
            </w:pPr>
            <w:r>
              <w:rPr>
                <w:rFonts w:hint="eastAsia"/>
                <w:sz w:val="18"/>
                <w:szCs w:val="18"/>
                <w:lang w:val="en-US" w:eastAsia="zh-CN"/>
              </w:rPr>
              <w:t>14、</w:t>
            </w:r>
            <w:r>
              <w:rPr>
                <w:rFonts w:hint="eastAsia"/>
                <w:sz w:val="18"/>
                <w:szCs w:val="18"/>
              </w:rPr>
              <w:t>床脚符合</w:t>
            </w:r>
            <w:r>
              <w:rPr>
                <w:rFonts w:hint="eastAsia"/>
                <w:sz w:val="18"/>
                <w:szCs w:val="18"/>
                <w:lang w:val="en-US" w:eastAsia="zh-CN"/>
              </w:rPr>
              <w:t>行业规定的</w:t>
            </w:r>
            <w:r>
              <w:rPr>
                <w:rFonts w:hint="eastAsia"/>
                <w:sz w:val="18"/>
                <w:szCs w:val="18"/>
              </w:rPr>
              <w:t>无毒标准，高耐磨，无噪音，带刹车装置，稳定性好。</w:t>
            </w:r>
          </w:p>
          <w:p>
            <w:pPr>
              <w:keepNext/>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lang w:val="en-US"/>
              </w:rPr>
            </w:pPr>
          </w:p>
          <w:p>
            <w:pPr>
              <w:keepNext/>
              <w:keepLines w:val="0"/>
              <w:pageBreakBefore w:val="0"/>
              <w:widowControl/>
              <w:suppressLineNumbers w:val="0"/>
              <w:kinsoku/>
              <w:wordWrap/>
              <w:overflowPunct/>
              <w:topLinePunct w:val="0"/>
              <w:autoSpaceDE/>
              <w:autoSpaceDN/>
              <w:bidi w:val="0"/>
              <w:adjustRightInd/>
              <w:snapToGrid/>
              <w:jc w:val="left"/>
              <w:textAlignment w:val="center"/>
            </w:pPr>
          </w:p>
          <w:p>
            <w:pPr>
              <w:pStyle w:val="16"/>
              <w:ind w:left="0" w:leftChars="0" w:firstLine="0" w:firstLineChars="0"/>
              <w:rPr>
                <w:rFonts w:hint="eastAsia"/>
                <w:lang w:val="en-US" w:eastAsia="zh-CN"/>
              </w:rPr>
            </w:pPr>
          </w:p>
          <w:p>
            <w:pPr>
              <w:pStyle w:val="16"/>
              <w:spacing w:line="240" w:lineRule="auto"/>
              <w:ind w:left="0" w:leftChars="0" w:firstLine="0" w:firstLineChars="0"/>
              <w:rPr>
                <w:rFonts w:hint="default" w:eastAsia="宋体"/>
                <w:lang w:val="en-US" w:eastAsia="zh-CN"/>
              </w:rPr>
            </w:pPr>
            <w:r>
              <w:rPr>
                <w:sz w:val="21"/>
              </w:rPr>
              <w:pict>
                <v:shape id="_x0000_s2050" o:spid="_x0000_s2050" o:spt="202" type="#_x0000_t202" style="position:absolute;left:0pt;margin-left:-3.35pt;margin-top:36.35pt;height:102.9pt;width:135.55pt;z-index:251659264;mso-width-relative:page;mso-height-relative:page;" fillcolor="#FFFFFF" filled="t" stroked="t" coordsize="21600,21600">
                  <v:path/>
                  <v:fill on="t" focussize="0,0"/>
                  <v:stroke color="#FFFFFF"/>
                  <v:imagedata o:title=""/>
                  <o:lock v:ext="edit" aspectratio="f"/>
                  <v:textbox>
                    <w:txbxContent>
                      <w:p>
                        <w:r>
                          <w:drawing>
                            <wp:inline distT="0" distB="0" distL="114300" distR="114300">
                              <wp:extent cx="1536700" cy="926465"/>
                              <wp:effectExtent l="0" t="0" r="635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536700" cy="926465"/>
                                      </a:xfrm>
                                      <a:prstGeom prst="rect">
                                        <a:avLst/>
                                      </a:prstGeom>
                                      <a:noFill/>
                                      <a:ln>
                                        <a:noFill/>
                                      </a:ln>
                                    </pic:spPr>
                                  </pic:pic>
                                </a:graphicData>
                              </a:graphic>
                            </wp:inline>
                          </w:drawing>
                        </w:r>
                      </w:p>
                    </w:txbxContent>
                  </v:textbox>
                </v:shape>
              </w:pict>
            </w:r>
          </w:p>
        </w:tc>
      </w:tr>
    </w:tbl>
    <w:p>
      <w:pPr>
        <w:spacing w:line="400" w:lineRule="exact"/>
        <w:rPr>
          <w:rFonts w:hint="eastAsia"/>
          <w:lang w:val="en-US" w:eastAsia="zh-CN"/>
        </w:rPr>
      </w:pPr>
      <w:r>
        <w:rPr>
          <w:rFonts w:hint="eastAsia" w:ascii="宋体" w:hAnsi="宋体" w:cs="宋体"/>
          <w:b/>
          <w:sz w:val="28"/>
          <w:szCs w:val="28"/>
          <w:lang w:val="en-US" w:eastAsia="zh-CN"/>
        </w:rPr>
        <w:t>二</w:t>
      </w:r>
      <w:r>
        <w:rPr>
          <w:rFonts w:hint="eastAsia" w:ascii="宋体" w:hAnsi="宋体" w:cs="宋体"/>
          <w:b/>
          <w:sz w:val="28"/>
          <w:szCs w:val="28"/>
          <w:lang w:eastAsia="zh-CN"/>
        </w:rPr>
        <w:t>、</w:t>
      </w:r>
      <w:r>
        <w:rPr>
          <w:rFonts w:hint="eastAsia" w:ascii="宋体" w:hAnsi="宋体" w:cs="宋体"/>
          <w:b/>
          <w:sz w:val="28"/>
          <w:szCs w:val="28"/>
        </w:rPr>
        <w:t>项目内容及要求</w:t>
      </w:r>
      <w:bookmarkStart w:id="5" w:name="_GoBack"/>
      <w:bookmarkEnd w:id="5"/>
    </w:p>
    <w:p>
      <w:pPr>
        <w:pStyle w:val="16"/>
        <w:spacing w:line="240" w:lineRule="auto"/>
        <w:ind w:firstLine="0" w:firstLineChars="0"/>
        <w:rPr>
          <w:rFonts w:hint="eastAsia" w:ascii="宋体" w:hAnsi="宋体"/>
          <w:b/>
          <w:bCs/>
          <w:color w:val="000000"/>
          <w:sz w:val="28"/>
          <w:szCs w:val="28"/>
        </w:rPr>
      </w:pPr>
      <w:r>
        <w:rPr>
          <w:rFonts w:hint="eastAsia" w:ascii="宋体" w:hAnsi="宋体" w:eastAsia="宋体" w:cs="宋体"/>
          <w:b/>
          <w:bCs/>
          <w:sz w:val="21"/>
          <w:szCs w:val="21"/>
          <w:lang w:val="en-US" w:eastAsia="zh-CN"/>
        </w:rPr>
        <w:t>注：</w:t>
      </w:r>
      <w:r>
        <w:rPr>
          <w:rFonts w:hint="eastAsia" w:ascii="宋体" w:hAnsi="宋体" w:eastAsia="宋体" w:cs="宋体"/>
          <w:b/>
          <w:bCs/>
          <w:sz w:val="21"/>
          <w:szCs w:val="21"/>
          <w:u w:val="single"/>
          <w:lang w:val="en-US" w:eastAsia="zh-CN"/>
        </w:rPr>
        <w:t>如投标人报价超过预算金额或预算单价按无效标处理。</w:t>
      </w:r>
    </w:p>
    <w:p>
      <w:pPr>
        <w:spacing w:line="360" w:lineRule="auto"/>
        <w:rPr>
          <w:rFonts w:hint="eastAsia" w:ascii="宋体" w:hAnsi="宋体"/>
          <w:b/>
          <w:bCs/>
          <w:color w:val="000000"/>
          <w:sz w:val="24"/>
          <w:szCs w:val="24"/>
        </w:rPr>
      </w:pPr>
    </w:p>
    <w:p>
      <w:pPr>
        <w:spacing w:line="360" w:lineRule="auto"/>
        <w:rPr>
          <w:rFonts w:hint="eastAsia" w:ascii="宋体" w:hAnsi="宋体"/>
          <w:b/>
          <w:bCs/>
          <w:color w:val="000000"/>
          <w:sz w:val="24"/>
          <w:szCs w:val="24"/>
        </w:rPr>
      </w:pPr>
      <w:r>
        <w:rPr>
          <w:rFonts w:hint="eastAsia" w:ascii="宋体" w:hAnsi="宋体"/>
          <w:b/>
          <w:bCs/>
          <w:color w:val="000000"/>
          <w:sz w:val="24"/>
          <w:szCs w:val="24"/>
        </w:rPr>
        <w:t>三、主要商务要求</w:t>
      </w:r>
    </w:p>
    <w:p>
      <w:pPr>
        <w:spacing w:line="360" w:lineRule="auto"/>
        <w:ind w:firstLine="422" w:firstLineChars="200"/>
        <w:rPr>
          <w:rFonts w:hint="eastAsia" w:ascii="宋体" w:hAnsi="宋体"/>
          <w:b w:val="0"/>
          <w:bCs w:val="0"/>
          <w:color w:val="000000"/>
          <w:sz w:val="21"/>
          <w:szCs w:val="21"/>
        </w:rPr>
      </w:pPr>
      <w:r>
        <w:rPr>
          <w:rFonts w:hint="eastAsia" w:ascii="宋体" w:hAnsi="宋体"/>
          <w:b/>
          <w:bCs/>
          <w:color w:val="000000"/>
          <w:sz w:val="21"/>
          <w:szCs w:val="21"/>
          <w:lang w:val="en-US" w:eastAsia="zh-CN"/>
        </w:rPr>
        <w:t>1</w:t>
      </w:r>
      <w:r>
        <w:rPr>
          <w:rFonts w:hint="eastAsia" w:ascii="宋体" w:hAnsi="宋体"/>
          <w:b/>
          <w:bCs/>
          <w:color w:val="000000"/>
          <w:sz w:val="21"/>
          <w:szCs w:val="21"/>
        </w:rPr>
        <w:t>、付款方式：</w:t>
      </w:r>
      <w:r>
        <w:rPr>
          <w:rFonts w:hint="eastAsia" w:ascii="宋体" w:hAnsi="宋体"/>
          <w:b w:val="0"/>
          <w:bCs w:val="0"/>
          <w:color w:val="000000"/>
          <w:sz w:val="21"/>
          <w:szCs w:val="21"/>
        </w:rPr>
        <w:t>全部货物交付完毕并经最终验收合格后，乙方向甲方开具发票，甲方在收到发票后三个月内向乙方支付全部合同价款。</w:t>
      </w:r>
      <w:r>
        <w:rPr>
          <w:rFonts w:hint="eastAsia" w:ascii="宋体" w:hAnsi="宋体"/>
          <w:b w:val="0"/>
          <w:bCs w:val="0"/>
          <w:color w:val="000000"/>
          <w:sz w:val="21"/>
          <w:szCs w:val="21"/>
          <w:lang w:eastAsia="zh-CN"/>
        </w:rPr>
        <w:t>（</w:t>
      </w:r>
      <w:r>
        <w:rPr>
          <w:rFonts w:hint="eastAsia" w:ascii="宋体" w:hAnsi="宋体"/>
          <w:b w:val="0"/>
          <w:bCs w:val="0"/>
          <w:color w:val="000000"/>
          <w:sz w:val="21"/>
          <w:szCs w:val="21"/>
          <w:lang w:val="en-US" w:eastAsia="zh-CN"/>
        </w:rPr>
        <w:t>在</w:t>
      </w:r>
      <w:r>
        <w:rPr>
          <w:rFonts w:hint="eastAsia" w:ascii="宋体" w:hAnsi="宋体" w:cs="宋体"/>
          <w:sz w:val="21"/>
          <w:szCs w:val="21"/>
          <w:lang w:val="en-US" w:eastAsia="zh-CN"/>
        </w:rPr>
        <w:t>预算金额范围内，根据最终实际采购数量*中标单价进行结算</w:t>
      </w:r>
      <w:r>
        <w:rPr>
          <w:rFonts w:hint="eastAsia" w:ascii="宋体" w:hAnsi="宋体"/>
          <w:b w:val="0"/>
          <w:bCs w:val="0"/>
          <w:color w:val="000000"/>
          <w:sz w:val="21"/>
          <w:szCs w:val="21"/>
          <w:lang w:eastAsia="zh-CN"/>
        </w:rPr>
        <w:t>）</w:t>
      </w:r>
      <w:r>
        <w:rPr>
          <w:rFonts w:hint="eastAsia" w:ascii="宋体" w:hAnsi="宋体"/>
          <w:b w:val="0"/>
          <w:bCs w:val="0"/>
          <w:color w:val="000000"/>
          <w:sz w:val="21"/>
          <w:szCs w:val="21"/>
        </w:rPr>
        <w:t xml:space="preserve">   </w:t>
      </w:r>
    </w:p>
    <w:p>
      <w:pPr>
        <w:spacing w:line="360" w:lineRule="auto"/>
        <w:ind w:firstLine="422" w:firstLineChars="200"/>
        <w:rPr>
          <w:rFonts w:hint="eastAsia" w:ascii="宋体" w:hAnsi="宋体"/>
          <w:b w:val="0"/>
          <w:bCs w:val="0"/>
          <w:color w:val="000000"/>
          <w:sz w:val="21"/>
          <w:szCs w:val="21"/>
        </w:rPr>
      </w:pPr>
      <w:r>
        <w:rPr>
          <w:rFonts w:hint="eastAsia" w:ascii="宋体" w:hAnsi="宋体"/>
          <w:b/>
          <w:bCs/>
          <w:color w:val="000000"/>
          <w:sz w:val="21"/>
          <w:szCs w:val="21"/>
          <w:lang w:val="en-US" w:eastAsia="zh-CN"/>
        </w:rPr>
        <w:t>2</w:t>
      </w:r>
      <w:r>
        <w:rPr>
          <w:rFonts w:hint="eastAsia" w:ascii="宋体" w:hAnsi="宋体"/>
          <w:b/>
          <w:bCs/>
          <w:color w:val="000000"/>
          <w:sz w:val="21"/>
          <w:szCs w:val="21"/>
        </w:rPr>
        <w:t>、</w:t>
      </w:r>
      <w:r>
        <w:rPr>
          <w:rFonts w:hint="eastAsia" w:ascii="宋体" w:hAnsi="宋体"/>
          <w:b/>
          <w:bCs/>
          <w:color w:val="000000"/>
          <w:sz w:val="21"/>
          <w:szCs w:val="21"/>
          <w:lang w:val="en-US" w:eastAsia="zh-CN"/>
        </w:rPr>
        <w:t>到</w:t>
      </w:r>
      <w:r>
        <w:rPr>
          <w:rFonts w:hint="eastAsia" w:ascii="宋体" w:hAnsi="宋体"/>
          <w:b/>
          <w:bCs/>
          <w:color w:val="000000"/>
          <w:sz w:val="21"/>
          <w:szCs w:val="21"/>
        </w:rPr>
        <w:t>货时间：</w:t>
      </w:r>
      <w:r>
        <w:rPr>
          <w:rFonts w:hint="eastAsia" w:ascii="宋体" w:hAnsi="宋体"/>
          <w:b w:val="0"/>
          <w:bCs w:val="0"/>
          <w:color w:val="000000"/>
          <w:sz w:val="21"/>
          <w:szCs w:val="21"/>
        </w:rPr>
        <w:t>卖方必须在中标之日起10个工作日内完成</w:t>
      </w:r>
      <w:r>
        <w:rPr>
          <w:rFonts w:hint="eastAsia" w:ascii="宋体" w:hAnsi="宋体"/>
          <w:b w:val="0"/>
          <w:bCs w:val="0"/>
          <w:color w:val="000000"/>
          <w:sz w:val="21"/>
          <w:szCs w:val="21"/>
          <w:lang w:val="en-US" w:eastAsia="zh-CN"/>
        </w:rPr>
        <w:t>所有</w:t>
      </w:r>
      <w:r>
        <w:rPr>
          <w:rFonts w:hint="eastAsia" w:ascii="宋体" w:hAnsi="宋体"/>
          <w:b w:val="0"/>
          <w:bCs w:val="0"/>
          <w:color w:val="000000"/>
          <w:sz w:val="21"/>
          <w:szCs w:val="21"/>
        </w:rPr>
        <w:t xml:space="preserve">货物的供货。          </w:t>
      </w:r>
    </w:p>
    <w:p>
      <w:pPr>
        <w:spacing w:line="360" w:lineRule="auto"/>
        <w:ind w:firstLine="422" w:firstLineChars="200"/>
        <w:rPr>
          <w:rFonts w:hint="eastAsia" w:ascii="宋体" w:hAnsi="宋体"/>
          <w:b w:val="0"/>
          <w:bCs w:val="0"/>
          <w:color w:val="000000"/>
          <w:sz w:val="21"/>
          <w:szCs w:val="21"/>
        </w:rPr>
      </w:pPr>
      <w:r>
        <w:rPr>
          <w:rFonts w:hint="eastAsia" w:ascii="宋体" w:hAnsi="宋体"/>
          <w:b/>
          <w:bCs/>
          <w:color w:val="000000"/>
          <w:sz w:val="21"/>
          <w:szCs w:val="21"/>
          <w:lang w:val="en-US" w:eastAsia="zh-CN"/>
        </w:rPr>
        <w:t>3</w:t>
      </w:r>
      <w:r>
        <w:rPr>
          <w:rFonts w:hint="eastAsia" w:ascii="宋体" w:hAnsi="宋体"/>
          <w:b/>
          <w:bCs/>
          <w:color w:val="000000"/>
          <w:sz w:val="21"/>
          <w:szCs w:val="21"/>
        </w:rPr>
        <w:t>、到货地点：</w:t>
      </w:r>
      <w:r>
        <w:rPr>
          <w:rFonts w:hint="eastAsia" w:ascii="宋体" w:hAnsi="宋体"/>
          <w:b w:val="0"/>
          <w:bCs w:val="0"/>
          <w:color w:val="000000"/>
          <w:sz w:val="21"/>
          <w:szCs w:val="21"/>
        </w:rPr>
        <w:t>温州市中医院指定地点。</w:t>
      </w:r>
    </w:p>
    <w:p>
      <w:pPr>
        <w:spacing w:line="360" w:lineRule="auto"/>
        <w:ind w:firstLine="422" w:firstLineChars="200"/>
        <w:rPr>
          <w:rFonts w:hint="eastAsia" w:ascii="宋体" w:hAnsi="宋体"/>
          <w:b/>
          <w:bCs/>
          <w:color w:val="000000"/>
          <w:sz w:val="21"/>
          <w:szCs w:val="21"/>
        </w:rPr>
      </w:pPr>
      <w:r>
        <w:rPr>
          <w:rFonts w:hint="eastAsia" w:ascii="宋体" w:hAnsi="宋体"/>
          <w:b/>
          <w:bCs/>
          <w:color w:val="000000"/>
          <w:sz w:val="21"/>
          <w:szCs w:val="21"/>
          <w:lang w:val="en-US" w:eastAsia="zh-CN"/>
        </w:rPr>
        <w:t>4</w:t>
      </w:r>
      <w:r>
        <w:rPr>
          <w:rFonts w:hint="eastAsia" w:ascii="宋体" w:hAnsi="宋体"/>
          <w:b/>
          <w:bCs/>
          <w:color w:val="000000"/>
          <w:sz w:val="21"/>
          <w:szCs w:val="21"/>
        </w:rPr>
        <w:t>、质保期</w:t>
      </w:r>
    </w:p>
    <w:p>
      <w:pPr>
        <w:spacing w:line="360" w:lineRule="auto"/>
        <w:ind w:firstLine="420" w:firstLineChars="200"/>
        <w:rPr>
          <w:rFonts w:hint="eastAsia" w:ascii="宋体" w:hAnsi="宋体"/>
          <w:b w:val="0"/>
          <w:bCs w:val="0"/>
          <w:color w:val="000000"/>
          <w:sz w:val="21"/>
          <w:szCs w:val="21"/>
        </w:rPr>
      </w:pPr>
      <w:r>
        <w:rPr>
          <w:rFonts w:hint="eastAsia" w:ascii="宋体" w:hAnsi="宋体"/>
          <w:b w:val="0"/>
          <w:bCs w:val="0"/>
          <w:color w:val="000000"/>
          <w:sz w:val="21"/>
          <w:szCs w:val="21"/>
          <w:lang w:val="en-US" w:eastAsia="zh-CN"/>
        </w:rPr>
        <w:t>4</w:t>
      </w:r>
      <w:r>
        <w:rPr>
          <w:rFonts w:hint="eastAsia" w:ascii="宋体" w:hAnsi="宋体"/>
          <w:b w:val="0"/>
          <w:bCs w:val="0"/>
          <w:color w:val="000000"/>
          <w:sz w:val="21"/>
          <w:szCs w:val="21"/>
        </w:rPr>
        <w:t>.1中标人对提交的产品免费质保期</w:t>
      </w:r>
      <w:r>
        <w:rPr>
          <w:rFonts w:hint="eastAsia" w:ascii="宋体" w:hAnsi="宋体"/>
          <w:b w:val="0"/>
          <w:bCs w:val="0"/>
          <w:color w:val="000000"/>
          <w:sz w:val="21"/>
          <w:szCs w:val="21"/>
          <w:lang w:val="en-US" w:eastAsia="zh-CN"/>
        </w:rPr>
        <w:t>≥3</w:t>
      </w:r>
      <w:r>
        <w:rPr>
          <w:rFonts w:hint="eastAsia" w:ascii="宋体" w:hAnsi="宋体"/>
          <w:b w:val="0"/>
          <w:bCs w:val="0"/>
          <w:color w:val="000000"/>
          <w:sz w:val="21"/>
          <w:szCs w:val="21"/>
        </w:rPr>
        <w:t>年，质保期从每批次货物验收合格交付使用之日起算。</w:t>
      </w:r>
    </w:p>
    <w:p>
      <w:pPr>
        <w:spacing w:line="360" w:lineRule="auto"/>
        <w:ind w:firstLine="420" w:firstLineChars="200"/>
        <w:rPr>
          <w:rFonts w:hint="eastAsia" w:ascii="宋体" w:hAnsi="宋体"/>
          <w:b w:val="0"/>
          <w:bCs w:val="0"/>
          <w:color w:val="000000"/>
          <w:sz w:val="21"/>
          <w:szCs w:val="21"/>
        </w:rPr>
      </w:pPr>
      <w:r>
        <w:rPr>
          <w:rFonts w:hint="eastAsia" w:ascii="宋体" w:hAnsi="宋体"/>
          <w:b w:val="0"/>
          <w:bCs w:val="0"/>
          <w:color w:val="000000"/>
          <w:sz w:val="21"/>
          <w:szCs w:val="21"/>
          <w:lang w:val="en-US" w:eastAsia="zh-CN"/>
        </w:rPr>
        <w:t>4</w:t>
      </w:r>
      <w:r>
        <w:rPr>
          <w:rFonts w:hint="eastAsia" w:ascii="宋体" w:hAnsi="宋体"/>
          <w:b w:val="0"/>
          <w:bCs w:val="0"/>
          <w:color w:val="000000"/>
          <w:sz w:val="21"/>
          <w:szCs w:val="21"/>
        </w:rPr>
        <w:t>.2质保期内，由于产品自身原因出现问题，由中标人免费更换，并达到合同约定的质量要求，中标人应该在收到院方更换通知24小时内解决处理。</w:t>
      </w:r>
    </w:p>
    <w:p>
      <w:pPr>
        <w:numPr>
          <w:ilvl w:val="0"/>
          <w:numId w:val="0"/>
        </w:numPr>
        <w:spacing w:line="360" w:lineRule="auto"/>
        <w:ind w:firstLine="422" w:firstLineChars="200"/>
        <w:rPr>
          <w:rFonts w:hint="eastAsia" w:ascii="宋体" w:hAnsi="宋体"/>
          <w:b/>
          <w:bCs/>
          <w:color w:val="000000"/>
          <w:sz w:val="21"/>
          <w:szCs w:val="21"/>
          <w:lang w:val="en-US" w:eastAsia="zh-CN"/>
        </w:rPr>
      </w:pPr>
      <w:r>
        <w:rPr>
          <w:rFonts w:hint="eastAsia" w:ascii="宋体" w:hAnsi="宋体"/>
          <w:b/>
          <w:bCs/>
          <w:color w:val="000000"/>
          <w:sz w:val="21"/>
          <w:szCs w:val="21"/>
          <w:lang w:val="en-US" w:eastAsia="zh-CN"/>
        </w:rPr>
        <w:t>5、其他</w:t>
      </w:r>
    </w:p>
    <w:p>
      <w:pPr>
        <w:numPr>
          <w:ilvl w:val="0"/>
          <w:numId w:val="0"/>
        </w:numPr>
        <w:spacing w:line="360" w:lineRule="auto"/>
        <w:ind w:firstLine="420" w:firstLineChars="200"/>
        <w:rPr>
          <w:rFonts w:hint="eastAsia" w:ascii="宋体" w:hAnsi="宋体"/>
          <w:b w:val="0"/>
          <w:bCs w:val="0"/>
          <w:color w:val="000000"/>
          <w:sz w:val="21"/>
          <w:szCs w:val="21"/>
        </w:rPr>
      </w:pPr>
      <w:r>
        <w:rPr>
          <w:rFonts w:hint="eastAsia" w:ascii="宋体" w:hAnsi="宋体"/>
          <w:b w:val="0"/>
          <w:bCs w:val="0"/>
          <w:color w:val="000000"/>
          <w:sz w:val="21"/>
          <w:szCs w:val="21"/>
        </w:rPr>
        <w:t>发货前，中标供应商须提供该批次产品的检测合格报告</w:t>
      </w:r>
      <w:r>
        <w:rPr>
          <w:rFonts w:hint="eastAsia" w:ascii="宋体" w:hAnsi="宋体"/>
          <w:b w:val="0"/>
          <w:bCs w:val="0"/>
          <w:color w:val="000000"/>
          <w:sz w:val="21"/>
          <w:szCs w:val="21"/>
          <w:lang w:val="en-US" w:eastAsia="zh-CN"/>
        </w:rPr>
        <w:t>或合格证书</w:t>
      </w:r>
      <w:r>
        <w:rPr>
          <w:rFonts w:hint="eastAsia" w:ascii="宋体" w:hAnsi="宋体"/>
          <w:b w:val="0"/>
          <w:bCs w:val="0"/>
          <w:color w:val="000000"/>
          <w:sz w:val="21"/>
          <w:szCs w:val="21"/>
        </w:rPr>
        <w:t>。</w:t>
      </w:r>
    </w:p>
    <w:p>
      <w:pPr>
        <w:numPr>
          <w:ilvl w:val="0"/>
          <w:numId w:val="0"/>
        </w:numPr>
        <w:spacing w:line="360" w:lineRule="auto"/>
        <w:ind w:firstLine="420" w:firstLineChars="200"/>
        <w:rPr>
          <w:rFonts w:hint="eastAsia" w:ascii="宋体" w:hAnsi="宋体"/>
          <w:b w:val="0"/>
          <w:bCs w:val="0"/>
          <w:color w:val="000000"/>
          <w:sz w:val="21"/>
          <w:szCs w:val="21"/>
        </w:rPr>
      </w:pPr>
    </w:p>
    <w:p>
      <w:pPr>
        <w:numPr>
          <w:ilvl w:val="0"/>
          <w:numId w:val="0"/>
        </w:numPr>
        <w:spacing w:line="360" w:lineRule="auto"/>
        <w:ind w:firstLine="420" w:firstLineChars="200"/>
        <w:rPr>
          <w:rFonts w:hint="eastAsia" w:ascii="宋体" w:hAnsi="宋体"/>
          <w:b w:val="0"/>
          <w:bCs w:val="0"/>
          <w:color w:val="000000"/>
          <w:sz w:val="21"/>
          <w:szCs w:val="21"/>
        </w:rPr>
      </w:pPr>
    </w:p>
    <w:p>
      <w:pPr>
        <w:numPr>
          <w:ilvl w:val="0"/>
          <w:numId w:val="0"/>
        </w:numPr>
        <w:spacing w:line="360" w:lineRule="auto"/>
        <w:ind w:firstLine="420" w:firstLineChars="200"/>
        <w:rPr>
          <w:rFonts w:hint="eastAsia" w:ascii="宋体" w:hAnsi="宋体"/>
          <w:b w:val="0"/>
          <w:bCs w:val="0"/>
          <w:color w:val="000000"/>
          <w:sz w:val="21"/>
          <w:szCs w:val="21"/>
        </w:rPr>
      </w:pPr>
    </w:p>
    <w:p>
      <w:pPr>
        <w:numPr>
          <w:ilvl w:val="0"/>
          <w:numId w:val="0"/>
        </w:numPr>
        <w:spacing w:line="360" w:lineRule="auto"/>
        <w:ind w:firstLine="420" w:firstLineChars="200"/>
        <w:rPr>
          <w:rFonts w:hint="eastAsia" w:ascii="宋体" w:hAnsi="宋体"/>
          <w:b w:val="0"/>
          <w:bCs w:val="0"/>
          <w:color w:val="000000"/>
          <w:sz w:val="21"/>
          <w:szCs w:val="21"/>
        </w:rPr>
      </w:pPr>
    </w:p>
    <w:p>
      <w:pPr>
        <w:numPr>
          <w:ilvl w:val="0"/>
          <w:numId w:val="0"/>
        </w:numPr>
        <w:spacing w:line="360" w:lineRule="auto"/>
        <w:ind w:firstLine="420" w:firstLineChars="200"/>
        <w:rPr>
          <w:rFonts w:hint="eastAsia" w:ascii="宋体" w:hAnsi="宋体"/>
          <w:b w:val="0"/>
          <w:bCs w:val="0"/>
          <w:color w:val="000000"/>
          <w:sz w:val="21"/>
          <w:szCs w:val="21"/>
        </w:rPr>
      </w:pPr>
    </w:p>
    <w:p>
      <w:pPr>
        <w:numPr>
          <w:ilvl w:val="0"/>
          <w:numId w:val="0"/>
        </w:numPr>
        <w:spacing w:line="360" w:lineRule="auto"/>
        <w:ind w:firstLine="420" w:firstLineChars="200"/>
        <w:rPr>
          <w:rFonts w:hint="eastAsia" w:ascii="宋体" w:hAnsi="宋体"/>
          <w:b w:val="0"/>
          <w:bCs w:val="0"/>
          <w:color w:val="000000"/>
          <w:sz w:val="21"/>
          <w:szCs w:val="21"/>
        </w:rPr>
      </w:pPr>
    </w:p>
    <w:p>
      <w:pPr>
        <w:numPr>
          <w:ilvl w:val="0"/>
          <w:numId w:val="0"/>
        </w:numPr>
        <w:spacing w:line="360" w:lineRule="auto"/>
        <w:ind w:firstLine="420" w:firstLineChars="200"/>
        <w:rPr>
          <w:rFonts w:hint="eastAsia" w:ascii="宋体" w:hAnsi="宋体"/>
          <w:b w:val="0"/>
          <w:bCs w:val="0"/>
          <w:color w:val="000000"/>
          <w:sz w:val="21"/>
          <w:szCs w:val="21"/>
        </w:rPr>
      </w:pPr>
    </w:p>
    <w:p>
      <w:pPr>
        <w:numPr>
          <w:ilvl w:val="0"/>
          <w:numId w:val="0"/>
        </w:numPr>
        <w:spacing w:line="360" w:lineRule="auto"/>
        <w:ind w:firstLine="420" w:firstLineChars="200"/>
        <w:rPr>
          <w:rFonts w:hint="eastAsia" w:ascii="宋体" w:hAnsi="宋体"/>
          <w:b w:val="0"/>
          <w:bCs w:val="0"/>
          <w:color w:val="000000"/>
          <w:sz w:val="21"/>
          <w:szCs w:val="21"/>
        </w:rPr>
      </w:pPr>
    </w:p>
    <w:p>
      <w:pPr>
        <w:numPr>
          <w:ilvl w:val="0"/>
          <w:numId w:val="0"/>
        </w:numPr>
        <w:spacing w:line="360" w:lineRule="auto"/>
        <w:ind w:firstLine="420" w:firstLineChars="200"/>
        <w:rPr>
          <w:rFonts w:hint="eastAsia" w:ascii="宋体" w:hAnsi="宋体"/>
          <w:b w:val="0"/>
          <w:bCs w:val="0"/>
          <w:color w:val="000000"/>
          <w:sz w:val="21"/>
          <w:szCs w:val="21"/>
        </w:rPr>
      </w:pPr>
    </w:p>
    <w:p>
      <w:pPr>
        <w:numPr>
          <w:ilvl w:val="0"/>
          <w:numId w:val="0"/>
        </w:numPr>
        <w:spacing w:line="360" w:lineRule="auto"/>
        <w:ind w:firstLine="420" w:firstLineChars="200"/>
        <w:rPr>
          <w:rFonts w:hint="eastAsia" w:ascii="宋体" w:hAnsi="宋体"/>
          <w:b w:val="0"/>
          <w:bCs w:val="0"/>
          <w:color w:val="000000"/>
          <w:sz w:val="21"/>
          <w:szCs w:val="21"/>
          <w:lang w:val="en-US" w:eastAsia="zh-CN"/>
        </w:rPr>
      </w:pPr>
    </w:p>
    <w:p>
      <w:pPr>
        <w:numPr>
          <w:ilvl w:val="0"/>
          <w:numId w:val="0"/>
        </w:numPr>
        <w:spacing w:line="360" w:lineRule="auto"/>
        <w:ind w:firstLine="420" w:firstLineChars="200"/>
        <w:rPr>
          <w:rFonts w:hint="eastAsia" w:ascii="宋体" w:hAnsi="宋体"/>
          <w:b w:val="0"/>
          <w:bCs w:val="0"/>
          <w:color w:val="000000"/>
          <w:sz w:val="21"/>
          <w:szCs w:val="21"/>
          <w:lang w:val="en-US" w:eastAsia="zh-CN"/>
        </w:rPr>
      </w:pPr>
    </w:p>
    <w:p>
      <w:pPr>
        <w:numPr>
          <w:ilvl w:val="0"/>
          <w:numId w:val="0"/>
        </w:numPr>
        <w:spacing w:line="360" w:lineRule="auto"/>
        <w:ind w:firstLine="420" w:firstLineChars="200"/>
        <w:rPr>
          <w:rFonts w:hint="eastAsia" w:ascii="宋体" w:hAnsi="宋体"/>
          <w:b w:val="0"/>
          <w:bCs w:val="0"/>
          <w:color w:val="000000"/>
          <w:sz w:val="21"/>
          <w:szCs w:val="21"/>
          <w:lang w:val="en-US" w:eastAsia="zh-CN"/>
        </w:rPr>
      </w:pPr>
    </w:p>
    <w:p>
      <w:pPr>
        <w:spacing w:line="360" w:lineRule="auto"/>
        <w:rPr>
          <w:rFonts w:hint="default"/>
          <w:sz w:val="24"/>
          <w:szCs w:val="24"/>
          <w:lang w:val="en-US" w:eastAsia="zh-CN"/>
        </w:rPr>
      </w:pPr>
      <w:r>
        <w:rPr>
          <w:rFonts w:hint="eastAsia" w:ascii="宋体" w:hAnsi="宋体"/>
          <w:b/>
          <w:bCs/>
          <w:color w:val="000000"/>
          <w:sz w:val="24"/>
          <w:szCs w:val="24"/>
          <w:lang w:val="en-US" w:eastAsia="zh-CN"/>
        </w:rPr>
        <w:t>四</w:t>
      </w:r>
      <w:r>
        <w:rPr>
          <w:rFonts w:hint="eastAsia" w:ascii="宋体" w:hAnsi="宋体"/>
          <w:b/>
          <w:bCs/>
          <w:color w:val="000000"/>
          <w:sz w:val="24"/>
          <w:szCs w:val="24"/>
        </w:rPr>
        <w:t>、</w:t>
      </w:r>
      <w:r>
        <w:rPr>
          <w:rFonts w:hint="eastAsia" w:ascii="宋体" w:hAnsi="宋体"/>
          <w:b/>
          <w:bCs/>
          <w:color w:val="000000"/>
          <w:sz w:val="24"/>
          <w:szCs w:val="24"/>
          <w:lang w:val="en-US" w:eastAsia="zh-CN"/>
        </w:rPr>
        <w:t>评分细则</w:t>
      </w:r>
    </w:p>
    <w:p>
      <w:pPr>
        <w:spacing w:line="360" w:lineRule="auto"/>
        <w:ind w:firstLine="406" w:firstLineChars="200"/>
        <w:rPr>
          <w:rStyle w:val="20"/>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pacing w:val="-4"/>
          <w:sz w:val="21"/>
          <w:szCs w:val="21"/>
        </w:rPr>
        <w:t>1、商务技术分（0-</w:t>
      </w:r>
      <w:r>
        <w:rPr>
          <w:rFonts w:hint="eastAsia" w:asciiTheme="minorEastAsia" w:hAnsiTheme="minorEastAsia" w:eastAsiaTheme="minorEastAsia" w:cstheme="minorEastAsia"/>
          <w:b/>
          <w:bCs/>
          <w:spacing w:val="-4"/>
          <w:sz w:val="21"/>
          <w:szCs w:val="21"/>
          <w:lang w:val="en-US" w:eastAsia="zh-CN"/>
        </w:rPr>
        <w:t>70</w:t>
      </w:r>
      <w:r>
        <w:rPr>
          <w:rFonts w:hint="eastAsia" w:asciiTheme="minorEastAsia" w:hAnsiTheme="minorEastAsia" w:eastAsiaTheme="minorEastAsia" w:cstheme="minorEastAsia"/>
          <w:b/>
          <w:bCs/>
          <w:spacing w:val="-4"/>
          <w:sz w:val="21"/>
          <w:szCs w:val="21"/>
        </w:rPr>
        <w:t>分）</w:t>
      </w:r>
    </w:p>
    <w:tbl>
      <w:tblPr>
        <w:tblStyle w:val="17"/>
        <w:tblW w:w="147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4"/>
        <w:gridCol w:w="5175"/>
        <w:gridCol w:w="1785"/>
        <w:gridCol w:w="6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5175"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评定项目</w:t>
            </w:r>
          </w:p>
        </w:tc>
        <w:tc>
          <w:tcPr>
            <w:tcW w:w="1785"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6318" w:type="dxa"/>
            <w:noWrap w:val="0"/>
            <w:vAlign w:val="center"/>
          </w:tcPr>
          <w:p>
            <w:pPr>
              <w:ind w:left="105" w:leftChars="50" w:right="10" w:rightChars="5"/>
              <w:jc w:val="center"/>
              <w:rPr>
                <w:rFonts w:hint="eastAsia" w:ascii="宋体" w:hAnsi="宋体" w:eastAsia="宋体" w:cs="宋体"/>
                <w:sz w:val="21"/>
                <w:szCs w:val="21"/>
              </w:rPr>
            </w:pPr>
            <w:r>
              <w:rPr>
                <w:rFonts w:hint="eastAsia" w:ascii="宋体" w:hAnsi="宋体" w:eastAsia="宋体" w:cs="宋体"/>
                <w:sz w:val="21"/>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517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对应于</w:t>
            </w:r>
            <w:r>
              <w:rPr>
                <w:rFonts w:hint="eastAsia" w:ascii="宋体" w:hAnsi="宋体" w:eastAsia="宋体" w:cs="宋体"/>
                <w:sz w:val="21"/>
                <w:szCs w:val="21"/>
                <w:lang w:val="en-US" w:eastAsia="zh-CN"/>
              </w:rPr>
              <w:t>遴选</w:t>
            </w:r>
            <w:r>
              <w:rPr>
                <w:rFonts w:hint="eastAsia" w:ascii="宋体" w:hAnsi="宋体" w:eastAsia="宋体" w:cs="宋体"/>
                <w:sz w:val="21"/>
                <w:szCs w:val="21"/>
              </w:rPr>
              <w:t>文件</w:t>
            </w:r>
            <w:r>
              <w:rPr>
                <w:rFonts w:hint="eastAsia" w:ascii="宋体" w:hAnsi="宋体" w:eastAsia="宋体" w:cs="宋体"/>
                <w:sz w:val="21"/>
                <w:szCs w:val="21"/>
                <w:lang w:val="en-US" w:eastAsia="zh-CN"/>
              </w:rPr>
              <w:t>产品</w:t>
            </w:r>
            <w:r>
              <w:rPr>
                <w:rFonts w:hint="eastAsia" w:ascii="宋体" w:hAnsi="宋体" w:eastAsia="宋体" w:cs="宋体"/>
                <w:sz w:val="21"/>
                <w:szCs w:val="21"/>
              </w:rPr>
              <w:t>技术规格及配置的偏离度</w:t>
            </w:r>
          </w:p>
        </w:tc>
        <w:tc>
          <w:tcPr>
            <w:tcW w:w="1785" w:type="dxa"/>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28</w:t>
            </w:r>
          </w:p>
        </w:tc>
        <w:tc>
          <w:tcPr>
            <w:tcW w:w="6318"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遴选</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lang w:val="en-US" w:eastAsia="zh-CN"/>
              </w:rPr>
              <w:t>产品规格尺寸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商务要求对比，</w:t>
            </w:r>
            <w:bookmarkStart w:id="4" w:name="OLE_LINK3"/>
            <w:r>
              <w:rPr>
                <w:rFonts w:hint="eastAsia" w:ascii="宋体" w:hAnsi="宋体" w:eastAsia="宋体" w:cs="宋体"/>
                <w:color w:val="auto"/>
                <w:sz w:val="21"/>
                <w:szCs w:val="21"/>
                <w:highlight w:val="none"/>
              </w:rPr>
              <w:t>一项指标负偏离扣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bookmarkEnd w:id="4"/>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5175" w:type="dxa"/>
            <w:noWrap w:val="0"/>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产品</w:t>
            </w:r>
            <w:r>
              <w:rPr>
                <w:rFonts w:hint="eastAsia" w:ascii="宋体" w:hAnsi="宋体" w:eastAsia="宋体" w:cs="宋体"/>
                <w:sz w:val="21"/>
                <w:szCs w:val="21"/>
              </w:rPr>
              <w:t>的档次</w:t>
            </w:r>
          </w:p>
        </w:tc>
        <w:tc>
          <w:tcPr>
            <w:tcW w:w="1785" w:type="dxa"/>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6318"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w:t>
            </w:r>
            <w:r>
              <w:rPr>
                <w:rFonts w:hint="eastAsia" w:ascii="宋体" w:hAnsi="宋体" w:eastAsia="宋体" w:cs="宋体"/>
                <w:sz w:val="21"/>
                <w:szCs w:val="21"/>
                <w:lang w:val="en-US" w:eastAsia="zh-CN"/>
              </w:rPr>
              <w:t>产品</w:t>
            </w:r>
            <w:r>
              <w:rPr>
                <w:rFonts w:hint="eastAsia" w:ascii="宋体" w:hAnsi="宋体" w:eastAsia="宋体" w:cs="宋体"/>
                <w:sz w:val="21"/>
                <w:szCs w:val="21"/>
              </w:rPr>
              <w:t>在产品系列中属高档产品的，得</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8</w:t>
            </w:r>
            <w:r>
              <w:rPr>
                <w:rFonts w:hint="eastAsia" w:ascii="宋体" w:hAnsi="宋体" w:eastAsia="宋体" w:cs="宋体"/>
                <w:sz w:val="21"/>
                <w:szCs w:val="21"/>
              </w:rPr>
              <w:t>分；属中等档次产品的，得</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rPr>
              <w:t>分；属低档产品的，得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517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保修服务</w:t>
            </w:r>
          </w:p>
        </w:tc>
        <w:tc>
          <w:tcPr>
            <w:tcW w:w="1785"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6318"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lang w:val="en-US" w:eastAsia="zh-CN"/>
              </w:rPr>
              <w:t>产品质保</w:t>
            </w:r>
            <w:r>
              <w:rPr>
                <w:rFonts w:hint="eastAsia" w:ascii="宋体" w:hAnsi="宋体" w:eastAsia="宋体" w:cs="宋体"/>
                <w:sz w:val="21"/>
                <w:szCs w:val="21"/>
              </w:rPr>
              <w:t>期超过</w:t>
            </w:r>
            <w:r>
              <w:rPr>
                <w:rFonts w:hint="eastAsia" w:ascii="宋体" w:hAnsi="宋体" w:eastAsia="宋体" w:cs="宋体"/>
                <w:sz w:val="21"/>
                <w:szCs w:val="21"/>
                <w:lang w:val="en-US" w:eastAsia="zh-CN"/>
              </w:rPr>
              <w:t>遴选</w:t>
            </w:r>
            <w:r>
              <w:rPr>
                <w:rFonts w:hint="eastAsia" w:ascii="宋体" w:hAnsi="宋体" w:eastAsia="宋体" w:cs="宋体"/>
                <w:sz w:val="21"/>
                <w:szCs w:val="21"/>
              </w:rPr>
              <w:t>文件要求的，每增加1年加1分</w:t>
            </w:r>
            <w:r>
              <w:rPr>
                <w:rFonts w:hint="eastAsia" w:ascii="宋体" w:hAnsi="宋体" w:eastAsia="宋体" w:cs="宋体"/>
                <w:sz w:val="21"/>
                <w:szCs w:val="21"/>
                <w:lang w:val="en-US" w:eastAsia="zh-CN"/>
              </w:rPr>
              <w:t>，</w:t>
            </w:r>
            <w:r>
              <w:rPr>
                <w:rFonts w:hint="eastAsia" w:ascii="宋体" w:hAnsi="宋体" w:eastAsia="宋体" w:cs="宋体"/>
                <w:sz w:val="21"/>
                <w:szCs w:val="21"/>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517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投标产品总体质量性能</w:t>
            </w:r>
          </w:p>
        </w:tc>
        <w:tc>
          <w:tcPr>
            <w:tcW w:w="1785" w:type="dxa"/>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6318" w:type="dxa"/>
            <w:noWrap w:val="0"/>
            <w:vAlign w:val="center"/>
          </w:tcPr>
          <w:p>
            <w:pPr>
              <w:ind w:left="105" w:leftChars="50" w:right="10" w:rightChars="5"/>
              <w:rPr>
                <w:rFonts w:hint="eastAsia" w:ascii="宋体" w:hAnsi="宋体" w:eastAsia="宋体" w:cs="宋体"/>
                <w:sz w:val="21"/>
                <w:szCs w:val="21"/>
                <w:lang w:eastAsia="zh-CN"/>
              </w:rPr>
            </w:pPr>
            <w:r>
              <w:rPr>
                <w:rFonts w:hint="eastAsia" w:ascii="宋体" w:hAnsi="宋体" w:eastAsia="宋体" w:cs="宋体"/>
                <w:sz w:val="21"/>
                <w:szCs w:val="21"/>
              </w:rPr>
              <w:t>投标产品的使用情况、稳定性、故障率等总体质量性能综合评价。</w:t>
            </w:r>
          </w:p>
          <w:p>
            <w:pPr>
              <w:ind w:left="105" w:leftChars="50" w:right="10" w:rightChars="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A档：</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8</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B档：</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分；C档：</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17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市场占有率</w:t>
            </w:r>
          </w:p>
        </w:tc>
        <w:tc>
          <w:tcPr>
            <w:tcW w:w="1785"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6318"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温州市或浙江省内</w:t>
            </w:r>
            <w:r>
              <w:rPr>
                <w:rFonts w:hint="eastAsia" w:ascii="宋体" w:hAnsi="宋体" w:eastAsia="宋体" w:cs="宋体"/>
                <w:sz w:val="21"/>
                <w:szCs w:val="21"/>
              </w:rPr>
              <w:t>20</w:t>
            </w:r>
            <w:r>
              <w:rPr>
                <w:rFonts w:hint="eastAsia" w:ascii="宋体" w:hAnsi="宋体" w:eastAsia="宋体" w:cs="宋体"/>
                <w:sz w:val="21"/>
                <w:szCs w:val="21"/>
                <w:lang w:val="en-US" w:eastAsia="zh-CN"/>
              </w:rPr>
              <w:t>22</w:t>
            </w:r>
            <w:r>
              <w:rPr>
                <w:rFonts w:hint="eastAsia" w:ascii="宋体" w:hAnsi="宋体" w:eastAsia="宋体" w:cs="宋体"/>
                <w:sz w:val="21"/>
                <w:szCs w:val="21"/>
              </w:rPr>
              <w:t>年1月1日起至今与最终用户签订的</w:t>
            </w:r>
            <w:r>
              <w:rPr>
                <w:rFonts w:hint="eastAsia" w:ascii="宋体" w:hAnsi="宋体" w:eastAsia="宋体" w:cs="宋体"/>
                <w:sz w:val="21"/>
                <w:szCs w:val="21"/>
                <w:lang w:val="en-US" w:eastAsia="zh-CN"/>
              </w:rPr>
              <w:t>同类项目</w:t>
            </w:r>
            <w:r>
              <w:rPr>
                <w:rFonts w:hint="eastAsia" w:ascii="宋体" w:hAnsi="宋体" w:eastAsia="宋体" w:cs="宋体"/>
                <w:sz w:val="21"/>
                <w:szCs w:val="21"/>
              </w:rPr>
              <w:t>合同</w:t>
            </w:r>
            <w:r>
              <w:rPr>
                <w:rFonts w:hint="eastAsia" w:ascii="宋体" w:hAnsi="宋体" w:eastAsia="宋体" w:cs="宋体"/>
                <w:sz w:val="21"/>
                <w:szCs w:val="21"/>
                <w:lang w:val="en-US" w:eastAsia="zh-CN"/>
              </w:rPr>
              <w:t>及发票</w:t>
            </w:r>
            <w:r>
              <w:rPr>
                <w:rFonts w:hint="eastAsia" w:ascii="宋体" w:hAnsi="宋体" w:eastAsia="宋体" w:cs="宋体"/>
                <w:sz w:val="21"/>
                <w:szCs w:val="21"/>
              </w:rPr>
              <w:t>复印件，每份有效合同得</w:t>
            </w:r>
            <w:r>
              <w:rPr>
                <w:rFonts w:hint="eastAsia" w:ascii="宋体" w:hAnsi="宋体" w:eastAsia="宋体" w:cs="宋体"/>
                <w:sz w:val="21"/>
                <w:szCs w:val="21"/>
                <w:lang w:val="en-US" w:eastAsia="zh-CN"/>
              </w:rPr>
              <w:t>1</w:t>
            </w:r>
            <w:r>
              <w:rPr>
                <w:rFonts w:hint="eastAsia" w:ascii="宋体" w:hAnsi="宋体" w:eastAsia="宋体" w:cs="宋体"/>
                <w:sz w:val="21"/>
                <w:szCs w:val="21"/>
              </w:rPr>
              <w:t>分，最多</w:t>
            </w:r>
            <w:r>
              <w:rPr>
                <w:rFonts w:hint="eastAsia" w:ascii="宋体" w:hAnsi="宋体" w:eastAsia="宋体" w:cs="宋体"/>
                <w:sz w:val="21"/>
                <w:szCs w:val="21"/>
                <w:lang w:val="en-US" w:eastAsia="zh-CN"/>
              </w:rPr>
              <w:t>3</w:t>
            </w:r>
            <w:r>
              <w:rPr>
                <w:rFonts w:hint="eastAsia" w:ascii="宋体" w:hAnsi="宋体" w:eastAsia="宋体" w:cs="宋体"/>
                <w:sz w:val="21"/>
                <w:szCs w:val="21"/>
              </w:rPr>
              <w:t>分。（与同一采购人签订的多份合同或协议视为一个业绩）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17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制造商或代理商的售后服务和维修能力</w:t>
            </w:r>
          </w:p>
        </w:tc>
        <w:tc>
          <w:tcPr>
            <w:tcW w:w="1785" w:type="dxa"/>
            <w:noWrap w:val="0"/>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p>
        </w:tc>
        <w:tc>
          <w:tcPr>
            <w:tcW w:w="6318" w:type="dxa"/>
            <w:noWrap w:val="0"/>
            <w:vAlign w:val="center"/>
          </w:tcPr>
          <w:p>
            <w:pPr>
              <w:ind w:left="105" w:leftChars="50" w:right="10" w:rightChars="5"/>
              <w:rPr>
                <w:rFonts w:hint="eastAsia" w:ascii="宋体" w:hAnsi="宋体" w:eastAsia="宋体" w:cs="宋体"/>
                <w:sz w:val="21"/>
                <w:szCs w:val="21"/>
                <w:lang w:eastAsia="zh-CN"/>
              </w:rPr>
            </w:pPr>
            <w:r>
              <w:rPr>
                <w:rFonts w:hint="eastAsia" w:ascii="宋体" w:hAnsi="宋体" w:eastAsia="宋体" w:cs="宋体"/>
                <w:sz w:val="21"/>
                <w:szCs w:val="21"/>
              </w:rPr>
              <w:t>制造商或代理商的售后服务和维修能力，服务响应速度、服务人员水平、备品备件配置等综合评价。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r>
              <w:rPr>
                <w:rFonts w:hint="eastAsia" w:ascii="宋体" w:hAnsi="宋体" w:eastAsia="宋体" w:cs="宋体"/>
                <w:sz w:val="21"/>
                <w:szCs w:val="21"/>
                <w:lang w:eastAsia="zh-CN"/>
              </w:rPr>
              <w:t>）</w:t>
            </w:r>
          </w:p>
        </w:tc>
      </w:tr>
    </w:tbl>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30</w:t>
      </w:r>
      <w:r>
        <w:rPr>
          <w:rFonts w:hint="eastAsia" w:asciiTheme="minorEastAsia" w:hAnsiTheme="minorEastAsia" w:eastAsiaTheme="minorEastAsia" w:cstheme="minorEastAsia"/>
          <w:b/>
          <w:bCs/>
          <w:spacing w:val="-4"/>
          <w:sz w:val="24"/>
          <w:szCs w:val="24"/>
        </w:rPr>
        <w:t>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价格分采用低价优先法计算，即满足</w:t>
      </w:r>
      <w:r>
        <w:rPr>
          <w:rFonts w:hint="eastAsia" w:ascii="宋体" w:hAnsi="宋体" w:cs="宋体"/>
          <w:sz w:val="21"/>
          <w:szCs w:val="21"/>
          <w:lang w:val="en-US" w:eastAsia="zh-CN"/>
        </w:rPr>
        <w:t>遴选</w:t>
      </w:r>
      <w:r>
        <w:rPr>
          <w:rFonts w:hint="eastAsia" w:ascii="宋体" w:hAnsi="宋体" w:eastAsia="宋体" w:cs="宋体"/>
          <w:sz w:val="21"/>
          <w:szCs w:val="21"/>
        </w:rPr>
        <w:t>文件要求且投标报价最低的投标报价为评标基准价，其得分为满分</w:t>
      </w:r>
      <w:r>
        <w:rPr>
          <w:rFonts w:hint="eastAsia" w:ascii="宋体" w:hAnsi="宋体" w:eastAsia="宋体" w:cs="宋体"/>
          <w:sz w:val="21"/>
          <w:szCs w:val="21"/>
          <w:lang w:val="en-US" w:eastAsia="zh-CN"/>
        </w:rPr>
        <w:t>30</w:t>
      </w:r>
      <w:r>
        <w:rPr>
          <w:rFonts w:hint="eastAsia" w:ascii="宋体" w:hAnsi="宋体" w:eastAsia="宋体" w:cs="宋体"/>
          <w:sz w:val="21"/>
          <w:szCs w:val="21"/>
        </w:rPr>
        <w:t>分。其他投标人的价格分按照下列公式计算：</w:t>
      </w:r>
    </w:p>
    <w:p>
      <w:pPr>
        <w:spacing w:line="360" w:lineRule="auto"/>
        <w:ind w:firstLine="420" w:firstLineChars="200"/>
        <w:rPr>
          <w:rFonts w:hint="eastAsia" w:ascii="新宋体" w:hAnsi="新宋体" w:eastAsia="新宋体" w:cs="新宋体"/>
          <w:b/>
          <w:bCs/>
          <w:color w:val="auto"/>
          <w:kern w:val="2"/>
          <w:sz w:val="21"/>
          <w:szCs w:val="21"/>
          <w:highlight w:val="none"/>
          <w:lang w:val="en-US" w:eastAsia="zh-CN" w:bidi="ar-SA"/>
        </w:rPr>
      </w:pPr>
      <w:r>
        <w:rPr>
          <w:rFonts w:hint="eastAsia" w:ascii="宋体" w:hAnsi="宋体" w:eastAsia="宋体" w:cs="宋体"/>
          <w:sz w:val="21"/>
          <w:szCs w:val="21"/>
        </w:rPr>
        <w:t>价格分=（评标基准价/投标报价）×</w:t>
      </w:r>
      <w:r>
        <w:rPr>
          <w:rFonts w:hint="eastAsia" w:ascii="宋体" w:hAnsi="宋体" w:eastAsia="宋体" w:cs="宋体"/>
          <w:sz w:val="21"/>
          <w:szCs w:val="21"/>
          <w:lang w:val="en-US" w:eastAsia="zh-CN"/>
        </w:rPr>
        <w:t>30</w:t>
      </w:r>
      <w:r>
        <w:rPr>
          <w:rFonts w:hint="eastAsia" w:ascii="宋体" w:hAnsi="宋体" w:eastAsia="宋体" w:cs="宋体"/>
          <w:sz w:val="21"/>
          <w:szCs w:val="21"/>
        </w:rPr>
        <w:t>%×100</w:t>
      </w:r>
    </w:p>
    <w:p>
      <w:pPr>
        <w:pStyle w:val="3"/>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报价一览表</w:t>
      </w:r>
    </w:p>
    <w:p>
      <w:pPr>
        <w:autoSpaceDE w:val="0"/>
        <w:autoSpaceDN w:val="0"/>
        <w:spacing w:line="360" w:lineRule="auto"/>
        <w:ind w:right="893" w:firstLine="210" w:firstLineChars="100"/>
        <w:textAlignment w:val="bottom"/>
        <w:rPr>
          <w:rFonts w:hint="eastAsia" w:ascii="新宋体" w:hAnsi="新宋体" w:eastAsia="新宋体" w:cs="新宋体"/>
          <w:b w:val="0"/>
          <w:bCs/>
          <w:color w:val="auto"/>
          <w:sz w:val="21"/>
          <w:szCs w:val="21"/>
          <w:highlight w:val="none"/>
        </w:rPr>
      </w:pPr>
      <w:r>
        <w:rPr>
          <w:rFonts w:hint="eastAsia" w:ascii="新宋体" w:hAnsi="新宋体" w:eastAsia="新宋体" w:cs="新宋体"/>
          <w:b w:val="0"/>
          <w:bCs/>
          <w:color w:val="auto"/>
          <w:sz w:val="21"/>
          <w:szCs w:val="21"/>
          <w:highlight w:val="none"/>
        </w:rPr>
        <w:t>项目名称：</w:t>
      </w:r>
      <w:r>
        <w:rPr>
          <w:rFonts w:hint="eastAsia" w:ascii="宋体" w:hAnsi="宋体" w:eastAsia="宋体" w:cs="宋体"/>
          <w:sz w:val="21"/>
          <w:szCs w:val="21"/>
          <w:lang w:val="en-US" w:eastAsia="zh-Hans"/>
        </w:rPr>
        <w:t>温</w:t>
      </w:r>
      <w:r>
        <w:rPr>
          <w:rFonts w:hint="eastAsia" w:ascii="宋体" w:hAnsi="宋体" w:eastAsia="宋体" w:cs="宋体"/>
          <w:b w:val="0"/>
          <w:bCs w:val="0"/>
          <w:sz w:val="21"/>
          <w:szCs w:val="21"/>
          <w:lang w:val="en-US" w:eastAsia="zh-Hans"/>
        </w:rPr>
        <w:t>州市中医院</w:t>
      </w:r>
      <w:r>
        <w:rPr>
          <w:rFonts w:hint="eastAsia"/>
          <w:b w:val="0"/>
          <w:bCs w:val="0"/>
          <w:sz w:val="21"/>
          <w:szCs w:val="21"/>
          <w:lang w:val="en-US" w:eastAsia="zh-CN"/>
        </w:rPr>
        <w:t>手动双摇病床</w:t>
      </w:r>
      <w:r>
        <w:rPr>
          <w:rFonts w:hint="eastAsia" w:ascii="新宋体" w:hAnsi="新宋体" w:eastAsia="新宋体" w:cs="新宋体"/>
          <w:b w:val="0"/>
          <w:bCs/>
          <w:color w:val="auto"/>
          <w:sz w:val="21"/>
          <w:szCs w:val="21"/>
          <w:highlight w:val="none"/>
        </w:rPr>
        <w:t xml:space="preserve">                               </w:t>
      </w:r>
    </w:p>
    <w:tbl>
      <w:tblPr>
        <w:tblStyle w:val="17"/>
        <w:tblW w:w="1512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4"/>
        <w:gridCol w:w="2568"/>
        <w:gridCol w:w="1318"/>
        <w:gridCol w:w="1425"/>
        <w:gridCol w:w="1635"/>
        <w:gridCol w:w="1515"/>
        <w:gridCol w:w="25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4094" w:type="dxa"/>
            <w:noWrap w:val="0"/>
            <w:vAlign w:val="center"/>
          </w:tcPr>
          <w:p>
            <w:pPr>
              <w:pStyle w:val="10"/>
              <w:jc w:val="center"/>
              <w:rPr>
                <w:rFonts w:hint="eastAsia" w:hAnsi="宋体"/>
                <w:sz w:val="21"/>
                <w:szCs w:val="21"/>
              </w:rPr>
            </w:pPr>
            <w:r>
              <w:rPr>
                <w:rFonts w:hint="eastAsia" w:hAnsi="宋体"/>
                <w:bCs/>
                <w:sz w:val="21"/>
                <w:szCs w:val="21"/>
              </w:rPr>
              <w:t>项目名称</w:t>
            </w:r>
          </w:p>
        </w:tc>
        <w:tc>
          <w:tcPr>
            <w:tcW w:w="2568" w:type="dxa"/>
            <w:noWrap w:val="0"/>
            <w:vAlign w:val="center"/>
          </w:tcPr>
          <w:p>
            <w:pPr>
              <w:pStyle w:val="10"/>
              <w:jc w:val="center"/>
              <w:rPr>
                <w:rFonts w:hint="default" w:hAnsi="宋体" w:eastAsia="宋体"/>
                <w:sz w:val="21"/>
                <w:szCs w:val="21"/>
                <w:lang w:val="en-US" w:eastAsia="zh-CN"/>
              </w:rPr>
            </w:pPr>
            <w:r>
              <w:rPr>
                <w:rFonts w:hint="eastAsia" w:hAnsi="宋体"/>
                <w:bCs/>
                <w:sz w:val="21"/>
                <w:szCs w:val="21"/>
                <w:lang w:val="en-US" w:eastAsia="zh-CN"/>
              </w:rPr>
              <w:t>数量与单位</w:t>
            </w:r>
          </w:p>
        </w:tc>
        <w:tc>
          <w:tcPr>
            <w:tcW w:w="1318" w:type="dxa"/>
            <w:noWrap w:val="0"/>
            <w:vAlign w:val="center"/>
          </w:tcPr>
          <w:p>
            <w:pPr>
              <w:pStyle w:val="10"/>
              <w:jc w:val="center"/>
              <w:rPr>
                <w:rFonts w:hint="default" w:hAnsi="宋体"/>
                <w:bCs/>
                <w:sz w:val="21"/>
                <w:szCs w:val="21"/>
                <w:lang w:val="en-US" w:eastAsia="zh-CN"/>
              </w:rPr>
            </w:pPr>
            <w:r>
              <w:rPr>
                <w:rFonts w:hint="eastAsia" w:hAnsi="宋体"/>
                <w:bCs/>
                <w:sz w:val="21"/>
                <w:szCs w:val="21"/>
                <w:lang w:val="en-US" w:eastAsia="zh-CN"/>
              </w:rPr>
              <w:t>品牌</w:t>
            </w:r>
          </w:p>
        </w:tc>
        <w:tc>
          <w:tcPr>
            <w:tcW w:w="1425" w:type="dxa"/>
            <w:noWrap w:val="0"/>
            <w:vAlign w:val="center"/>
          </w:tcPr>
          <w:p>
            <w:pPr>
              <w:pStyle w:val="10"/>
              <w:jc w:val="center"/>
              <w:rPr>
                <w:rFonts w:hint="default" w:hAnsi="宋体"/>
                <w:bCs/>
                <w:sz w:val="21"/>
                <w:szCs w:val="21"/>
                <w:lang w:val="en-US" w:eastAsia="zh-CN"/>
              </w:rPr>
            </w:pPr>
            <w:r>
              <w:rPr>
                <w:rFonts w:hint="eastAsia" w:hAnsi="宋体"/>
                <w:bCs/>
                <w:sz w:val="21"/>
                <w:szCs w:val="21"/>
                <w:lang w:val="en-US" w:eastAsia="zh-CN"/>
              </w:rPr>
              <w:t>规格型号</w:t>
            </w:r>
          </w:p>
        </w:tc>
        <w:tc>
          <w:tcPr>
            <w:tcW w:w="1635" w:type="dxa"/>
            <w:noWrap w:val="0"/>
            <w:vAlign w:val="center"/>
          </w:tcPr>
          <w:p>
            <w:pPr>
              <w:pStyle w:val="10"/>
              <w:jc w:val="center"/>
              <w:rPr>
                <w:rFonts w:hint="default" w:hAnsi="宋体"/>
                <w:bCs/>
                <w:sz w:val="21"/>
                <w:szCs w:val="21"/>
                <w:lang w:val="en-US" w:eastAsia="zh-CN"/>
              </w:rPr>
            </w:pPr>
            <w:r>
              <w:rPr>
                <w:rFonts w:hint="eastAsia" w:hAnsi="宋体"/>
                <w:bCs/>
                <w:sz w:val="21"/>
                <w:szCs w:val="21"/>
                <w:lang w:val="en-US" w:eastAsia="zh-CN"/>
              </w:rPr>
              <w:t>单价（元）</w:t>
            </w:r>
          </w:p>
        </w:tc>
        <w:tc>
          <w:tcPr>
            <w:tcW w:w="1515" w:type="dxa"/>
            <w:noWrap w:val="0"/>
            <w:vAlign w:val="center"/>
          </w:tcPr>
          <w:p>
            <w:pPr>
              <w:pStyle w:val="10"/>
              <w:jc w:val="center"/>
              <w:rPr>
                <w:rFonts w:hint="default" w:hAnsi="宋体"/>
                <w:bCs/>
                <w:sz w:val="21"/>
                <w:szCs w:val="21"/>
                <w:lang w:val="en-US" w:eastAsia="zh-CN"/>
              </w:rPr>
            </w:pPr>
            <w:r>
              <w:rPr>
                <w:rFonts w:hint="eastAsia" w:hAnsi="宋体"/>
                <w:bCs/>
                <w:sz w:val="21"/>
                <w:szCs w:val="21"/>
                <w:lang w:val="en-US" w:eastAsia="zh-CN"/>
              </w:rPr>
              <w:t>小计（元）</w:t>
            </w:r>
          </w:p>
        </w:tc>
        <w:tc>
          <w:tcPr>
            <w:tcW w:w="2565" w:type="dxa"/>
            <w:noWrap w:val="0"/>
            <w:vAlign w:val="center"/>
          </w:tcPr>
          <w:p>
            <w:pPr>
              <w:pStyle w:val="10"/>
              <w:spacing w:line="460" w:lineRule="atLeast"/>
              <w:jc w:val="center"/>
              <w:rPr>
                <w:rFonts w:hint="eastAsia" w:hAnsi="宋体" w:eastAsia="宋体"/>
                <w:sz w:val="21"/>
                <w:szCs w:val="21"/>
                <w:lang w:eastAsia="zh-CN"/>
              </w:rPr>
            </w:pPr>
            <w:r>
              <w:rPr>
                <w:rFonts w:hint="eastAsia" w:hAnsi="宋体"/>
                <w:sz w:val="21"/>
                <w:szCs w:val="21"/>
                <w:lang w:val="en-US" w:eastAsia="zh-CN"/>
              </w:rPr>
              <w:t>免费质保期（≥3年）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094" w:type="dxa"/>
            <w:noWrap w:val="0"/>
            <w:vAlign w:val="center"/>
          </w:tcPr>
          <w:p>
            <w:pPr>
              <w:jc w:val="center"/>
              <w:rPr>
                <w:rFonts w:hint="eastAsia" w:eastAsia="宋体"/>
                <w:sz w:val="21"/>
                <w:szCs w:val="21"/>
                <w:lang w:eastAsia="zh-CN"/>
              </w:rPr>
            </w:pPr>
            <w:r>
              <w:rPr>
                <w:rFonts w:hint="eastAsia" w:ascii="宋体" w:hAnsi="宋体" w:eastAsia="宋体" w:cs="宋体"/>
                <w:sz w:val="21"/>
                <w:szCs w:val="21"/>
                <w:lang w:val="en-US" w:eastAsia="zh-Hans"/>
              </w:rPr>
              <w:t>温</w:t>
            </w:r>
            <w:r>
              <w:rPr>
                <w:rFonts w:hint="eastAsia" w:ascii="宋体" w:hAnsi="宋体" w:eastAsia="宋体" w:cs="宋体"/>
                <w:b w:val="0"/>
                <w:bCs w:val="0"/>
                <w:sz w:val="21"/>
                <w:szCs w:val="21"/>
                <w:lang w:val="en-US" w:eastAsia="zh-Hans"/>
              </w:rPr>
              <w:t>州市中医院</w:t>
            </w:r>
            <w:r>
              <w:rPr>
                <w:rFonts w:hint="eastAsia"/>
                <w:b w:val="0"/>
                <w:bCs w:val="0"/>
                <w:sz w:val="21"/>
                <w:szCs w:val="21"/>
                <w:lang w:val="en-US" w:eastAsia="zh-CN"/>
              </w:rPr>
              <w:t>手动双摇病床</w:t>
            </w:r>
          </w:p>
        </w:tc>
        <w:tc>
          <w:tcPr>
            <w:tcW w:w="2568" w:type="dxa"/>
            <w:noWrap w:val="0"/>
            <w:vAlign w:val="center"/>
          </w:tcPr>
          <w:p>
            <w:pPr>
              <w:jc w:val="center"/>
              <w:rPr>
                <w:rFonts w:hint="default"/>
                <w:sz w:val="21"/>
                <w:szCs w:val="21"/>
                <w:lang w:val="en-US"/>
              </w:rPr>
            </w:pPr>
            <w:r>
              <w:rPr>
                <w:rFonts w:hint="eastAsia" w:ascii="宋体" w:hAnsi="宋体" w:cs="宋体"/>
                <w:sz w:val="21"/>
                <w:szCs w:val="21"/>
                <w:lang w:val="en-US" w:eastAsia="zh-CN"/>
              </w:rPr>
              <w:t>6张</w:t>
            </w:r>
          </w:p>
        </w:tc>
        <w:tc>
          <w:tcPr>
            <w:tcW w:w="1318" w:type="dxa"/>
            <w:noWrap w:val="0"/>
            <w:vAlign w:val="center"/>
          </w:tcPr>
          <w:p>
            <w:pPr>
              <w:jc w:val="center"/>
              <w:rPr>
                <w:rFonts w:hint="eastAsia" w:ascii="宋体" w:hAnsi="宋体" w:cs="宋体"/>
                <w:sz w:val="21"/>
                <w:szCs w:val="21"/>
                <w:lang w:val="en-US" w:eastAsia="zh-CN"/>
              </w:rPr>
            </w:pPr>
          </w:p>
        </w:tc>
        <w:tc>
          <w:tcPr>
            <w:tcW w:w="1425" w:type="dxa"/>
            <w:noWrap w:val="0"/>
            <w:vAlign w:val="center"/>
          </w:tcPr>
          <w:p>
            <w:pPr>
              <w:jc w:val="center"/>
              <w:rPr>
                <w:rFonts w:hint="eastAsia" w:ascii="宋体" w:hAnsi="宋体" w:cs="宋体"/>
                <w:sz w:val="21"/>
                <w:szCs w:val="21"/>
                <w:lang w:val="en-US" w:eastAsia="zh-CN"/>
              </w:rPr>
            </w:pPr>
          </w:p>
        </w:tc>
        <w:tc>
          <w:tcPr>
            <w:tcW w:w="1635" w:type="dxa"/>
            <w:noWrap w:val="0"/>
            <w:vAlign w:val="center"/>
          </w:tcPr>
          <w:p>
            <w:pPr>
              <w:jc w:val="center"/>
              <w:rPr>
                <w:rFonts w:hint="eastAsia" w:ascii="宋体" w:hAnsi="宋体" w:cs="宋体"/>
                <w:sz w:val="21"/>
                <w:szCs w:val="21"/>
                <w:lang w:val="en-US" w:eastAsia="zh-CN"/>
              </w:rPr>
            </w:pPr>
          </w:p>
        </w:tc>
        <w:tc>
          <w:tcPr>
            <w:tcW w:w="1515" w:type="dxa"/>
            <w:noWrap w:val="0"/>
            <w:vAlign w:val="center"/>
          </w:tcPr>
          <w:p>
            <w:pPr>
              <w:jc w:val="center"/>
              <w:rPr>
                <w:rFonts w:hint="eastAsia" w:ascii="宋体" w:hAnsi="宋体" w:cs="宋体"/>
                <w:sz w:val="21"/>
                <w:szCs w:val="21"/>
                <w:lang w:val="en-US" w:eastAsia="zh-CN"/>
              </w:rPr>
            </w:pPr>
          </w:p>
        </w:tc>
        <w:tc>
          <w:tcPr>
            <w:tcW w:w="2565" w:type="dxa"/>
            <w:noWrap w:val="0"/>
            <w:vAlign w:val="center"/>
          </w:tcPr>
          <w:p>
            <w:pPr>
              <w:pStyle w:val="10"/>
              <w:spacing w:line="460" w:lineRule="atLeast"/>
              <w:ind w:firstLine="469"/>
              <w:jc w:val="center"/>
              <w:rPr>
                <w:rFonts w:hint="eastAsia" w:hAnsi="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094" w:type="dxa"/>
            <w:vMerge w:val="restart"/>
            <w:noWrap w:val="0"/>
            <w:vAlign w:val="center"/>
          </w:tcPr>
          <w:p>
            <w:pPr>
              <w:jc w:val="center"/>
              <w:rPr>
                <w:rFonts w:hint="eastAsia" w:ascii="宋体" w:hAnsi="宋体"/>
                <w:sz w:val="21"/>
                <w:szCs w:val="21"/>
              </w:rPr>
            </w:pPr>
            <w:r>
              <w:rPr>
                <w:rFonts w:hint="eastAsia" w:ascii="宋体" w:hAnsi="宋体"/>
                <w:sz w:val="21"/>
                <w:szCs w:val="21"/>
              </w:rPr>
              <w:t>投标</w:t>
            </w:r>
            <w:r>
              <w:rPr>
                <w:rFonts w:hint="eastAsia" w:ascii="宋体" w:hAnsi="宋体"/>
                <w:sz w:val="21"/>
                <w:szCs w:val="21"/>
                <w:lang w:val="en-US" w:eastAsia="zh-CN"/>
              </w:rPr>
              <w:t>总</w:t>
            </w:r>
            <w:r>
              <w:rPr>
                <w:rFonts w:hint="eastAsia" w:ascii="宋体" w:hAnsi="宋体"/>
                <w:sz w:val="21"/>
                <w:szCs w:val="21"/>
              </w:rPr>
              <w:t>报价</w:t>
            </w:r>
          </w:p>
        </w:tc>
        <w:tc>
          <w:tcPr>
            <w:tcW w:w="11026" w:type="dxa"/>
            <w:gridSpan w:val="6"/>
            <w:noWrap w:val="0"/>
            <w:vAlign w:val="center"/>
          </w:tcPr>
          <w:p>
            <w:pPr>
              <w:pStyle w:val="10"/>
              <w:spacing w:line="460" w:lineRule="atLeast"/>
              <w:rPr>
                <w:rFonts w:hint="eastAsia" w:hAnsi="宋体"/>
                <w:sz w:val="21"/>
                <w:szCs w:val="21"/>
              </w:rPr>
            </w:pPr>
            <w:r>
              <w:rPr>
                <w:rFonts w:hint="eastAsia" w:hAnsi="宋体"/>
                <w:sz w:val="21"/>
                <w:szCs w:val="21"/>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094" w:type="dxa"/>
            <w:vMerge w:val="continue"/>
            <w:noWrap w:val="0"/>
            <w:vAlign w:val="center"/>
          </w:tcPr>
          <w:p>
            <w:pPr>
              <w:pStyle w:val="10"/>
              <w:spacing w:line="460" w:lineRule="atLeast"/>
              <w:ind w:firstLine="469"/>
              <w:rPr>
                <w:rFonts w:hint="eastAsia" w:hAnsi="宋体"/>
                <w:sz w:val="21"/>
                <w:szCs w:val="21"/>
              </w:rPr>
            </w:pPr>
          </w:p>
        </w:tc>
        <w:tc>
          <w:tcPr>
            <w:tcW w:w="11026" w:type="dxa"/>
            <w:gridSpan w:val="6"/>
            <w:noWrap w:val="0"/>
            <w:vAlign w:val="center"/>
          </w:tcPr>
          <w:p>
            <w:pPr>
              <w:pStyle w:val="10"/>
              <w:spacing w:line="460" w:lineRule="atLeast"/>
              <w:rPr>
                <w:rFonts w:hint="eastAsia" w:hAnsi="宋体"/>
                <w:sz w:val="21"/>
                <w:szCs w:val="21"/>
              </w:rPr>
            </w:pPr>
            <w:r>
              <w:rPr>
                <w:rFonts w:hint="eastAsia" w:hAnsi="宋体"/>
                <w:sz w:val="21"/>
                <w:szCs w:val="21"/>
              </w:rPr>
              <w:t>（小写）￥：</w:t>
            </w:r>
          </w:p>
        </w:tc>
      </w:tr>
    </w:tbl>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lang w:val="en-US" w:eastAsia="zh-CN"/>
        </w:rPr>
        <w:t>1</w:t>
      </w:r>
      <w:r>
        <w:rPr>
          <w:rFonts w:hint="eastAsia" w:ascii="宋体" w:hAnsi="宋体"/>
          <w:b/>
          <w:bCs/>
          <w:sz w:val="22"/>
          <w:szCs w:val="22"/>
        </w:rPr>
        <w:t>、不提供</w:t>
      </w:r>
      <w:r>
        <w:rPr>
          <w:rFonts w:hint="eastAsia" w:ascii="宋体" w:hAnsi="宋体"/>
          <w:b/>
          <w:bCs/>
          <w:sz w:val="22"/>
          <w:szCs w:val="22"/>
          <w:lang w:val="en-US" w:eastAsia="zh-CN"/>
        </w:rPr>
        <w:t>次表格</w:t>
      </w:r>
      <w:r>
        <w:rPr>
          <w:rFonts w:hint="eastAsia" w:ascii="宋体" w:hAnsi="宋体"/>
          <w:b/>
          <w:bCs/>
          <w:sz w:val="22"/>
          <w:szCs w:val="22"/>
        </w:rPr>
        <w:t>将视为没有实质性响应</w:t>
      </w:r>
      <w:r>
        <w:rPr>
          <w:rFonts w:hint="eastAsia" w:ascii="宋体" w:hAnsi="宋体"/>
          <w:b/>
          <w:bCs/>
          <w:sz w:val="22"/>
          <w:szCs w:val="22"/>
          <w:lang w:val="en-US" w:eastAsia="zh-CN"/>
        </w:rPr>
        <w:t>遴选</w:t>
      </w:r>
      <w:r>
        <w:rPr>
          <w:rFonts w:hint="eastAsia" w:ascii="宋体" w:hAnsi="宋体"/>
          <w:b/>
          <w:bCs/>
          <w:sz w:val="22"/>
          <w:szCs w:val="22"/>
        </w:rPr>
        <w:t>文件。</w:t>
      </w:r>
    </w:p>
    <w:p>
      <w:pPr>
        <w:spacing w:line="380" w:lineRule="exact"/>
        <w:rPr>
          <w:rFonts w:hint="eastAsia" w:ascii="宋体" w:hAnsi="宋体"/>
          <w:sz w:val="22"/>
          <w:szCs w:val="22"/>
        </w:rPr>
      </w:pPr>
      <w:r>
        <w:rPr>
          <w:rFonts w:hint="eastAsia" w:ascii="宋体" w:hAnsi="宋体"/>
          <w:b/>
          <w:bCs/>
          <w:sz w:val="22"/>
          <w:szCs w:val="22"/>
          <w:lang w:val="en-US" w:eastAsia="zh-CN"/>
        </w:rPr>
        <w:t>2</w:t>
      </w:r>
      <w:r>
        <w:rPr>
          <w:rFonts w:hint="eastAsia" w:ascii="宋体" w:hAnsi="宋体"/>
          <w:b/>
          <w:bCs/>
          <w:sz w:val="22"/>
          <w:szCs w:val="22"/>
        </w:rPr>
        <w:t>、以上全部报价包含货物到达甲方并能正常使用所需的一切费用，包括但不限于包装费、运输费、装卸费、保险费、安装费以及保修费、税费等。</w:t>
      </w: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pStyle w:val="7"/>
        <w:spacing w:line="360" w:lineRule="auto"/>
        <w:ind w:left="0" w:leftChars="0" w:firstLine="0" w:firstLineChars="0"/>
        <w:rPr>
          <w:rFonts w:hint="default" w:eastAsia="宋体"/>
          <w:lang w:val="en-US" w:eastAsia="zh-CN"/>
        </w:rPr>
      </w:pPr>
      <w:r>
        <w:rPr>
          <w:rFonts w:hint="eastAsia" w:ascii="宋体" w:hAnsi="宋体"/>
          <w:b w:val="0"/>
          <w:bCs w:val="0"/>
          <w:sz w:val="22"/>
          <w:szCs w:val="22"/>
        </w:rPr>
        <w:t>日 期</w:t>
      </w:r>
      <w:r>
        <w:rPr>
          <w:rFonts w:hint="eastAsia" w:ascii="宋体" w:hAnsi="宋体"/>
          <w:b w:val="0"/>
          <w:bCs w:val="0"/>
          <w:sz w:val="22"/>
          <w:szCs w:val="22"/>
          <w:lang w:eastAsia="zh-CN"/>
        </w:rPr>
        <w:t>：</w:t>
      </w:r>
      <w:r>
        <w:rPr>
          <w:rFonts w:hint="eastAsia" w:ascii="宋体" w:hAnsi="宋体"/>
          <w:b w:val="0"/>
          <w:bCs w:val="0"/>
          <w:sz w:val="22"/>
          <w:szCs w:val="22"/>
          <w:lang w:val="en-US" w:eastAsia="zh-CN"/>
        </w:rPr>
        <w:t xml:space="preserve">     </w:t>
      </w:r>
      <w:r>
        <w:rPr>
          <w:rFonts w:hint="eastAsia" w:ascii="宋体" w:hAnsi="宋体"/>
          <w:b w:val="0"/>
          <w:bCs w:val="0"/>
          <w:sz w:val="22"/>
          <w:szCs w:val="22"/>
        </w:rPr>
        <w:t>年</w:t>
      </w:r>
      <w:r>
        <w:rPr>
          <w:rFonts w:hint="eastAsia" w:ascii="宋体" w:hAnsi="宋体"/>
          <w:b w:val="0"/>
          <w:bCs w:val="0"/>
          <w:sz w:val="22"/>
          <w:szCs w:val="22"/>
          <w:lang w:val="en-US" w:eastAsia="zh-CN"/>
        </w:rPr>
        <w:t xml:space="preserve">     </w:t>
      </w:r>
      <w:r>
        <w:rPr>
          <w:rFonts w:hint="eastAsia" w:ascii="宋体" w:hAnsi="宋体"/>
          <w:b w:val="0"/>
          <w:bCs w:val="0"/>
          <w:sz w:val="22"/>
          <w:szCs w:val="22"/>
        </w:rPr>
        <w:t>月</w:t>
      </w:r>
      <w:r>
        <w:rPr>
          <w:rFonts w:hint="eastAsia" w:ascii="宋体" w:hAnsi="宋体"/>
          <w:b w:val="0"/>
          <w:bCs w:val="0"/>
          <w:sz w:val="22"/>
          <w:szCs w:val="22"/>
          <w:lang w:val="en-US" w:eastAsia="zh-CN"/>
        </w:rPr>
        <w:t xml:space="preserve">      日</w:t>
      </w:r>
    </w:p>
    <w:p>
      <w:pPr>
        <w:spacing w:line="380" w:lineRule="exact"/>
        <w:rPr>
          <w:rFonts w:hint="eastAsia" w:eastAsia="宋体"/>
          <w:lang w:eastAsia="zh-CN"/>
        </w:rPr>
      </w:pPr>
    </w:p>
    <w:sectPr>
      <w:footerReference r:id="rId3" w:type="default"/>
      <w:pgSz w:w="16838" w:h="11906" w:orient="landscape"/>
      <w:pgMar w:top="454" w:right="850" w:bottom="45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16E4912"/>
    <w:rsid w:val="02DC2E18"/>
    <w:rsid w:val="03BC4EA5"/>
    <w:rsid w:val="03C84B20"/>
    <w:rsid w:val="04B15D87"/>
    <w:rsid w:val="05483AD3"/>
    <w:rsid w:val="061E2864"/>
    <w:rsid w:val="076646E5"/>
    <w:rsid w:val="084B5379"/>
    <w:rsid w:val="09CB578A"/>
    <w:rsid w:val="0A0F2E11"/>
    <w:rsid w:val="0F427144"/>
    <w:rsid w:val="0F9C6A6C"/>
    <w:rsid w:val="10CD0B48"/>
    <w:rsid w:val="1124087B"/>
    <w:rsid w:val="130D1F16"/>
    <w:rsid w:val="15F0193F"/>
    <w:rsid w:val="16586A57"/>
    <w:rsid w:val="16BF514D"/>
    <w:rsid w:val="16EF2001"/>
    <w:rsid w:val="1781499D"/>
    <w:rsid w:val="17B96491"/>
    <w:rsid w:val="1A9B5FFB"/>
    <w:rsid w:val="1B951E05"/>
    <w:rsid w:val="203F5CE6"/>
    <w:rsid w:val="24523E22"/>
    <w:rsid w:val="252A6495"/>
    <w:rsid w:val="26614AE7"/>
    <w:rsid w:val="26A36964"/>
    <w:rsid w:val="29703AC0"/>
    <w:rsid w:val="29D532D8"/>
    <w:rsid w:val="2B6F06D4"/>
    <w:rsid w:val="2C0B329E"/>
    <w:rsid w:val="2C8B760D"/>
    <w:rsid w:val="2DCF6290"/>
    <w:rsid w:val="2EE23DA1"/>
    <w:rsid w:val="30C82B42"/>
    <w:rsid w:val="31927700"/>
    <w:rsid w:val="32E87DD1"/>
    <w:rsid w:val="33BB353F"/>
    <w:rsid w:val="33F15215"/>
    <w:rsid w:val="344A6670"/>
    <w:rsid w:val="35584BB1"/>
    <w:rsid w:val="36F20F59"/>
    <w:rsid w:val="36FF0897"/>
    <w:rsid w:val="379A359F"/>
    <w:rsid w:val="38620F4A"/>
    <w:rsid w:val="38784A32"/>
    <w:rsid w:val="3A5C534F"/>
    <w:rsid w:val="3AA307AA"/>
    <w:rsid w:val="3AD2116E"/>
    <w:rsid w:val="3AF7062E"/>
    <w:rsid w:val="3C417A17"/>
    <w:rsid w:val="3C990195"/>
    <w:rsid w:val="3D4A148F"/>
    <w:rsid w:val="3D51281E"/>
    <w:rsid w:val="3D766728"/>
    <w:rsid w:val="3E38162F"/>
    <w:rsid w:val="3F351791"/>
    <w:rsid w:val="42417305"/>
    <w:rsid w:val="43F47C2B"/>
    <w:rsid w:val="442D7AA8"/>
    <w:rsid w:val="44AE67A8"/>
    <w:rsid w:val="44DA57EF"/>
    <w:rsid w:val="450B3BFA"/>
    <w:rsid w:val="45B222C8"/>
    <w:rsid w:val="45C72397"/>
    <w:rsid w:val="46AB0BAA"/>
    <w:rsid w:val="4A4577CB"/>
    <w:rsid w:val="4B86017E"/>
    <w:rsid w:val="4BB26B7D"/>
    <w:rsid w:val="4D802702"/>
    <w:rsid w:val="4DBA6565"/>
    <w:rsid w:val="4F835253"/>
    <w:rsid w:val="4FB149B9"/>
    <w:rsid w:val="50430A48"/>
    <w:rsid w:val="50810E77"/>
    <w:rsid w:val="522B1438"/>
    <w:rsid w:val="526B3F2A"/>
    <w:rsid w:val="52957526"/>
    <w:rsid w:val="539C47DE"/>
    <w:rsid w:val="57A36574"/>
    <w:rsid w:val="58D72375"/>
    <w:rsid w:val="59710078"/>
    <w:rsid w:val="5A1D1FAE"/>
    <w:rsid w:val="5A2A3748"/>
    <w:rsid w:val="5CEE0127"/>
    <w:rsid w:val="5DAF6DF6"/>
    <w:rsid w:val="5E541FCC"/>
    <w:rsid w:val="5EEC01A1"/>
    <w:rsid w:val="61E865CA"/>
    <w:rsid w:val="63750765"/>
    <w:rsid w:val="64F466B7"/>
    <w:rsid w:val="654C0859"/>
    <w:rsid w:val="65B0017A"/>
    <w:rsid w:val="677734BF"/>
    <w:rsid w:val="68F24605"/>
    <w:rsid w:val="694A715B"/>
    <w:rsid w:val="69C67144"/>
    <w:rsid w:val="6AD77E43"/>
    <w:rsid w:val="6FA3415F"/>
    <w:rsid w:val="710B7010"/>
    <w:rsid w:val="712E3A4E"/>
    <w:rsid w:val="718129CA"/>
    <w:rsid w:val="71BA3A22"/>
    <w:rsid w:val="71CD3E62"/>
    <w:rsid w:val="724D0AFE"/>
    <w:rsid w:val="72E83474"/>
    <w:rsid w:val="72F62F44"/>
    <w:rsid w:val="7305227F"/>
    <w:rsid w:val="73BF4978"/>
    <w:rsid w:val="75A35A24"/>
    <w:rsid w:val="764A3CD3"/>
    <w:rsid w:val="78362761"/>
    <w:rsid w:val="78BC52C2"/>
    <w:rsid w:val="79316C1A"/>
    <w:rsid w:val="79AB45D5"/>
    <w:rsid w:val="79F966D5"/>
    <w:rsid w:val="7A376099"/>
    <w:rsid w:val="7C6A0C2B"/>
    <w:rsid w:val="7C811897"/>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annotation text"/>
    <w:basedOn w:val="1"/>
    <w:autoRedefine/>
    <w:qFormat/>
    <w:uiPriority w:val="0"/>
    <w:pPr>
      <w:jc w:val="left"/>
    </w:pPr>
  </w:style>
  <w:style w:type="paragraph" w:styleId="6">
    <w:name w:val="Body Text"/>
    <w:basedOn w:val="1"/>
    <w:next w:val="7"/>
    <w:autoRedefine/>
    <w:qFormat/>
    <w:uiPriority w:val="0"/>
    <w:pPr>
      <w:spacing w:after="120" w:afterLines="0"/>
    </w:pPr>
  </w:style>
  <w:style w:type="paragraph" w:styleId="7">
    <w:name w:val="Body Text First Indent"/>
    <w:basedOn w:val="6"/>
    <w:next w:val="8"/>
    <w:autoRedefine/>
    <w:qFormat/>
    <w:uiPriority w:val="0"/>
    <w:pPr>
      <w:ind w:firstLine="420" w:firstLineChars="100"/>
    </w:pPr>
    <w:rPr>
      <w:b/>
      <w:bCs/>
      <w:szCs w:val="24"/>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200" w:lineRule="exact"/>
      <w:ind w:firstLine="301"/>
    </w:pPr>
    <w:rPr>
      <w:rFonts w:ascii="宋体" w:hAnsi="Courier New"/>
      <w:spacing w:val="-4"/>
      <w:sz w:val="18"/>
      <w:szCs w:val="20"/>
      <w14:ligatures w14:val="none"/>
    </w:rPr>
  </w:style>
  <w:style w:type="paragraph" w:styleId="10">
    <w:name w:val="Plain Text"/>
    <w:basedOn w:val="1"/>
    <w:autoRedefine/>
    <w:qFormat/>
    <w:uiPriority w:val="0"/>
    <w:pPr>
      <w:spacing w:beforeLines="50" w:afterLines="50" w:line="400" w:lineRule="exact"/>
    </w:pPr>
    <w:rPr>
      <w:rFonts w:ascii="宋体" w:hAnsi="Courier New"/>
      <w:sz w:val="24"/>
    </w:rPr>
  </w:style>
  <w:style w:type="paragraph" w:styleId="11">
    <w:name w:val="footer"/>
    <w:basedOn w:val="1"/>
    <w:link w:val="26"/>
    <w:autoRedefine/>
    <w:qFormat/>
    <w:uiPriority w:val="0"/>
    <w:pPr>
      <w:tabs>
        <w:tab w:val="center" w:pos="4153"/>
        <w:tab w:val="right" w:pos="8306"/>
      </w:tabs>
      <w:snapToGrid w:val="0"/>
      <w:jc w:val="left"/>
    </w:pPr>
    <w:rPr>
      <w:sz w:val="18"/>
      <w:szCs w:val="18"/>
    </w:rPr>
  </w:style>
  <w:style w:type="paragraph" w:styleId="12">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line="360" w:lineRule="auto"/>
      <w:jc w:val="left"/>
    </w:pPr>
    <w:rPr>
      <w:b/>
      <w:bCs/>
      <w:caps/>
      <w:sz w:val="24"/>
      <w:szCs w:val="20"/>
    </w:r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0"/>
    <w:pPr>
      <w:jc w:val="center"/>
    </w:pPr>
    <w:rPr>
      <w:rFonts w:ascii="Arial" w:hAnsi="Arial" w:eastAsia="宋体"/>
      <w:b/>
      <w:kern w:val="0"/>
      <w:sz w:val="36"/>
      <w:szCs w:val="20"/>
      <w:lang w:eastAsia="en-US"/>
      <w14:ligatures w14:val="none"/>
    </w:rPr>
  </w:style>
  <w:style w:type="paragraph" w:styleId="16">
    <w:name w:val="Body Text First Indent 2"/>
    <w:basedOn w:val="9"/>
    <w:autoRedefine/>
    <w:qFormat/>
    <w:uiPriority w:val="0"/>
    <w:pPr>
      <w:spacing w:after="120"/>
      <w:ind w:left="420" w:leftChars="200" w:firstLine="420"/>
    </w:pPr>
    <w:rPr>
      <w:rFonts w:cs="宋体"/>
      <w:sz w:val="21"/>
      <w:szCs w:val="21"/>
    </w:rPr>
  </w:style>
  <w:style w:type="table" w:styleId="18">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page number"/>
    <w:basedOn w:val="19"/>
    <w:autoRedefine/>
    <w:qFormat/>
    <w:uiPriority w:val="0"/>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6"/>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2"/>
    <w:autoRedefine/>
    <w:qFormat/>
    <w:uiPriority w:val="0"/>
    <w:rPr>
      <w:kern w:val="2"/>
      <w:sz w:val="18"/>
      <w:szCs w:val="18"/>
    </w:rPr>
  </w:style>
  <w:style w:type="character" w:customStyle="1" w:styleId="26">
    <w:name w:val="页脚 Char"/>
    <w:basedOn w:val="19"/>
    <w:link w:val="11"/>
    <w:autoRedefine/>
    <w:qFormat/>
    <w:uiPriority w:val="0"/>
    <w:rPr>
      <w:kern w:val="2"/>
      <w:sz w:val="18"/>
      <w:szCs w:val="18"/>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列出段落1"/>
    <w:basedOn w:val="1"/>
    <w:autoRedefine/>
    <w:qFormat/>
    <w:uiPriority w:val="0"/>
    <w:pPr>
      <w:widowControl/>
      <w:spacing w:after="160" w:line="360" w:lineRule="auto"/>
      <w:ind w:left="720"/>
      <w:contextualSpacing/>
      <w:jc w:val="left"/>
    </w:pPr>
    <w:rPr>
      <w:szCs w:val="22"/>
    </w:rPr>
  </w:style>
  <w:style w:type="character" w:customStyle="1" w:styleId="29">
    <w:name w:val="font31"/>
    <w:basedOn w:val="19"/>
    <w:autoRedefine/>
    <w:qFormat/>
    <w:uiPriority w:val="0"/>
    <w:rPr>
      <w:rFonts w:hint="eastAsia" w:ascii="宋体" w:hAnsi="宋体" w:eastAsia="宋体" w:cs="宋体"/>
      <w:color w:val="000000"/>
      <w:sz w:val="22"/>
      <w:szCs w:val="22"/>
      <w:u w:val="none"/>
    </w:rPr>
  </w:style>
  <w:style w:type="character" w:customStyle="1" w:styleId="30">
    <w:name w:val="font0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2033</Words>
  <Characters>2299</Characters>
  <Lines>17</Lines>
  <Paragraphs>4</Paragraphs>
  <TotalTime>8</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2025-08-07T08:35:49Z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