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840"/>
        </w:tabs>
        <w:adjustRightInd/>
        <w:snapToGrid/>
        <w:spacing w:before="120" w:after="120" w:line="360" w:lineRule="auto"/>
        <w:jc w:val="center"/>
        <w:rPr>
          <w:rFonts w:hint="eastAsia"/>
          <w:b/>
          <w:bCs/>
          <w:sz w:val="36"/>
          <w:szCs w:val="36"/>
        </w:rPr>
      </w:pPr>
      <w:bookmarkStart w:id="0" w:name="_Toc451522337"/>
      <w:r>
        <w:rPr>
          <w:rFonts w:hint="eastAsia" w:ascii="宋体" w:hAnsi="宋体" w:eastAsia="宋体" w:cs="宋体"/>
          <w:color w:val="000000"/>
          <w:sz w:val="36"/>
          <w:szCs w:val="36"/>
        </w:rPr>
        <w:t>温州市中医院</w:t>
      </w:r>
      <w:r>
        <w:rPr>
          <w:rFonts w:hint="eastAsia" w:hAnsi="宋体" w:cs="宋体"/>
          <w:color w:val="000000"/>
          <w:sz w:val="36"/>
          <w:szCs w:val="36"/>
          <w:lang w:val="en-US" w:eastAsia="zh-CN"/>
        </w:rPr>
        <w:t>公车保险购买项目（重）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采购</w:t>
      </w:r>
      <w:bookmarkEnd w:id="0"/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文件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bookmarkStart w:id="1" w:name="OLE_LINK1"/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温州市中医院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公车保险购买</w:t>
      </w:r>
      <w:bookmarkEnd w:id="1"/>
      <w:r>
        <w:rPr>
          <w:rFonts w:hint="eastAsia" w:ascii="宋体" w:hAnsi="宋体" w:cs="宋体"/>
          <w:sz w:val="24"/>
          <w:szCs w:val="24"/>
          <w:lang w:val="en-US" w:eastAsia="zh-CN"/>
        </w:rPr>
        <w:t>（重）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采购方式：公开遴选（非政府采购）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预算金额：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70000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/年；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cs="宋体"/>
          <w:b/>
          <w:sz w:val="28"/>
          <w:szCs w:val="28"/>
        </w:rPr>
        <w:t>项目内容</w:t>
      </w:r>
    </w:p>
    <w:p>
      <w:pPr>
        <w:numPr>
          <w:ilvl w:val="0"/>
          <w:numId w:val="0"/>
        </w:numPr>
        <w:bidi w:val="0"/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1、险种、保额</w:t>
      </w:r>
    </w:p>
    <w:p>
      <w:pPr>
        <w:numPr>
          <w:ilvl w:val="0"/>
          <w:numId w:val="0"/>
        </w:numPr>
        <w:bidi w:val="0"/>
        <w:spacing w:line="360" w:lineRule="auto"/>
        <w:ind w:firstLine="42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险种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按机动车保）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：交强险、车损险、第三者责任保险、车上人员责任保险。</w:t>
      </w:r>
    </w:p>
    <w:p>
      <w:pPr>
        <w:numPr>
          <w:ilvl w:val="0"/>
          <w:numId w:val="0"/>
        </w:numPr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交强险保额：</w:t>
      </w:r>
    </w:p>
    <w:tbl>
      <w:tblPr>
        <w:tblStyle w:val="17"/>
        <w:tblW w:w="857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500"/>
        <w:gridCol w:w="3075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死亡伤残赔偿限额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180,000元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无责任死亡伤残赔偿限额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医疗费用赔偿限额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18,000元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无责任医疗费用赔偿限额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1,800元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财产损失赔偿限额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2,000元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无责任财产损失赔偿限额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商业险保额：</w:t>
      </w:r>
    </w:p>
    <w:tbl>
      <w:tblPr>
        <w:tblStyle w:val="17"/>
        <w:tblW w:w="85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605"/>
        <w:gridCol w:w="1530"/>
        <w:gridCol w:w="4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40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险种额度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浙C23816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42600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浙CM86M1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42360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浙CT3J16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浙C8D3R5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303280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浙CS51H0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101622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浙C77ZN8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144840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浙C8A0G6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303280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浙C59DJ0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</w:p>
        </w:tc>
        <w:tc>
          <w:tcPr>
            <w:tcW w:w="409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180200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浙C61643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牵引车</w:t>
            </w: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315520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车上人员责任保险（元/座）：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浙C0371挂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半挂车</w:t>
            </w:r>
          </w:p>
        </w:tc>
        <w:tc>
          <w:tcPr>
            <w:tcW w:w="40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车损险：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55680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第三者责任保险：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200000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车辆信息</w:t>
      </w:r>
    </w:p>
    <w:tbl>
      <w:tblPr>
        <w:tblStyle w:val="18"/>
        <w:tblpPr w:leftFromText="180" w:rightFromText="180" w:vertAnchor="text" w:horzAnchor="page" w:tblpX="1277" w:tblpY="259"/>
        <w:tblOverlap w:val="never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635"/>
        <w:gridCol w:w="1215"/>
        <w:gridCol w:w="1650"/>
        <w:gridCol w:w="24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车牌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品牌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登记时间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浙C23816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班车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依维柯牌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NJ6593ER6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2011.1.20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浙CM86M1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商务车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奥德赛牌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HG6481BAA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2015.12.25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浙C6XQ57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转运车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申驰牌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SQL5042XJZH2DB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浙C8D3R5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救护车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魁士牌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KS5046XJH13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浙CS51H0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救护车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西北牌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XB5032XJHXJHLC-M4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2016.3.23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浙C77ZN8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救护车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新阳牌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XY5031XJH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2018.10.16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浙C8A0G6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救护车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魁士牌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KS5046XJH13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浙C9KK09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救护车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程力重工牌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CLH5030XJHJ6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浙C61643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牵引车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豪沃牌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ZZ4257V3210F1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浙C0371挂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半挂车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远东牌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YD92JNAB3M1YDA029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2022.8.16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四、服务期限：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自合同签订之日起生效。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后续折扣率变化（但不得高于本次投标折扣率），合同的生效、终止等事宜最终解释权归采购人。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付款方式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合同签订后，乙方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在甲方车辆保险到期前15天为甲方车辆投保，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保险费用以车辆投保当年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保险实际费用*投标折扣率结算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乙方向甲方开具与合同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规定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金额的发票，甲方在收到发票后3个月内向乙方支付全部合同价款。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其他要求</w:t>
      </w:r>
    </w:p>
    <w:p>
      <w:pPr>
        <w:numPr>
          <w:ilvl w:val="0"/>
          <w:numId w:val="0"/>
        </w:numPr>
        <w:ind w:left="42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资质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▲（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）符合《中华人民共和国政府采购法》对投标主体的要求，必须是经中国保险监督管理委员会批准的、具有法定保险执业资格、开展机动车辆保险业务。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需提供相关资质证明，并加盖投标人公章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▲（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）投标单位必须具有浙江省省级机关、事业单位、社会团体组织202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-202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年度公务用车定点保险项目资质。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需提供相关资质证明，并加盖投标人公章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▲（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）持有国家批准从事机动车辆保险业务资格，取得经营车辆保险业务（商业全险、交强险、车船税）许可证的合法企业。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需提供相关资质证明，并加盖投标人公章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）能独立承担民事责任和履行合同能力，具有良好的商业信益和健全的财务会计管理制度，有依法缴纳税收和社会保障资金的良好记录，在近三年内的经营活动中没有重大违法记录。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）必须有与履行定点保险协议书规定的承保、理赔及其它服务要求的能力。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2、投保方式：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采用指定具体车辆清单的方式进行投保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实际投保险种以医院最终确认为准。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3、报价方式：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采用（保险费用原价*折扣率）的方式进行。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注：保险费用原价是指在没有理赔情况下的基础报价，如后续有车辆出现理赔，那就按实际费用结算。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如有同一保险公司的不同子公司参加询价，以递交标书先后排序，同一保险公司只接受第一家递交标书的子公司参与询价。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none"/>
        </w:rPr>
        <w:t>▲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</w:rPr>
        <w:t>本次采购采用电子交易方式，电子交易平台为“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政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</w:rPr>
        <w:t>采云平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台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szCs w:val="24"/>
          <w:u w:val="single"/>
        </w:rPr>
        <w:t>https://www.zcygov.cn/）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</w:rPr>
        <w:t>”。供应商参与本项目电子交易活动前，应通过浙江政府采购网“浙江政府采购供应商信息登记管理系统”进行信息登记，获得线上政府采购活动操作权限。</w:t>
      </w:r>
    </w:p>
    <w:p>
      <w:pPr>
        <w:spacing w:before="120" w:beforeLines="50" w:after="120" w:afterLines="50"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ectPr>
          <w:footerReference r:id="rId3" w:type="default"/>
          <w:pgSz w:w="11907" w:h="16840"/>
          <w:pgMar w:top="1304" w:right="1531" w:bottom="1247" w:left="1531" w:header="851" w:footer="992" w:gutter="0"/>
          <w:pgNumType w:fmt="numberInDash" w:start="1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u w:val="none"/>
        </w:rPr>
        <w:t>▲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供应商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须在“政采云平台浙江省框架协议——财产保险服务项目”的供应商目录里。并提供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证明材料（网页截图或其它证明材料），未提供视为不符合要求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评分细则</w:t>
      </w:r>
    </w:p>
    <w:p>
      <w:pPr>
        <w:spacing w:line="360" w:lineRule="auto"/>
        <w:ind w:firstLine="457" w:firstLineChars="196"/>
        <w:rPr>
          <w:rStyle w:val="20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1、商务技术分（0-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tbl>
      <w:tblPr>
        <w:tblStyle w:val="17"/>
        <w:tblW w:w="11145" w:type="dxa"/>
        <w:tblCellSpacing w:w="15" w:type="dxa"/>
        <w:tblInd w:w="-5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FD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2655"/>
        <w:gridCol w:w="5790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4380" w:type="dxa"/>
            <w:gridSpan w:val="2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723" w:firstLineChars="30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评分项目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211" w:right="0" w:hanging="211" w:hanging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1、服务方案（40分）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保险服务方案（15分）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服务内容详细、合理，符合相关标准和规范，完全满足采购需求且优于其他投标人，得10-15分；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服务内容较详细和合理，满足采购需求，得5-9分；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服务内容基本响应，但欠完备、欠合理，得0-4分。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理赔服务方案（15分）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方案合理，程序简洁，理赔快速，得10-15分；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方案较合理，程序较简洁，理赔较快，得5-9分；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方案和程序一般，理赔较慢，得0-4分。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增值服务承诺（10分）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提供具有实质性意义的增值服务（如免费道路救援、全国通赔服务、小额案件快速赔付等），每项得2分，满分10分。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2、服务能力（20分）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服务团队配置（12分）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服务团队成员有多年车险从业经验，服务优秀、经验丰富，得9-12分；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服务团队成员有车险从业经验，服务良好、具有一定经验，得5-8分；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服务团队成员有保险从业经验，服务一般、经验欠缺，得1-4分；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未提供材料不得分。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网点覆盖率（5分）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根据投标人服务网点情况说明及保监部门出具的证明材料，评委根据网点覆盖率综合打分，每提供一个服务网点得1分，满分5分。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同类业绩（3分）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投标人提供自2022年1月以来与最终用户签订的单项合同10辆以上（含10辆）的车辆保险项目的保单或合同复印件，每个业绩得1分，满分3分。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3、其他优惠条件（10分）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优惠条件（10分）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投标人每承诺提供1项与本项目采购内容相关的优惠服务条件，得2分，满分10分。优惠条件不得彼此涵盖、重复，否则不计分。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</w:tbl>
    <w:p>
      <w:pPr>
        <w:numPr>
          <w:ilvl w:val="0"/>
          <w:numId w:val="0"/>
        </w:numPr>
        <w:spacing w:before="120" w:beforeLines="50" w:after="120" w:afterLines="50" w:line="360" w:lineRule="auto"/>
        <w:jc w:val="both"/>
        <w:rPr>
          <w:rFonts w:hint="eastAsia" w:ascii="宋体" w:hAnsi="宋体" w:eastAsia="宋体" w:cs="宋体"/>
          <w:b/>
          <w:bCs/>
          <w:spacing w:val="-4"/>
          <w:sz w:val="21"/>
          <w:szCs w:val="21"/>
        </w:rPr>
      </w:pPr>
    </w:p>
    <w:p>
      <w:pPr>
        <w:pStyle w:val="16"/>
        <w:ind w:left="0" w:leftChars="0" w:firstLine="0" w:firstLineChars="0"/>
        <w:rPr>
          <w:rFonts w:hint="eastAsia" w:ascii="宋体" w:hAnsi="宋体" w:eastAsia="宋体" w:cs="宋体"/>
          <w:b/>
          <w:bCs/>
          <w:spacing w:val="-4"/>
          <w:sz w:val="21"/>
          <w:szCs w:val="21"/>
          <w:lang w:val="en-US" w:eastAsia="zh-CN"/>
        </w:rPr>
      </w:pPr>
    </w:p>
    <w:p>
      <w:pPr>
        <w:pStyle w:val="16"/>
        <w:rPr>
          <w:rFonts w:hint="eastAsia" w:ascii="宋体" w:hAnsi="宋体" w:eastAsia="宋体" w:cs="宋体"/>
          <w:b/>
          <w:bCs/>
          <w:spacing w:val="-4"/>
          <w:sz w:val="21"/>
          <w:szCs w:val="21"/>
          <w:lang w:val="en-US" w:eastAsia="zh-CN"/>
        </w:rPr>
      </w:pPr>
    </w:p>
    <w:p>
      <w:pPr>
        <w:pStyle w:val="16"/>
        <w:rPr>
          <w:rFonts w:hint="eastAsia" w:ascii="宋体" w:hAnsi="宋体" w:eastAsia="宋体" w:cs="宋体"/>
          <w:b/>
          <w:bCs/>
          <w:spacing w:val="-4"/>
          <w:sz w:val="21"/>
          <w:szCs w:val="21"/>
          <w:lang w:val="en-US" w:eastAsia="zh-CN"/>
        </w:rPr>
      </w:pPr>
    </w:p>
    <w:p>
      <w:pPr>
        <w:pStyle w:val="16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6" w:firstLineChars="200"/>
        <w:jc w:val="both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价格分（0-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p>
      <w:pPr>
        <w:spacing w:line="360" w:lineRule="auto"/>
        <w:ind w:firstLine="464" w:firstLineChars="200"/>
        <w:rPr>
          <w:rFonts w:hint="eastAsia" w:ascii="宋体" w:hAnsi="宋体" w:eastAsia="宋体" w:cs="宋体"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Cs/>
          <w:spacing w:val="-4"/>
          <w:sz w:val="24"/>
          <w:szCs w:val="24"/>
        </w:rPr>
        <w:t>报价评分采用低价优先法计算，即满足招标文件要求且投标价格折扣后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（保险费用原价*折扣率）</w:t>
      </w:r>
      <w:r>
        <w:rPr>
          <w:rFonts w:hint="eastAsia" w:ascii="宋体" w:hAnsi="宋体" w:eastAsia="宋体" w:cs="宋体"/>
          <w:bCs/>
          <w:spacing w:val="-4"/>
          <w:sz w:val="24"/>
          <w:szCs w:val="24"/>
        </w:rPr>
        <w:t>最低的为评标基准价，</w:t>
      </w:r>
      <w:r>
        <w:rPr>
          <w:rFonts w:hint="eastAsia" w:ascii="宋体" w:hAnsi="宋体" w:eastAsia="宋体" w:cs="宋体"/>
          <w:sz w:val="24"/>
          <w:szCs w:val="24"/>
        </w:rPr>
        <w:t>其得分为满分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分。其他投标人的价格分按照下列公式计算：价格分=（评标基准价/投标报价）×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%×100</w:t>
      </w:r>
      <w:r>
        <w:rPr>
          <w:rFonts w:hint="eastAsia" w:ascii="宋体" w:hAnsi="宋体" w:eastAsia="宋体" w:cs="宋体"/>
          <w:bCs/>
          <w:spacing w:val="-4"/>
          <w:sz w:val="24"/>
          <w:szCs w:val="24"/>
        </w:rPr>
        <w:t>（保留小数点后2位，第3位四舍五入）。</w:t>
      </w:r>
    </w:p>
    <w:p>
      <w:pPr>
        <w:pStyle w:val="3"/>
        <w:jc w:val="center"/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jc w:val="center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（1）报价一览表</w:t>
      </w:r>
    </w:p>
    <w:p>
      <w:pPr>
        <w:autoSpaceDE w:val="0"/>
        <w:autoSpaceDN w:val="0"/>
        <w:spacing w:line="360" w:lineRule="auto"/>
        <w:ind w:right="893" w:firstLine="220" w:firstLineChars="100"/>
        <w:textAlignment w:val="bottom"/>
        <w:rPr>
          <w:rFonts w:hint="eastAsia" w:ascii="宋体" w:hAnsi="宋体"/>
          <w:sz w:val="22"/>
          <w:szCs w:val="22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>项目名称：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>温州市中医院公车保险购买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 xml:space="preserve"> 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eastAsia="zh-CN"/>
        </w:rPr>
        <w:t>（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 xml:space="preserve">重）                  </w:t>
      </w:r>
      <w:r>
        <w:rPr>
          <w:rFonts w:hint="eastAsia" w:ascii="宋体" w:hAnsi="宋体"/>
          <w:sz w:val="22"/>
          <w:szCs w:val="22"/>
        </w:rPr>
        <w:t>单位：元</w:t>
      </w:r>
      <w:r>
        <w:rPr>
          <w:rFonts w:hint="eastAsia" w:ascii="宋体" w:hAnsi="宋体"/>
          <w:sz w:val="22"/>
          <w:szCs w:val="22"/>
          <w:lang w:eastAsia="zh-CN"/>
        </w:rPr>
        <w:t>（</w:t>
      </w:r>
      <w:r>
        <w:rPr>
          <w:rFonts w:hint="eastAsia" w:ascii="宋体" w:hAnsi="宋体"/>
          <w:sz w:val="22"/>
          <w:szCs w:val="22"/>
        </w:rPr>
        <w:t>人民币</w:t>
      </w:r>
      <w:r>
        <w:rPr>
          <w:rFonts w:hint="eastAsia" w:ascii="宋体" w:hAnsi="宋体"/>
          <w:sz w:val="22"/>
          <w:szCs w:val="22"/>
          <w:lang w:eastAsia="zh-CN"/>
        </w:rPr>
        <w:t>）</w:t>
      </w:r>
    </w:p>
    <w:tbl>
      <w:tblPr>
        <w:tblStyle w:val="1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41"/>
        <w:gridCol w:w="3996"/>
        <w:gridCol w:w="128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4142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bCs/>
                <w:sz w:val="22"/>
                <w:szCs w:val="22"/>
              </w:rPr>
              <w:t>项目名称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bCs/>
                <w:sz w:val="22"/>
                <w:szCs w:val="22"/>
                <w:lang w:val="en-US" w:eastAsia="zh-CN"/>
              </w:rPr>
              <w:t>保险期限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spacing w:line="460" w:lineRule="atLeast"/>
              <w:jc w:val="center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4142" w:type="dxa"/>
            <w:gridSpan w:val="2"/>
            <w:noWrap w:val="0"/>
            <w:vAlign w:val="center"/>
          </w:tcPr>
          <w:p>
            <w:pPr>
              <w:spacing w:line="360" w:lineRule="auto"/>
              <w:ind w:firstLine="440" w:firstLineChars="200"/>
              <w:jc w:val="both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温州市中医院公车保险购买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 xml:space="preserve">重） </w:t>
            </w:r>
            <w:bookmarkStart w:id="2" w:name="_GoBack"/>
            <w:bookmarkEnd w:id="2"/>
          </w:p>
        </w:tc>
        <w:tc>
          <w:tcPr>
            <w:tcW w:w="3996" w:type="dxa"/>
            <w:noWrap w:val="0"/>
            <w:vAlign w:val="center"/>
          </w:tcPr>
          <w:p>
            <w:pPr>
              <w:pStyle w:val="8"/>
              <w:spacing w:line="460" w:lineRule="atLeast"/>
              <w:jc w:val="center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1年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8"/>
              <w:spacing w:line="460" w:lineRule="atLeast"/>
              <w:ind w:firstLine="469"/>
              <w:jc w:val="center"/>
              <w:rPr>
                <w:rFonts w:hint="eastAsia" w:hAnsi="宋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投标报价</w:t>
            </w:r>
          </w:p>
        </w:tc>
        <w:tc>
          <w:tcPr>
            <w:tcW w:w="7718" w:type="dxa"/>
            <w:gridSpan w:val="3"/>
            <w:noWrap w:val="0"/>
            <w:vAlign w:val="center"/>
          </w:tcPr>
          <w:p>
            <w:pPr>
              <w:pStyle w:val="8"/>
              <w:spacing w:line="460" w:lineRule="atLeast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（大写）人民币：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8"/>
              <w:spacing w:line="460" w:lineRule="atLeast"/>
              <w:ind w:firstLine="469"/>
              <w:rPr>
                <w:rFonts w:hint="eastAsia" w:hAnsi="宋体"/>
                <w:sz w:val="22"/>
                <w:szCs w:val="22"/>
              </w:rPr>
            </w:pPr>
          </w:p>
        </w:tc>
        <w:tc>
          <w:tcPr>
            <w:tcW w:w="7718" w:type="dxa"/>
            <w:gridSpan w:val="3"/>
            <w:noWrap w:val="0"/>
            <w:vAlign w:val="center"/>
          </w:tcPr>
          <w:p>
            <w:pPr>
              <w:pStyle w:val="8"/>
              <w:spacing w:line="460" w:lineRule="atLeast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（小写）￥：</w:t>
            </w:r>
          </w:p>
        </w:tc>
      </w:tr>
    </w:tbl>
    <w:p>
      <w:pPr>
        <w:autoSpaceDE w:val="0"/>
        <w:autoSpaceDN w:val="0"/>
        <w:spacing w:line="360" w:lineRule="auto"/>
        <w:ind w:right="893" w:firstLine="220" w:firstLineChars="100"/>
        <w:textAlignment w:val="bottom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 xml:space="preserve">                           </w:t>
      </w:r>
    </w:p>
    <w:p>
      <w:pPr>
        <w:spacing w:line="450" w:lineRule="exact"/>
        <w:rPr>
          <w:rFonts w:hint="eastAsia" w:ascii="宋体" w:hAnsi="宋体" w:eastAsia="宋体" w:cs="宋体"/>
          <w:b/>
          <w:color w:val="auto"/>
          <w:sz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说明：</w:t>
      </w:r>
      <w:r>
        <w:rPr>
          <w:rFonts w:hint="eastAsia" w:ascii="宋体" w:hAnsi="宋体" w:cs="宋体"/>
          <w:b/>
          <w:color w:val="auto"/>
          <w:sz w:val="22"/>
          <w:highlight w:val="none"/>
          <w:lang w:val="en-US" w:eastAsia="zh-CN"/>
        </w:rPr>
        <w:t>1、全部报价均为税后价。</w:t>
      </w:r>
    </w:p>
    <w:p>
      <w:pPr>
        <w:spacing w:line="450" w:lineRule="exact"/>
        <w:ind w:firstLine="663" w:firstLineChars="300"/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2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不提供此表格将被视为没有实质性响应</w:t>
      </w:r>
      <w:r>
        <w:rPr>
          <w:rFonts w:hint="eastAsia" w:ascii="宋体" w:hAnsi="宋体" w:cs="宋体"/>
          <w:b/>
          <w:color w:val="auto"/>
          <w:sz w:val="22"/>
          <w:highlight w:val="none"/>
          <w:lang w:val="en-US" w:eastAsia="zh-CN"/>
        </w:rPr>
        <w:t>遴选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文件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  <w:t>。</w:t>
      </w:r>
    </w:p>
    <w:p>
      <w:pPr>
        <w:pStyle w:val="6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投标人全称（盖章）：</w:t>
      </w:r>
    </w:p>
    <w:p>
      <w:pPr>
        <w:spacing w:line="400" w:lineRule="exact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投标人代表（签字）：</w:t>
      </w:r>
    </w:p>
    <w:p>
      <w:pPr>
        <w:spacing w:line="380" w:lineRule="exact"/>
        <w:ind w:firstLine="220" w:firstLineChars="1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     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    期：</w:t>
      </w:r>
    </w:p>
    <w:p>
      <w:pPr>
        <w:spacing w:line="380" w:lineRule="exact"/>
        <w:rPr>
          <w:rFonts w:hint="eastAsia"/>
        </w:rPr>
      </w:pPr>
    </w:p>
    <w:sectPr>
      <w:footerReference r:id="rId4" w:type="default"/>
      <w:pgSz w:w="11906" w:h="16838"/>
      <w:pgMar w:top="850" w:right="1236" w:bottom="85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eastAsia"/>
      </w:rPr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271872"/>
    <w:multiLevelType w:val="singleLevel"/>
    <w:tmpl w:val="D427187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497C9E"/>
    <w:multiLevelType w:val="multilevel"/>
    <w:tmpl w:val="5D497C9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  <w:szCs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IzN2FlZGQyNmExMDc1YTc1OWIxYmFlNmE1NTFhMTUifQ=="/>
  </w:docVars>
  <w:rsids>
    <w:rsidRoot w:val="442D7AA8"/>
    <w:rsid w:val="000838A3"/>
    <w:rsid w:val="0029760C"/>
    <w:rsid w:val="003D41C7"/>
    <w:rsid w:val="003E091A"/>
    <w:rsid w:val="00537F7B"/>
    <w:rsid w:val="005D6C7D"/>
    <w:rsid w:val="0077449E"/>
    <w:rsid w:val="009C732C"/>
    <w:rsid w:val="00A81427"/>
    <w:rsid w:val="00BD504C"/>
    <w:rsid w:val="00DB7EDC"/>
    <w:rsid w:val="00FA6B75"/>
    <w:rsid w:val="03BC4EA5"/>
    <w:rsid w:val="03C84B20"/>
    <w:rsid w:val="04B15D87"/>
    <w:rsid w:val="04BF0E2D"/>
    <w:rsid w:val="058519D7"/>
    <w:rsid w:val="061D51A5"/>
    <w:rsid w:val="061E2864"/>
    <w:rsid w:val="076646E5"/>
    <w:rsid w:val="07986998"/>
    <w:rsid w:val="084B5379"/>
    <w:rsid w:val="08F913E5"/>
    <w:rsid w:val="091E5277"/>
    <w:rsid w:val="09920CE1"/>
    <w:rsid w:val="09980A16"/>
    <w:rsid w:val="09CB578A"/>
    <w:rsid w:val="0C1D374F"/>
    <w:rsid w:val="0CA81A28"/>
    <w:rsid w:val="0F427144"/>
    <w:rsid w:val="0F9C6A6C"/>
    <w:rsid w:val="1124087B"/>
    <w:rsid w:val="11D03062"/>
    <w:rsid w:val="125104AB"/>
    <w:rsid w:val="127E35D2"/>
    <w:rsid w:val="15F0193F"/>
    <w:rsid w:val="16586A57"/>
    <w:rsid w:val="16EF2001"/>
    <w:rsid w:val="17972177"/>
    <w:rsid w:val="17B96491"/>
    <w:rsid w:val="19006747"/>
    <w:rsid w:val="1B951E05"/>
    <w:rsid w:val="1C0A168B"/>
    <w:rsid w:val="1DEA1774"/>
    <w:rsid w:val="1E727C26"/>
    <w:rsid w:val="1F0548A5"/>
    <w:rsid w:val="203F5CE6"/>
    <w:rsid w:val="20A43E5C"/>
    <w:rsid w:val="20C836D6"/>
    <w:rsid w:val="252A6495"/>
    <w:rsid w:val="25DC4098"/>
    <w:rsid w:val="26614AE7"/>
    <w:rsid w:val="26A36964"/>
    <w:rsid w:val="2BEF28E5"/>
    <w:rsid w:val="2C0B329E"/>
    <w:rsid w:val="2DCF6290"/>
    <w:rsid w:val="2EE23DA1"/>
    <w:rsid w:val="32E87DD1"/>
    <w:rsid w:val="333746BC"/>
    <w:rsid w:val="33F15215"/>
    <w:rsid w:val="35584BB1"/>
    <w:rsid w:val="35DC779C"/>
    <w:rsid w:val="36F20F59"/>
    <w:rsid w:val="36FF0897"/>
    <w:rsid w:val="37F53C76"/>
    <w:rsid w:val="38620F4A"/>
    <w:rsid w:val="395D6E46"/>
    <w:rsid w:val="3A0D6176"/>
    <w:rsid w:val="3A5C534F"/>
    <w:rsid w:val="3AA307AA"/>
    <w:rsid w:val="3B3C0996"/>
    <w:rsid w:val="3C306982"/>
    <w:rsid w:val="3D4A148F"/>
    <w:rsid w:val="3D766728"/>
    <w:rsid w:val="3F351791"/>
    <w:rsid w:val="40002D3F"/>
    <w:rsid w:val="41D82FF7"/>
    <w:rsid w:val="42417305"/>
    <w:rsid w:val="43AB1C34"/>
    <w:rsid w:val="43F47C2B"/>
    <w:rsid w:val="442D7AA8"/>
    <w:rsid w:val="456D5B99"/>
    <w:rsid w:val="45B222C8"/>
    <w:rsid w:val="464C44CA"/>
    <w:rsid w:val="46AB0BAA"/>
    <w:rsid w:val="49E05655"/>
    <w:rsid w:val="4A9B7985"/>
    <w:rsid w:val="4AFE12BB"/>
    <w:rsid w:val="4B2C08F7"/>
    <w:rsid w:val="4B86017E"/>
    <w:rsid w:val="4BB26B7D"/>
    <w:rsid w:val="4EAB72E4"/>
    <w:rsid w:val="4EDB63EB"/>
    <w:rsid w:val="4F835253"/>
    <w:rsid w:val="50430A48"/>
    <w:rsid w:val="50CF01D2"/>
    <w:rsid w:val="50D4246D"/>
    <w:rsid w:val="51E24360"/>
    <w:rsid w:val="52957526"/>
    <w:rsid w:val="534B5F0C"/>
    <w:rsid w:val="539C47DE"/>
    <w:rsid w:val="54A656ED"/>
    <w:rsid w:val="564451BE"/>
    <w:rsid w:val="56576C9F"/>
    <w:rsid w:val="57A36574"/>
    <w:rsid w:val="58D72375"/>
    <w:rsid w:val="592D3875"/>
    <w:rsid w:val="596D4A2C"/>
    <w:rsid w:val="59863BF8"/>
    <w:rsid w:val="5A1D1FAE"/>
    <w:rsid w:val="5AA12BDF"/>
    <w:rsid w:val="5BF233C2"/>
    <w:rsid w:val="5D924A61"/>
    <w:rsid w:val="5DAF6DF6"/>
    <w:rsid w:val="5E6F3AB2"/>
    <w:rsid w:val="5EB32163"/>
    <w:rsid w:val="5EEC01A1"/>
    <w:rsid w:val="61E865CA"/>
    <w:rsid w:val="62C456BC"/>
    <w:rsid w:val="63750765"/>
    <w:rsid w:val="64F466B7"/>
    <w:rsid w:val="654C0859"/>
    <w:rsid w:val="65896C70"/>
    <w:rsid w:val="65B0017A"/>
    <w:rsid w:val="669F17AA"/>
    <w:rsid w:val="677734BF"/>
    <w:rsid w:val="698C35ED"/>
    <w:rsid w:val="6AD77E43"/>
    <w:rsid w:val="6D072008"/>
    <w:rsid w:val="6FA3415F"/>
    <w:rsid w:val="712E3A4E"/>
    <w:rsid w:val="71BA3A22"/>
    <w:rsid w:val="71CD3E62"/>
    <w:rsid w:val="724D0AFE"/>
    <w:rsid w:val="72B648F6"/>
    <w:rsid w:val="72E83474"/>
    <w:rsid w:val="72F62F44"/>
    <w:rsid w:val="75A35A24"/>
    <w:rsid w:val="77A47413"/>
    <w:rsid w:val="78362761"/>
    <w:rsid w:val="78BC52C2"/>
    <w:rsid w:val="79C72A21"/>
    <w:rsid w:val="79D00993"/>
    <w:rsid w:val="79F966D5"/>
    <w:rsid w:val="7A8D0632"/>
    <w:rsid w:val="7D311748"/>
    <w:rsid w:val="7D531607"/>
    <w:rsid w:val="7DBF4FA6"/>
    <w:rsid w:val="7E036272"/>
    <w:rsid w:val="7E7A2C7B"/>
    <w:rsid w:val="7EEE556E"/>
    <w:rsid w:val="7EFA0DDF"/>
    <w:rsid w:val="7F081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line="540" w:lineRule="atLeast"/>
      <w:outlineLvl w:val="3"/>
    </w:pPr>
    <w:rPr>
      <w:sz w:val="28"/>
      <w:szCs w:val="28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autoRedefine/>
    <w:qFormat/>
    <w:uiPriority w:val="0"/>
    <w:pPr>
      <w:spacing w:after="120" w:afterLines="0"/>
    </w:pPr>
  </w:style>
  <w:style w:type="paragraph" w:styleId="6">
    <w:name w:val="Body Text First Indent"/>
    <w:basedOn w:val="5"/>
    <w:autoRedefine/>
    <w:qFormat/>
    <w:uiPriority w:val="0"/>
    <w:pPr>
      <w:ind w:firstLine="420" w:firstLineChars="100"/>
    </w:pPr>
    <w:rPr>
      <w:b/>
      <w:bCs/>
      <w:szCs w:val="24"/>
    </w:rPr>
  </w:style>
  <w:style w:type="paragraph" w:styleId="7">
    <w:name w:val="Body Text Indent"/>
    <w:basedOn w:val="1"/>
    <w:next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  <w14:ligatures w14:val="none"/>
    </w:rPr>
  </w:style>
  <w:style w:type="paragraph" w:styleId="8">
    <w:name w:val="Plain Text"/>
    <w:basedOn w:val="1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9">
    <w:name w:val="footer"/>
    <w:basedOn w:val="1"/>
    <w:link w:val="2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39"/>
    <w:pPr>
      <w:spacing w:before="120" w:after="120" w:line="360" w:lineRule="auto"/>
      <w:jc w:val="left"/>
    </w:pPr>
    <w:rPr>
      <w:b/>
      <w:bCs/>
      <w:caps/>
      <w:sz w:val="24"/>
      <w:szCs w:val="20"/>
    </w:rPr>
  </w:style>
  <w:style w:type="paragraph" w:styleId="12">
    <w:name w:val="toc 6"/>
    <w:basedOn w:val="1"/>
    <w:next w:val="1"/>
    <w:autoRedefine/>
    <w:qFormat/>
    <w:uiPriority w:val="0"/>
    <w:pPr>
      <w:ind w:left="2100" w:leftChars="1000"/>
    </w:pPr>
  </w:style>
  <w:style w:type="paragraph" w:styleId="13">
    <w:name w:val="toc 2"/>
    <w:basedOn w:val="1"/>
    <w:next w:val="1"/>
    <w:autoRedefine/>
    <w:qFormat/>
    <w:uiPriority w:val="0"/>
    <w:pPr>
      <w:ind w:left="420" w:leftChars="200"/>
    </w:p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autoRedefine/>
    <w:qFormat/>
    <w:uiPriority w:val="0"/>
    <w:pPr>
      <w:jc w:val="center"/>
    </w:pPr>
    <w:rPr>
      <w:rFonts w:ascii="Arial" w:hAnsi="Arial" w:eastAsia="宋体"/>
      <w:b/>
      <w:kern w:val="0"/>
      <w:sz w:val="36"/>
      <w:szCs w:val="20"/>
      <w:lang w:eastAsia="en-US"/>
      <w14:ligatures w14:val="none"/>
    </w:rPr>
  </w:style>
  <w:style w:type="paragraph" w:styleId="16">
    <w:name w:val="Body Text First Indent 2"/>
    <w:basedOn w:val="7"/>
    <w:autoRedefine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table" w:styleId="18">
    <w:name w:val="Table Grid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22"/>
    <w:rPr>
      <w:b/>
    </w:rPr>
  </w:style>
  <w:style w:type="character" w:styleId="21">
    <w:name w:val="page number"/>
    <w:basedOn w:val="19"/>
    <w:autoRedefine/>
    <w:qFormat/>
    <w:uiPriority w:val="0"/>
  </w:style>
  <w:style w:type="paragraph" w:customStyle="1" w:styleId="22">
    <w:name w:val="BodyText1I"/>
    <w:basedOn w:val="23"/>
    <w:autoRedefine/>
    <w:qFormat/>
    <w:uiPriority w:val="0"/>
    <w:pPr>
      <w:ind w:firstLine="420" w:firstLineChars="100"/>
    </w:pPr>
  </w:style>
  <w:style w:type="paragraph" w:customStyle="1" w:styleId="23">
    <w:name w:val="BodyText"/>
    <w:basedOn w:val="1"/>
    <w:autoRedefine/>
    <w:qFormat/>
    <w:uiPriority w:val="0"/>
    <w:pPr>
      <w:spacing w:after="120"/>
    </w:pPr>
  </w:style>
  <w:style w:type="paragraph" w:customStyle="1" w:styleId="24">
    <w:name w:val="表格文字"/>
    <w:basedOn w:val="1"/>
    <w:next w:val="5"/>
    <w:autoRedefine/>
    <w:qFormat/>
    <w:uiPriority w:val="0"/>
    <w:pPr>
      <w:autoSpaceDE w:val="0"/>
      <w:autoSpaceDN w:val="0"/>
      <w:adjustRightInd w:val="0"/>
      <w:spacing w:line="420" w:lineRule="atLeast"/>
      <w:jc w:val="left"/>
      <w:textAlignment w:val="baseline"/>
    </w:pPr>
    <w:rPr>
      <w:rFonts w:hAnsi="宋体" w:cs="宋体"/>
      <w:kern w:val="0"/>
      <w:sz w:val="22"/>
      <w:lang w:val="zh-CN" w:bidi="zh-CN"/>
    </w:rPr>
  </w:style>
  <w:style w:type="character" w:customStyle="1" w:styleId="25">
    <w:name w:val="页眉 Char"/>
    <w:basedOn w:val="19"/>
    <w:link w:val="10"/>
    <w:autoRedefine/>
    <w:qFormat/>
    <w:uiPriority w:val="0"/>
    <w:rPr>
      <w:kern w:val="2"/>
      <w:sz w:val="18"/>
      <w:szCs w:val="18"/>
    </w:rPr>
  </w:style>
  <w:style w:type="character" w:customStyle="1" w:styleId="26">
    <w:name w:val="页脚 Char"/>
    <w:basedOn w:val="19"/>
    <w:link w:val="9"/>
    <w:autoRedefine/>
    <w:qFormat/>
    <w:uiPriority w:val="0"/>
    <w:rPr>
      <w:kern w:val="2"/>
      <w:sz w:val="18"/>
      <w:szCs w:val="18"/>
    </w:rPr>
  </w:style>
  <w:style w:type="paragraph" w:styleId="27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列出段落1"/>
    <w:basedOn w:val="1"/>
    <w:autoRedefine/>
    <w:qFormat/>
    <w:uiPriority w:val="0"/>
    <w:pPr>
      <w:widowControl/>
      <w:spacing w:after="160" w:line="360" w:lineRule="auto"/>
      <w:ind w:left="720"/>
      <w:contextualSpacing/>
      <w:jc w:val="left"/>
    </w:pPr>
    <w:rPr>
      <w:szCs w:val="22"/>
    </w:rPr>
  </w:style>
  <w:style w:type="character" w:customStyle="1" w:styleId="29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2033</Words>
  <Characters>2299</Characters>
  <Lines>17</Lines>
  <Paragraphs>4</Paragraphs>
  <TotalTime>0</TotalTime>
  <ScaleCrop>false</ScaleCrop>
  <LinksUpToDate>false</LinksUpToDate>
  <CharactersWithSpaces>2342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2019-08-15T01:42:00Z</dcterms:created>
  <dc:creator>小米</dc:creator>
  <cp:lastModifiedBy>市渔业应急处置指挥中心</cp:lastModifiedBy>
  <dcterms:modified xsi:type="dcterms:W3CDTF">2025-08-01T06:08:47Z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BDC350B777C44DFDACB8FBB696258D1E</vt:lpwstr>
  </property>
</Properties>
</file>