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笔记本电脑采购</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eastAsia"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4" w:name="_GoBack"/>
      <w:bookmarkStart w:id="1" w:name="OLE_LINK2"/>
      <w:r>
        <w:rPr>
          <w:rFonts w:hint="eastAsia" w:ascii="宋体" w:hAnsi="宋体" w:eastAsia="宋体" w:cs="宋体"/>
          <w:b w:val="0"/>
          <w:bCs w:val="0"/>
          <w:sz w:val="24"/>
          <w:szCs w:val="24"/>
          <w:lang w:val="en-US" w:eastAsia="zh-Hans"/>
        </w:rPr>
        <w:t>温州市中医院</w:t>
      </w:r>
      <w:bookmarkStart w:id="2" w:name="OLE_LINK1"/>
      <w:r>
        <w:rPr>
          <w:rFonts w:hint="eastAsia" w:ascii="宋体" w:hAnsi="宋体" w:eastAsia="宋体" w:cs="宋体"/>
          <w:b w:val="0"/>
          <w:bCs w:val="0"/>
          <w:sz w:val="24"/>
          <w:u w:val="none"/>
          <w:lang w:val="en-US" w:eastAsia="zh-CN"/>
        </w:rPr>
        <w:t>笔记本电脑采购</w:t>
      </w:r>
      <w:bookmarkEnd w:id="1"/>
      <w:bookmarkEnd w:id="2"/>
      <w:bookmarkEnd w:id="4"/>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7"/>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b w:val="0"/>
          <w:bCs w:val="0"/>
          <w:sz w:val="24"/>
          <w:szCs w:val="24"/>
          <w:lang w:val="en-US" w:eastAsia="zh-CN"/>
        </w:rPr>
        <w:t>77000元</w:t>
      </w:r>
    </w:p>
    <w:p>
      <w:pPr>
        <w:pStyle w:val="7"/>
        <w:numPr>
          <w:ilvl w:val="0"/>
          <w:numId w:val="2"/>
        </w:numPr>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lang w:val="en-US" w:eastAsia="zh-CN"/>
        </w:rPr>
        <w:t>项目内容及要求</w:t>
      </w:r>
      <w:r>
        <w:rPr>
          <w:rFonts w:hint="eastAsia" w:ascii="宋体" w:hAnsi="宋体" w:eastAsia="宋体" w:cs="宋体"/>
          <w:b/>
          <w:bCs/>
          <w:sz w:val="28"/>
          <w:szCs w:val="28"/>
        </w:rPr>
        <w:t>：</w:t>
      </w:r>
    </w:p>
    <w:p>
      <w:pPr>
        <w:pStyle w:val="7"/>
        <w:numPr>
          <w:ilvl w:val="0"/>
          <w:numId w:val="0"/>
        </w:num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1、采购内容</w:t>
      </w:r>
    </w:p>
    <w:tbl>
      <w:tblPr>
        <w:tblStyle w:val="13"/>
        <w:tblW w:w="14325"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0"/>
        <w:gridCol w:w="4965"/>
        <w:gridCol w:w="3555"/>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序号</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lang w:val="en-US" w:eastAsia="zh-CN"/>
              </w:rPr>
              <w:t>产品名称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rPr>
              <w:t>数量</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22"/>
                <w:szCs w:val="22"/>
                <w:u w:val="none"/>
              </w:rPr>
            </w:pPr>
            <w:r>
              <w:rPr>
                <w:rFonts w:hint="eastAsia" w:ascii="宋体" w:hAnsi="宋体" w:eastAsia="宋体" w:cs="宋体"/>
                <w:sz w:val="24"/>
              </w:rPr>
              <w:t>1</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宋体" w:hAnsi="宋体" w:eastAsia="宋体" w:cs="宋体"/>
                <w:i w:val="0"/>
                <w:iCs w:val="0"/>
                <w:color w:val="000000"/>
                <w:sz w:val="22"/>
                <w:szCs w:val="22"/>
                <w:u w:val="none"/>
                <w:lang w:val="en-US"/>
              </w:rPr>
            </w:pPr>
            <w:r>
              <w:rPr>
                <w:rFonts w:hint="eastAsia" w:ascii="宋体" w:hAnsi="宋体" w:eastAsia="宋体" w:cs="宋体"/>
                <w:b w:val="0"/>
                <w:bCs w:val="0"/>
                <w:sz w:val="24"/>
                <w:lang w:val="en-US" w:eastAsia="zh-CN"/>
              </w:rPr>
              <w:t>笔记本电脑</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18"/>
                <w:szCs w:val="18"/>
                <w:u w:val="none"/>
              </w:rPr>
            </w:pPr>
            <w:r>
              <w:rPr>
                <w:rFonts w:hint="eastAsia" w:ascii="宋体" w:hAnsi="宋体" w:eastAsia="宋体" w:cs="宋体"/>
                <w:sz w:val="24"/>
                <w:lang w:val="en-US" w:eastAsia="zh-CN"/>
              </w:rPr>
              <w:t>台</w:t>
            </w:r>
          </w:p>
        </w:tc>
      </w:tr>
    </w:tbl>
    <w:p>
      <w:pPr>
        <w:pStyle w:val="7"/>
        <w:widowControl w:val="0"/>
        <w:numPr>
          <w:ilvl w:val="0"/>
          <w:numId w:val="0"/>
        </w:numPr>
        <w:jc w:val="both"/>
        <w:rPr>
          <w:rFonts w:hint="default" w:ascii="宋体" w:hAnsi="宋体" w:eastAsia="宋体" w:cs="宋体"/>
          <w:sz w:val="24"/>
          <w:lang w:val="en-US" w:eastAsia="zh-CN"/>
        </w:rPr>
      </w:pPr>
    </w:p>
    <w:p>
      <w:pPr>
        <w:pStyle w:val="7"/>
        <w:widowControl w:val="0"/>
        <w:numPr>
          <w:ilvl w:val="0"/>
          <w:numId w:val="0"/>
        </w:numPr>
        <w:jc w:val="both"/>
        <w:rPr>
          <w:rFonts w:hint="default" w:ascii="宋体" w:hAnsi="宋体" w:eastAsia="宋体" w:cs="宋体"/>
          <w:b/>
          <w:bCs/>
          <w:sz w:val="24"/>
          <w:lang w:val="en-US" w:eastAsia="zh-CN"/>
        </w:rPr>
      </w:pPr>
      <w:r>
        <w:rPr>
          <w:rFonts w:hint="eastAsia" w:ascii="宋体" w:hAnsi="宋体" w:eastAsia="宋体" w:cs="宋体"/>
          <w:b/>
          <w:bCs/>
          <w:sz w:val="24"/>
          <w:lang w:val="en-US" w:eastAsia="zh-CN"/>
        </w:rPr>
        <w:t>2、采购</w:t>
      </w:r>
      <w:r>
        <w:rPr>
          <w:b/>
          <w:bCs/>
          <w:sz w:val="24"/>
        </w:rPr>
        <w:t>要求（注：标注★的采购要求为实质性要求，负偏离将视为无效标；）</w:t>
      </w:r>
    </w:p>
    <w:tbl>
      <w:tblPr>
        <w:tblStyle w:val="13"/>
        <w:tblW w:w="14529"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8"/>
        <w:gridCol w:w="2997"/>
        <w:gridCol w:w="9225"/>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870" w:type="dxa"/>
            <w:gridSpan w:val="3"/>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1659" w:type="dxa"/>
            <w:shd w:val="clear" w:color="auto" w:fill="auto"/>
            <w:vAlign w:val="top"/>
          </w:tcPr>
          <w:p>
            <w:pPr>
              <w:keepNext w:val="0"/>
              <w:keepLines w:val="0"/>
              <w:widowControl/>
              <w:suppressLineNumbers w:val="0"/>
              <w:jc w:val="center"/>
              <w:textAlignment w:val="top"/>
              <w:rPr>
                <w:rFonts w:hint="default" w:ascii="宋体" w:hAnsi="宋体" w:eastAsia="宋体" w:cs="宋体"/>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8" w:type="dxa"/>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997" w:type="dxa"/>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类型</w:t>
            </w:r>
          </w:p>
        </w:tc>
        <w:tc>
          <w:tcPr>
            <w:tcW w:w="9225" w:type="dxa"/>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1659" w:type="dxa"/>
            <w:shd w:val="clear" w:color="auto" w:fill="auto"/>
            <w:vAlign w:val="top"/>
          </w:tcPr>
          <w:p>
            <w:pPr>
              <w:keepNext w:val="0"/>
              <w:keepLines w:val="0"/>
              <w:widowControl/>
              <w:suppressLineNumbers w:val="0"/>
              <w:ind w:firstLine="211" w:firstLineChars="100"/>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不低于Intel Core Ultra 7 processor 155H ，主频4.8GHZ，物理核心数16核心，24MB三级缓存，22线程</w:t>
            </w:r>
          </w:p>
        </w:tc>
        <w:tc>
          <w:tcPr>
            <w:tcW w:w="1659"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w:t>
            </w:r>
          </w:p>
        </w:tc>
        <w:tc>
          <w:tcPr>
            <w:tcW w:w="9225" w:type="dxa"/>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内存的最高速率5600MHZ，通道数2个，位宽64BIT</w:t>
            </w:r>
          </w:p>
        </w:tc>
        <w:tc>
          <w:tcPr>
            <w:tcW w:w="1659" w:type="dxa"/>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★内存配置容量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★内存类型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支持DDR5内存</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★内存条配置数量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★主板集成模块</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集成资源扩展模块、计算处理模块、音频扩展模块等，主板的互联拓扑可通过处理器或交换电路实现</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★主板支持的CPU和内存情况</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不低于Intel Core Ultra 7 processor 155H；内存DDR5 5600一个，内存插槽两个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★单内存插槽最大可支持容量（板载内存不涉及）</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★内存插槽满配时支持的最高内存总容量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★固态盘数量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★固态存储容量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≥1TB(M.2 SSD) </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★固态盘数量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★存储设备扩展盘位</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★存储设备其他参与要求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a）固态盘应符合SJ/T11654相关规定；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b）机械硬盘准备时间应不大于30s；侧面固定螺丝孔数量可为4孔或6孔~；工作状态环境温度应满足5℃55℃；其它参数应符合GB/T12628的相关规定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★显卡类型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核芯显卡</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★显示屏屏占比</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★显示屏分辨率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≥1920x1080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★显示屏尺寸</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≥14寸</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★显示屏屏幕比例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★显示屏防蓝光</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LED背光300尼特，防反光IPS显示屏，色域 100% sRGB，刷新率60Hz，TüV低蓝光 </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★显示屏低频闪</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显示屏应支持低频闪≤-35dB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★显示屏防炫目</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显示器镜面反射率≤10%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★传声器数量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★触控板数量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★键盘按键数目</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84键</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★摄像头像素</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红外和1080p混合摄像头，带ThinkShutter隐私开关</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★摄像头分辨率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≥1920★1080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★内置扬声器功率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≥2瓦/个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★内置扬声器频率范围</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100Hz-20kHz35dB及以上</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★内置扬声器总谐波失真</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总谐波失真在300Hz-7kHz频率范围内宜不高于5%</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★内置扬声器最大声压级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最大声压级在粉红噪声播放场景下，工作距离处声压级宜不低于70dB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★键盘键程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0.9mm~2.3mm</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★键盘按键压力</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按键压力宜在0.3～0.8N之间</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★键盘颜色</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★鼠标连接方式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无线鼠标</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★有线鼠标连接线</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无线鼠标</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★鼠标DPI分辨率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800~1600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★鼠标其他要求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其它参数应符合GB/T26245的相关规定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★触控板尺寸</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≥70mm×50mm</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★触控板材质</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采用麦拉片或玻璃等材质</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★有线网卡数量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≥1（可通过扩展坞支持）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★USB接口数量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USB接口数量≥4个，至少包含2个USB3.2及2个USBtypec</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★视频接口数量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★输入充电接口数量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★音频接口数量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★电池额定能量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≥57Wh</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★电池充放电次数</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≥500次（常温下500次充放电后电池容量应不低于原始容量的80%）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★电池安全要求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符合GB31241的规定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a)产品表面不应有凹痕、划伤、裂缝、变形和污染等。表面涂层均匀，不应起泡、龟裂、脱落和磨损，金属零部件无锈蚀及其它机械损伤；</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b)产品表面说明功能的文字、符号、标志，应清晰、端正、牢固；</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c)宜在产品显著位置提供运行状态指示功能，并由生产厂商提供详细参数</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a)产品应符合GB/T4208的相关规定；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b)产品内部结构应符合通用部件的安装需要；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c)所有输入输出接口应符合相关国家或行业标准；</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d)产品零部件应紧固无松动，可插拔部件应可靠连接，开关、按钮和其它控制部件应灵活可靠，布局应方便使用；</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e)所有I/O连接器及需插接线缆的部位应预留用户操作空间，方便插拔解锁与插拔线缆；</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f)可插拔板卡插槽部位应预留安装、拆卸或更换板卡空间；</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g)拆装可能接触到的金属剪口或金属尖角部位应做防划伤处理，以保证安全；</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h)整机内部走线应规整，固线结构和位置要合理可靠并做防割线处理，需便于理线和插拔操作，走线应不影响系统各主要部件组装和拆卸；</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i)如需通过孔走线，过线孔应做防割线处理；</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j)各插头位置和插拔方向应合理，应做到插拔无障碍设计，具备防呆设计，有效避免误操作；</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k)各主要部件拆装无障碍，使用常规工具拆装，无特殊拆装工具需求；</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l)各主要部件拆装步骤要少，各自拆装需避免相互干扰；</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m)对于整机或零部件外表面为高亮面的，应粘贴保护膜，保护膜需粘贴牢固，运输、组装等过程不易脱落，撕下无残留；</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n)显示屏的开合机械寿命应能承受至少15000次的显示屏开合，显示屏机械转轴的扭力应保持初始状态下扭力的75%以上；</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o)其它要求应符合GB/T9813.2的相关规定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噪音</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空闲小于等于38dBA满载小于等于45dBA</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产品在环境温度25℃且运行在满载的状态下，可触及面温度范围内应不高于45℃,各表面温度应符合以下要求：</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散热</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A）键帽温度不高于38℃；</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b)键盘间隙温度不高于40℃；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c)掌托温度不高于38℃；</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d)触控板温度不高于38℃；</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e)底壳温度不高于45℃</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★整机能效限定值</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产品能效限定值应达到GB28380-2012标准中能效等级2级及以上</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★整机重量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≤1.59kg（包括电池）</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★整机厚度</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≤23.7mm（不含脚垫）</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★机身颜色</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★CPU物理核数</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≥16核</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★CPU主频</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≥4.8GHz</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★CPU末级缓存容量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≥24MB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★CPU支持的内存最高速率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≥5600MT/s</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★内存读写速率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≥3200MT/s</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★显示分辨率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≥1920x1080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★显卡显示芯片核心频率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≥300MHz</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★显存等效频率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≥1000MT/s</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★显卡可支持多屏同时显示数量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显卡应支持2块屏幕同时显示，分辨率应不低于1920×1080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★显示屏刷新率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≥60Hz</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★显示屏位深</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≥8位</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★显示屏色域</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≥100%sRGB</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★显示屏色准</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△E≤3</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★显示屏响应时间</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≤30ms</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★显示屏亮度</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≥250尼特</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★显示屏亮度一致性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★显示屏对比度</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★显示屏其他参数</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其它参数应符合SJ/T11292的相关规定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★有线网卡速率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最高速率不低于1000Mbps，支持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10Mbps、100Mbps、1000Mbps速率自适应</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★支持无线网络通信技术协议</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WiFi6.0及以上协议</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★无线网卡频宽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≥20MHz</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★电源适配器电源效率</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在20%/50%/100%负载下效率均应不低于87%</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★满载待机性能（LTP）</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≥1.5小时</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★内存扩展接口(板载内存不涉及)</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≥2个</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★主板USB瞬间过流保护</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支持瞬间过流保护功能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★主板防静电保护</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支持防静电保护功能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★I/O接口功能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★显卡外接显示接口</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支持HDMI、Type-C</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★显示功能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支持显示屏，同时应支持外接显示器。显示屏和外接显示器应支持多屏同时显示，显示模式应支持复制模式和扩展模式</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★光驱功能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无光驱</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支持信息存储功能，包括支持易失性存储功能和非易失性存储功能。为提升存储性能和降低存储功耗，非易失性存储宜支持固态存储设备，如SSD/UFS。</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产品应支持外出接口可以与独立的存储设备进行数据交互</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a) 支持网络连接、网络开启/关闭功能；</w:t>
            </w:r>
          </w:p>
        </w:tc>
        <w:tc>
          <w:tcPr>
            <w:tcW w:w="1659" w:type="dxa"/>
            <w:shd w:val="clear" w:color="auto" w:fill="auto"/>
            <w:vAlign w:val="center"/>
          </w:tcPr>
          <w:p>
            <w:pPr>
              <w:keepNext w:val="0"/>
              <w:keepLines w:val="0"/>
              <w:widowControl/>
              <w:suppressLineNumbers w:val="0"/>
              <w:jc w:val="center"/>
              <w:textAlignment w:val="center"/>
              <w:rPr>
                <w:rStyle w:val="21"/>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b) 支持访问网络和数据交换功能</w:t>
            </w:r>
          </w:p>
        </w:tc>
        <w:tc>
          <w:tcPr>
            <w:tcW w:w="1659" w:type="dxa"/>
            <w:shd w:val="clear" w:color="auto" w:fill="auto"/>
            <w:vAlign w:val="center"/>
          </w:tcPr>
          <w:p>
            <w:pPr>
              <w:keepNext w:val="0"/>
              <w:keepLines w:val="0"/>
              <w:widowControl/>
              <w:suppressLineNumbers w:val="0"/>
              <w:jc w:val="center"/>
              <w:textAlignment w:val="center"/>
              <w:rPr>
                <w:rStyle w:val="21"/>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★无线网卡频段</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支持双频段</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★数据传输</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支持数据传输能力，并提供数据流量和异常日志记录功能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★蓝牙协议</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支持蓝牙模块，蓝牙协议不低于5.0版本</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★无线网卡标准</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符合GB15629.11所有部分</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★音频接口类型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不少于1个3.5mm孔径的3段式接口</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★视频接口类型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支持HDMI、Type-C</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★HDMI、DP、Type-C显示接口要</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提供Type-C作为显示接口，应支持音频和视频同步输出</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★输入充电接口类型</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支持Type-C接口</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★电源线适配能力</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符合GB15934-2008对于可拆线插头GB15934不做要求</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★中文信息处理要求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符合GB18030的相关规定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★操作系统备份及还原功能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支持操作系统备份及还原功能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★固件备份还原能力</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支持备份及还原固件的功能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★操作系统及驱动升级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支持通过网络、闪存盘等方式对操作系统、驱动进行升级</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★BIOS支持关闭通讯接口</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支持BIOS关闭以太网及USB接口功能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★固件查看信息</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支持查看固件版本、内存信息、主板信息、处理器信息和系统时间信息等功能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★固件设置启动顺序</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支持设置启动顺序功能，并按照设置的启动顺序启动</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★固件设置口令</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支持设置口令、修改口令、验证口令功能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★固件设置网络引导</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支持网络引导启动和关闭功能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★固态存储寿命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TBW≥80TB（条件：240GB硬盘容量）</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★机械硬盘寿命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通电时间≥5万小时</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★显示屏屏幕失效点</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符合GB/T9813.2的要求</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★键盘按键寿命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≥1000万次</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★鼠标按键寿命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≥500万次</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★键盘鼠标线材寿命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键盘鼠标所用线材经±60°弯折不低于3000次，功能、外观完好</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★风扇寿命</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≥4万小时</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★电磁兼容性要求的抗扰度</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符合GB/T9254.2的规定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★环境条件要求的气候环境适应性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★环境条件要求的振动适应性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★环境条件要求的冲击适应性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★环境条件要求的碰撞适应性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★环境条件要求的自由跌落适应性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★环境条件要求的运输包装件跌落适应性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★MTBF测试</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MTBF(m1)≥100万小时</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★常用软件兼容</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支持流式软件、版式软件、浏览器、邮件客户端、解压软件、多媒体、图形图像处理等常用软件</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★数据库兼容</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兼容3个及以上厂商的数据库产品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★中间件兼容</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兼容3个及以上厂商中间件产品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★平台软件兼容</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兼容3个及以上厂商云计算及大数据平台</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★标志、包装、运输和贮存</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符合GB/T9813.2和商品包装政府采购需求标准的相关规定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★配置检查工具</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提供自检测试工具</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★服务响应</w:t>
            </w:r>
          </w:p>
        </w:tc>
        <w:tc>
          <w:tcPr>
            <w:tcW w:w="922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笔记本质保二年及以上</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★服务周期</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笔记本质保二年及以上</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★预装操作系统</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预装符合桌面操作系统政府采购需求标准的正版操作系统</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★培训服务</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供应商提供相关培训服务</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★典型问题解决手册</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供应商提供典型问题解决说明文档或视频</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★厂家升级软件与扩容服务</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提供应商供上门升级部件/软件的增值服务</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★整机质量服务要求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免费服务周期（含换件和维修）应不小于2年</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★合格证书要求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供应商提供产品合格证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★开箱组装/使用指导要求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供应商提供开箱组装/使用指导</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★驱动下载服务要求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供应商提供驱动光盘或下载方式</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★兼容适配软件下载服务要求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供应商提供兼容适配软件下载渠道（光盘、网站）</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★产品部件保障</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保障产品主要部件，应提供6年的备件服务能力(自购买之日起)，或提供可兼容原设备的升级换代产品</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★抗干扰性</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当产品部件出现供应风险时，供应商应通知采购人并提供风险应对方案确保产品的服务保障</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★供应能力证明</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提供供应链稳定承诺书，确保产品的部件在产品服务周期内稳定供货</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kern w:val="0"/>
                <w:sz w:val="21"/>
                <w:szCs w:val="21"/>
                <w:u w:val="none"/>
                <w:lang w:val="en-US" w:eastAsia="zh-CN" w:bidi="ar"/>
              </w:rPr>
              <w:fldChar w:fldCharType="begin"/>
            </w:r>
            <w:r>
              <w:rPr>
                <w:rFonts w:hint="eastAsia" w:ascii="宋体" w:hAnsi="宋体" w:eastAsia="宋体" w:cs="宋体"/>
                <w:i w:val="0"/>
                <w:iCs w:val="0"/>
                <w:kern w:val="0"/>
                <w:sz w:val="21"/>
                <w:szCs w:val="21"/>
                <w:u w:val="none"/>
                <w:lang w:val="en-US" w:eastAsia="zh-CN" w:bidi="ar"/>
              </w:rPr>
              <w:instrText xml:space="preserve"> HYPERLINK "" \l "bookmark3" </w:instrText>
            </w:r>
            <w:r>
              <w:rPr>
                <w:rFonts w:hint="eastAsia" w:ascii="宋体" w:hAnsi="宋体" w:eastAsia="宋体" w:cs="宋体"/>
                <w:i w:val="0"/>
                <w:iCs w:val="0"/>
                <w:kern w:val="0"/>
                <w:sz w:val="21"/>
                <w:szCs w:val="21"/>
                <w:u w:val="none"/>
                <w:lang w:val="en-US" w:eastAsia="zh-CN" w:bidi="ar"/>
              </w:rPr>
              <w:fldChar w:fldCharType="separate"/>
            </w:r>
            <w:r>
              <w:rPr>
                <w:rStyle w:val="17"/>
                <w:rFonts w:hint="eastAsia" w:ascii="宋体" w:hAnsi="宋体" w:eastAsia="宋体" w:cs="宋体"/>
                <w:i w:val="0"/>
                <w:iCs w:val="0"/>
                <w:sz w:val="21"/>
                <w:szCs w:val="21"/>
                <w:u w:val="none"/>
              </w:rPr>
              <w:t>★关键部件安全要求3</w:t>
            </w:r>
            <w:r>
              <w:rPr>
                <w:rFonts w:hint="eastAsia" w:ascii="宋体" w:hAnsi="宋体" w:eastAsia="宋体" w:cs="宋体"/>
                <w:i w:val="0"/>
                <w:iCs w:val="0"/>
                <w:kern w:val="0"/>
                <w:sz w:val="21"/>
                <w:szCs w:val="21"/>
                <w:u w:val="none"/>
                <w:lang w:val="en-US" w:eastAsia="zh-CN" w:bidi="ar"/>
              </w:rPr>
              <w:fldChar w:fldCharType="end"/>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CPU和操作系统等关键部件应当符合安全可靠测评要求</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★密码算法实现</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CPU芯片应符合GM/T0008的相关规定，或芯片密码模块应符合GB/T37092或GM/T0028的相关规定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64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★信息安全基本要求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a)应符合GB/T39276的5.2的规定；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b)生产厂商应建立漏洞跟踪表，保证产品版本涉及到的漏洞(如驱动程序等)可查看；</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648"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2997" w:type="dxa"/>
            <w:vMerge w:val="continue"/>
            <w:shd w:val="clear" w:color="auto" w:fill="auto"/>
            <w:vAlign w:val="center"/>
          </w:tcPr>
          <w:p>
            <w:pPr>
              <w:jc w:val="left"/>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c)不得包含已知的恶意代码或漏洞，不存在未声明的指令、功能、接口</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★固件安全启动</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支持固件安全启动功能，固件启动过程中只有通过启动校验才能正常启动</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99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★限用物质的限量要求</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符合GB/T26572中规定</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97" w:type="dxa"/>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质量认证</w:t>
            </w: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通过键盘防泼溅（中标后提供认证证书复印件或第三方测试报告复印件加盖厂家公章）</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997"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2分钟静置测试、噪音认证低于15分贝测试（中标后提供认证证书复印件或第三方测试报告复印件加盖厂家公章）</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997"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A壳压力承重测试认证（中标后提供认证证书复印件或第三方测试报告复印件加盖厂家公章）</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997"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2.5万次屏幕开合测试认证（中标后提供认证证书复印件或第三方测试报告复印件加盖厂家公章）</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997" w:type="dxa"/>
            <w:vMerge w:val="continue"/>
            <w:shd w:val="clear" w:color="auto" w:fill="auto"/>
            <w:vAlign w:val="center"/>
          </w:tcPr>
          <w:p>
            <w:pPr>
              <w:jc w:val="center"/>
              <w:rPr>
                <w:rFonts w:hint="eastAsia" w:ascii="宋体" w:hAnsi="宋体" w:eastAsia="宋体" w:cs="宋体"/>
                <w:i w:val="0"/>
                <w:iCs w:val="0"/>
                <w:color w:val="000000"/>
                <w:sz w:val="21"/>
                <w:szCs w:val="21"/>
                <w:u w:val="none"/>
              </w:rPr>
            </w:pPr>
          </w:p>
        </w:tc>
        <w:tc>
          <w:tcPr>
            <w:tcW w:w="92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1600万次键盘敲击测试认证（中标后提供认证证书复印件或第三方测试报告复印件加盖厂家公章）</w:t>
            </w:r>
          </w:p>
        </w:tc>
        <w:tc>
          <w:tcPr>
            <w:tcW w:w="16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w:t>
            </w:r>
          </w:p>
        </w:tc>
      </w:tr>
    </w:tbl>
    <w:p>
      <w:pPr>
        <w:spacing w:before="120" w:beforeLines="50" w:after="120" w:afterLines="50" w:line="360" w:lineRule="auto"/>
        <w:jc w:val="left"/>
        <w:rPr>
          <w:rFonts w:hint="eastAsia"/>
          <w:b/>
          <w:bCs/>
          <w:color w:val="FF0000"/>
          <w:u w:val="single"/>
          <w:lang w:val="en-US" w:eastAsia="zh-CN"/>
        </w:rPr>
      </w:pPr>
      <w:bookmarkStart w:id="3" w:name="OLE_LINK24"/>
    </w:p>
    <w:p>
      <w:pPr>
        <w:spacing w:before="120" w:beforeLines="50" w:after="120" w:afterLines="50" w:line="360" w:lineRule="auto"/>
        <w:jc w:val="left"/>
        <w:rPr>
          <w:rFonts w:hint="eastAsia"/>
          <w:b/>
          <w:bCs/>
          <w:color w:val="FF0000"/>
          <w:u w:val="single"/>
          <w:lang w:val="en-US" w:eastAsia="zh-CN"/>
        </w:rPr>
      </w:pPr>
    </w:p>
    <w:p>
      <w:pPr>
        <w:spacing w:before="120" w:beforeLines="50" w:after="120" w:afterLines="50" w:line="360" w:lineRule="auto"/>
        <w:jc w:val="left"/>
        <w:rPr>
          <w:kern w:val="0"/>
          <w:sz w:val="24"/>
        </w:rPr>
      </w:pPr>
      <w:r>
        <w:rPr>
          <w:rFonts w:hint="eastAsia"/>
          <w:b/>
          <w:bCs/>
          <w:color w:val="FF0000"/>
          <w:u w:val="single"/>
          <w:lang w:val="en-US" w:eastAsia="zh-CN"/>
        </w:rPr>
        <w:t>注：</w:t>
      </w:r>
      <w:bookmarkEnd w:id="3"/>
      <w:r>
        <w:rPr>
          <w:rFonts w:hint="eastAsia"/>
          <w:b/>
          <w:bCs/>
          <w:color w:val="FF0000"/>
          <w:u w:val="single"/>
          <w:lang w:val="en-US" w:eastAsia="zh-CN"/>
        </w:rPr>
        <w:t>1、</w:t>
      </w:r>
      <w:r>
        <w:rPr>
          <w:rFonts w:hint="eastAsia" w:ascii="宋体" w:hAnsi="宋体" w:eastAsia="宋体" w:cs="宋体"/>
          <w:b/>
          <w:bCs/>
          <w:sz w:val="21"/>
          <w:szCs w:val="21"/>
          <w:u w:val="single"/>
          <w:lang w:val="en-US" w:eastAsia="zh-CN"/>
        </w:rPr>
        <w:t>投标人超过预算金额的投标报价将作无效标处理。</w:t>
      </w:r>
    </w:p>
    <w:p>
      <w:pPr>
        <w:numPr>
          <w:ilvl w:val="0"/>
          <w:numId w:val="0"/>
        </w:numPr>
        <w:spacing w:before="120" w:beforeLines="50" w:after="120" w:afterLines="50" w:line="360" w:lineRule="auto"/>
        <w:ind w:firstLine="422" w:firstLineChars="200"/>
        <w:jc w:val="left"/>
        <w:rPr>
          <w:rFonts w:hint="eastAsia" w:ascii="宋体" w:hAnsi="宋体" w:eastAsia="宋体" w:cs="宋体"/>
          <w:b/>
          <w:bCs/>
          <w:kern w:val="0"/>
          <w:sz w:val="21"/>
          <w:szCs w:val="21"/>
          <w:u w:val="single"/>
        </w:rPr>
      </w:pPr>
      <w:r>
        <w:rPr>
          <w:rFonts w:hint="eastAsia" w:ascii="宋体" w:hAnsi="宋体" w:eastAsia="宋体" w:cs="宋体"/>
          <w:b/>
          <w:bCs/>
          <w:kern w:val="0"/>
          <w:sz w:val="21"/>
          <w:szCs w:val="21"/>
          <w:u w:val="single"/>
          <w:lang w:val="en-US" w:eastAsia="zh-CN" w:bidi="ar-SA"/>
        </w:rPr>
        <w:t>▲2、</w:t>
      </w:r>
      <w:r>
        <w:rPr>
          <w:rFonts w:hint="eastAsia" w:ascii="宋体" w:hAnsi="宋体" w:eastAsia="宋体" w:cs="宋体"/>
          <w:b/>
          <w:bCs/>
          <w:kern w:val="0"/>
          <w:sz w:val="21"/>
          <w:szCs w:val="21"/>
          <w:u w:val="single"/>
        </w:rPr>
        <w:t>本次采购采用电子交易方式，电子交易平台为“</w:t>
      </w:r>
      <w:r>
        <w:rPr>
          <w:rFonts w:hint="eastAsia" w:ascii="宋体" w:hAnsi="宋体" w:eastAsia="宋体" w:cs="宋体"/>
          <w:b/>
          <w:bCs/>
          <w:kern w:val="0"/>
          <w:sz w:val="21"/>
          <w:szCs w:val="21"/>
          <w:u w:val="single"/>
          <w:lang w:val="en-US" w:eastAsia="zh-CN"/>
        </w:rPr>
        <w:t>政</w:t>
      </w:r>
      <w:r>
        <w:rPr>
          <w:rFonts w:hint="eastAsia" w:ascii="宋体" w:hAnsi="宋体" w:eastAsia="宋体" w:cs="宋体"/>
          <w:b/>
          <w:bCs/>
          <w:kern w:val="0"/>
          <w:sz w:val="21"/>
          <w:szCs w:val="21"/>
          <w:u w:val="single"/>
        </w:rPr>
        <w:t>采云平台（</w:t>
      </w:r>
      <w:r>
        <w:rPr>
          <w:rFonts w:hint="eastAsia" w:ascii="宋体" w:hAnsi="宋体" w:eastAsia="宋体" w:cs="宋体"/>
          <w:b/>
          <w:bCs/>
          <w:color w:val="0000FF"/>
          <w:kern w:val="0"/>
          <w:sz w:val="21"/>
          <w:szCs w:val="21"/>
          <w:u w:val="single"/>
        </w:rPr>
        <w:t>https://www.zcygov.cn/）</w:t>
      </w:r>
      <w:r>
        <w:rPr>
          <w:rFonts w:hint="eastAsia" w:ascii="宋体" w:hAnsi="宋体" w:eastAsia="宋体" w:cs="宋体"/>
          <w:b/>
          <w:bCs/>
          <w:kern w:val="0"/>
          <w:sz w:val="21"/>
          <w:szCs w:val="21"/>
          <w:u w:val="single"/>
        </w:rPr>
        <w:t>”。</w:t>
      </w:r>
    </w:p>
    <w:p>
      <w:pPr>
        <w:spacing w:before="120" w:beforeLines="50" w:after="120" w:afterLines="50" w:line="360" w:lineRule="auto"/>
        <w:ind w:firstLine="420" w:firstLineChars="200"/>
        <w:jc w:val="left"/>
        <w:rPr>
          <w:rFonts w:hint="eastAsia" w:ascii="宋体" w:hAnsi="宋体" w:eastAsia="宋体" w:cs="宋体"/>
          <w:sz w:val="21"/>
          <w:szCs w:val="21"/>
        </w:rPr>
        <w:sectPr>
          <w:footerReference r:id="rId3" w:type="default"/>
          <w:pgSz w:w="16840" w:h="11907" w:orient="landscape"/>
          <w:pgMar w:top="1531" w:right="1304" w:bottom="1531" w:left="1247" w:header="851" w:footer="992" w:gutter="0"/>
          <w:pgNumType w:fmt="numberInDash" w:start="1"/>
          <w:cols w:space="720" w:num="1"/>
          <w:docGrid w:linePitch="312" w:charSpace="0"/>
        </w:sectPr>
      </w:pPr>
    </w:p>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、主要商务要求</w:t>
      </w:r>
    </w:p>
    <w:p>
      <w:pPr>
        <w:pStyle w:val="7"/>
        <w:numPr>
          <w:ilvl w:val="0"/>
          <w:numId w:val="0"/>
        </w:numPr>
        <w:spacing w:line="360" w:lineRule="auto"/>
        <w:ind w:firstLine="482"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w:t>
      </w:r>
      <w:r>
        <w:rPr>
          <w:rFonts w:hint="eastAsia" w:ascii="宋体" w:hAnsi="宋体" w:eastAsia="宋体" w:cs="宋体"/>
          <w:color w:val="FF0000"/>
          <w:sz w:val="24"/>
          <w:lang w:val="en-US" w:eastAsia="zh-CN"/>
        </w:rPr>
        <w:t>由</w:t>
      </w:r>
      <w:r>
        <w:rPr>
          <w:rFonts w:hint="default" w:ascii="宋体" w:hAnsi="宋体" w:eastAsia="宋体" w:cs="宋体"/>
          <w:color w:val="FF0000"/>
          <w:sz w:val="24"/>
          <w:lang w:val="en-US" w:eastAsia="zh-CN"/>
        </w:rPr>
        <w:t>乙方</w:t>
      </w:r>
      <w:r>
        <w:rPr>
          <w:rFonts w:hint="eastAsia" w:ascii="宋体" w:hAnsi="宋体" w:eastAsia="宋体" w:cs="宋体"/>
          <w:color w:val="FF0000"/>
          <w:sz w:val="24"/>
          <w:lang w:val="en-US" w:eastAsia="zh-CN"/>
        </w:rPr>
        <w:t>联系</w:t>
      </w:r>
      <w:r>
        <w:rPr>
          <w:rFonts w:hint="default" w:ascii="宋体" w:hAnsi="宋体" w:eastAsia="宋体" w:cs="宋体"/>
          <w:color w:val="FF0000"/>
          <w:sz w:val="24"/>
          <w:lang w:val="en-US" w:eastAsia="zh-CN"/>
        </w:rPr>
        <w:t>甲方</w:t>
      </w:r>
      <w:r>
        <w:rPr>
          <w:rFonts w:hint="eastAsia" w:ascii="宋体" w:hAnsi="宋体" w:eastAsia="宋体" w:cs="宋体"/>
          <w:color w:val="FF0000"/>
          <w:sz w:val="24"/>
          <w:lang w:val="en-US" w:eastAsia="zh-CN"/>
        </w:rPr>
        <w:t>采购中心开票入库（</w:t>
      </w:r>
      <w:r>
        <w:rPr>
          <w:rFonts w:hint="default" w:ascii="宋体" w:hAnsi="宋体" w:eastAsia="宋体" w:cs="宋体"/>
          <w:color w:val="FF0000"/>
          <w:sz w:val="24"/>
          <w:lang w:val="en-US" w:eastAsia="zh-CN"/>
        </w:rPr>
        <w:t>开具</w:t>
      </w:r>
      <w:r>
        <w:rPr>
          <w:rFonts w:hint="eastAsia" w:ascii="宋体" w:hAnsi="宋体" w:eastAsia="宋体" w:cs="宋体"/>
          <w:color w:val="FF0000"/>
          <w:sz w:val="24"/>
          <w:lang w:val="en-US" w:eastAsia="zh-CN"/>
        </w:rPr>
        <w:t>与</w:t>
      </w:r>
      <w:r>
        <w:rPr>
          <w:rFonts w:hint="default" w:ascii="宋体" w:hAnsi="宋体" w:eastAsia="宋体" w:cs="宋体"/>
          <w:color w:val="FF0000"/>
          <w:sz w:val="24"/>
          <w:lang w:val="en-US" w:eastAsia="zh-CN"/>
        </w:rPr>
        <w:t>合同同等金额</w:t>
      </w:r>
      <w:r>
        <w:rPr>
          <w:rFonts w:hint="eastAsia" w:ascii="宋体" w:hAnsi="宋体" w:eastAsia="宋体" w:cs="宋体"/>
          <w:color w:val="FF0000"/>
          <w:sz w:val="24"/>
          <w:lang w:val="en-US" w:eastAsia="zh-CN"/>
        </w:rPr>
        <w:t>的</w:t>
      </w:r>
      <w:r>
        <w:rPr>
          <w:rFonts w:hint="default" w:ascii="宋体" w:hAnsi="宋体" w:eastAsia="宋体" w:cs="宋体"/>
          <w:color w:val="FF0000"/>
          <w:sz w:val="24"/>
          <w:lang w:val="en-US" w:eastAsia="zh-CN"/>
        </w:rPr>
        <w:t>发票</w:t>
      </w:r>
      <w:r>
        <w:rPr>
          <w:rFonts w:hint="eastAsia" w:ascii="宋体" w:hAnsi="宋体" w:eastAsia="宋体" w:cs="宋体"/>
          <w:sz w:val="24"/>
          <w:lang w:val="en-US" w:eastAsia="zh-CN"/>
        </w:rPr>
        <w:t>）</w:t>
      </w:r>
      <w:r>
        <w:rPr>
          <w:rFonts w:hint="default" w:ascii="宋体" w:hAnsi="宋体" w:eastAsia="宋体" w:cs="宋体"/>
          <w:sz w:val="24"/>
          <w:lang w:val="en-US" w:eastAsia="zh-CN"/>
        </w:rPr>
        <w:t>，甲方在收到发票后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7"/>
        <w:numPr>
          <w:ilvl w:val="0"/>
          <w:numId w:val="0"/>
        </w:num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免费质保期</w:t>
      </w:r>
      <w:r>
        <w:rPr>
          <w:rFonts w:hint="eastAsia" w:ascii="宋体" w:hAnsi="宋体"/>
          <w:b w:val="0"/>
          <w:bCs w:val="0"/>
          <w:color w:val="000000"/>
          <w:sz w:val="24"/>
          <w:szCs w:val="24"/>
          <w:lang w:val="en-US" w:eastAsia="zh-CN"/>
        </w:rPr>
        <w:t>≥2</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r>
        <w:rPr>
          <w:rFonts w:hint="eastAsia" w:ascii="宋体" w:hAnsi="宋体" w:eastAsia="宋体" w:cs="宋体"/>
          <w:i w:val="0"/>
          <w:iCs w:val="0"/>
          <w:color w:val="000000"/>
          <w:kern w:val="0"/>
          <w:sz w:val="24"/>
          <w:szCs w:val="24"/>
          <w:u w:val="none"/>
          <w:lang w:val="en-US" w:eastAsia="zh-CN" w:bidi="ar"/>
        </w:rPr>
        <w:t>提供生产厂商质保，中标后提供生产厂商质保证明原件。提供二年及以上完全免费的生产厂商售后服务：包括生产厂商800电话支持、所有部件（包括键盘鼠标显示器在内）的生产厂商备件、不晚于第二工作日生产厂商售后服务工程师上门，生产厂商VIP客户服务，生产厂商24×7专线服务，可做定制服务：硬盘分区、定制开机画面，资产标记和报告。所有设备用户名与客户单位名称对应并生产日期晚于招标日期，由工厂直接发货到用户指定地点</w:t>
      </w:r>
    </w:p>
    <w:p>
      <w:pPr>
        <w:spacing w:line="360" w:lineRule="auto"/>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b w:val="0"/>
          <w:bCs w:val="0"/>
          <w:color w:val="000000"/>
          <w:sz w:val="24"/>
          <w:szCs w:val="24"/>
          <w:lang w:val="en-US" w:eastAsia="zh-CN"/>
        </w:rPr>
        <w:t xml:space="preserve">(2) </w:t>
      </w:r>
      <w:r>
        <w:rPr>
          <w:rFonts w:hint="eastAsia" w:ascii="宋体" w:hAnsi="宋体" w:eastAsia="宋体" w:cs="宋体"/>
          <w:i w:val="0"/>
          <w:iCs w:val="0"/>
          <w:color w:val="000000"/>
          <w:kern w:val="0"/>
          <w:sz w:val="24"/>
          <w:szCs w:val="24"/>
          <w:u w:val="none"/>
          <w:lang w:val="en-US" w:eastAsia="zh-CN" w:bidi="ar"/>
        </w:rPr>
        <w:t>为了保障技术服务的及时性和质量，中标人自营技术服务团队，协调和补充售后服务。</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(3)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7"/>
        <w:numPr>
          <w:ilvl w:val="0"/>
          <w:numId w:val="0"/>
        </w:numPr>
        <w:spacing w:line="360" w:lineRule="auto"/>
        <w:ind w:leftChars="0" w:firstLine="482"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7"/>
        <w:numPr>
          <w:ilvl w:val="0"/>
          <w:numId w:val="3"/>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pStyle w:val="7"/>
        <w:numPr>
          <w:ilvl w:val="0"/>
          <w:numId w:val="0"/>
        </w:numPr>
        <w:spacing w:line="360" w:lineRule="auto"/>
        <w:ind w:leftChars="400"/>
        <w:rPr>
          <w:rFonts w:hint="eastAsia"/>
          <w:sz w:val="24"/>
          <w:szCs w:val="24"/>
          <w:lang w:val="en-US" w:eastAsia="zh-CN"/>
        </w:rPr>
      </w:pPr>
    </w:p>
    <w:p>
      <w:pPr>
        <w:pStyle w:val="7"/>
        <w:numPr>
          <w:ilvl w:val="0"/>
          <w:numId w:val="0"/>
        </w:numPr>
        <w:spacing w:line="360" w:lineRule="auto"/>
        <w:ind w:leftChars="400"/>
        <w:rPr>
          <w:rFonts w:hint="eastAsia"/>
          <w:sz w:val="24"/>
          <w:szCs w:val="24"/>
          <w:lang w:val="en-US" w:eastAsia="zh-CN"/>
        </w:rPr>
      </w:pPr>
    </w:p>
    <w:p>
      <w:pPr>
        <w:spacing w:line="360" w:lineRule="auto"/>
        <w:rPr>
          <w:rFonts w:hint="default"/>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15"/>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cstheme="minorEastAsia"/>
          <w:b/>
          <w:bCs/>
          <w:spacing w:val="-4"/>
          <w:sz w:val="24"/>
          <w:szCs w:val="24"/>
          <w:lang w:val="en-US" w:eastAsia="zh-CN"/>
        </w:rPr>
        <w:t>7</w:t>
      </w:r>
      <w:r>
        <w:rPr>
          <w:rFonts w:hint="eastAsia" w:asciiTheme="minorEastAsia" w:hAnsiTheme="minorEastAsia" w:eastAsia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tbl>
      <w:tblPr>
        <w:tblStyle w:val="13"/>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407"/>
        <w:gridCol w:w="6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1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40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696"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5"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407"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6696"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bCs/>
                <w:sz w:val="24"/>
                <w:szCs w:val="24"/>
              </w:rPr>
              <w:t>采购要求响应：针对《</w:t>
            </w:r>
            <w:r>
              <w:rPr>
                <w:rFonts w:hint="eastAsia" w:ascii="宋体" w:hAnsi="宋体" w:eastAsia="宋体" w:cs="宋体"/>
                <w:bCs/>
                <w:sz w:val="24"/>
                <w:szCs w:val="24"/>
                <w:lang w:val="en-US" w:eastAsia="zh-CN"/>
              </w:rPr>
              <w:t>二、</w:t>
            </w:r>
            <w:r>
              <w:rPr>
                <w:rFonts w:hint="eastAsia" w:ascii="宋体" w:hAnsi="宋体" w:eastAsia="宋体" w:cs="宋体"/>
                <w:b/>
                <w:bCs/>
                <w:sz w:val="24"/>
                <w:szCs w:val="24"/>
                <w:lang w:val="en-US" w:eastAsia="zh-CN"/>
              </w:rPr>
              <w:t>项目内容及要求</w:t>
            </w:r>
            <w:r>
              <w:rPr>
                <w:rFonts w:hint="eastAsia" w:ascii="宋体" w:hAnsi="宋体" w:eastAsia="宋体" w:cs="宋体"/>
                <w:b/>
                <w:bCs/>
                <w:sz w:val="24"/>
                <w:szCs w:val="24"/>
              </w:rPr>
              <w:t>：</w:t>
            </w:r>
            <w:r>
              <w:rPr>
                <w:rFonts w:hint="eastAsia" w:ascii="宋体" w:hAnsi="宋体" w:eastAsia="宋体" w:cs="宋体"/>
                <w:bCs/>
                <w:sz w:val="24"/>
                <w:szCs w:val="24"/>
              </w:rPr>
              <w:t>》中“</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sz w:val="24"/>
                <w:szCs w:val="24"/>
                <w:lang w:val="en-US" w:eastAsia="zh-CN"/>
              </w:rPr>
              <w:t>采购</w:t>
            </w:r>
            <w:r>
              <w:rPr>
                <w:rFonts w:hint="eastAsia" w:ascii="宋体" w:hAnsi="宋体" w:eastAsia="宋体" w:cs="宋体"/>
                <w:bCs/>
                <w:sz w:val="24"/>
                <w:szCs w:val="24"/>
              </w:rPr>
              <w:t>要求”的响应情况，对应于招标文件采购要求的符合度，标注★的采购要求为实质性要求，负偏离将视为无效标；未标注★的采购要求负偏离的按标注的评分分值扣分，扣完为止。没有按照招标要求提供佐证材料的视为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0"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实施方案</w:t>
            </w:r>
          </w:p>
        </w:tc>
        <w:tc>
          <w:tcPr>
            <w:tcW w:w="1407"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696" w:type="dxa"/>
            <w:noWrap w:val="0"/>
            <w:vAlign w:val="center"/>
          </w:tcPr>
          <w:p>
            <w:pPr>
              <w:ind w:left="105" w:leftChars="50" w:right="10" w:rightChars="5"/>
              <w:rPr>
                <w:rFonts w:hint="default" w:ascii="宋体" w:hAnsi="宋体" w:cs="宋体" w:eastAsiaTheme="minorEastAsia"/>
                <w:sz w:val="24"/>
                <w:szCs w:val="24"/>
                <w:lang w:val="en-US" w:eastAsia="zh-CN"/>
              </w:rPr>
            </w:pPr>
            <w:r>
              <w:rPr>
                <w:rFonts w:hint="eastAsia"/>
                <w:bCs/>
                <w:sz w:val="24"/>
              </w:rPr>
              <w:t>根据投标人提供的项目实施方案进行评价。根据本项目的建设目标与建设内容，提出实施方案，包括实施组织、人员情况、进度安排、项目管理、运行维护计划以及风险预案等，能够充分考虑项目不同阶段的需求和特点，整体实施策略科学、合理、可行并具有弹性</w:t>
            </w:r>
            <w:r>
              <w:rPr>
                <w:rFonts w:hint="eastAsia"/>
                <w:bCs/>
                <w:sz w:val="24"/>
                <w:lang w:eastAsia="zh-CN"/>
              </w:rPr>
              <w:t>（</w:t>
            </w:r>
            <w:r>
              <w:rPr>
                <w:rFonts w:hint="eastAsia"/>
                <w:bCs/>
                <w:sz w:val="24"/>
                <w:lang w:val="en-US" w:eastAsia="zh-CN"/>
              </w:rPr>
              <w:t>0-11分）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4"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407"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696"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6"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投标产品总体质量性能</w:t>
            </w:r>
          </w:p>
        </w:tc>
        <w:tc>
          <w:tcPr>
            <w:tcW w:w="1407"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696"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投标产品的使用情况、稳定性、故障率等总体质量性能综合评价。</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A档：8-11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B档：4-7分；C档：0-3分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407"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696"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16"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407"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696"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sz w:val="24"/>
                <w:szCs w:val="24"/>
              </w:rPr>
              <w:t>对本项目提供的售后服务方案进行详细描述，至少包含售后服务网点情况、售后服务承诺、响应时间及响应程度、保障措施</w:t>
            </w:r>
            <w:r>
              <w:rPr>
                <w:rFonts w:hint="eastAsia" w:ascii="宋体" w:hAnsi="宋体"/>
                <w:sz w:val="24"/>
                <w:szCs w:val="24"/>
                <w:lang w:eastAsia="zh-CN"/>
              </w:rPr>
              <w:t>、</w:t>
            </w:r>
            <w:r>
              <w:rPr>
                <w:rFonts w:hint="eastAsia" w:ascii="宋体" w:hAnsi="宋体"/>
                <w:sz w:val="24"/>
                <w:szCs w:val="24"/>
                <w:lang w:val="en-US" w:eastAsia="zh-CN"/>
              </w:rPr>
              <w:t>维修能力</w:t>
            </w:r>
            <w:r>
              <w:rPr>
                <w:rFonts w:hint="eastAsia" w:ascii="宋体" w:hAnsi="宋体"/>
                <w:sz w:val="24"/>
                <w:szCs w:val="24"/>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7" w:hRule="atLeast"/>
          <w:jc w:val="center"/>
        </w:trPr>
        <w:tc>
          <w:tcPr>
            <w:tcW w:w="1494"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5175" w:type="dxa"/>
            <w:noWrap w:val="0"/>
            <w:vAlign w:val="center"/>
          </w:tcPr>
          <w:p>
            <w:pPr>
              <w:rPr>
                <w:rFonts w:hint="eastAsia" w:ascii="宋体" w:hAnsi="宋体" w:eastAsia="宋体" w:cs="宋体"/>
                <w:sz w:val="24"/>
                <w:szCs w:val="24"/>
              </w:rPr>
            </w:pPr>
            <w:r>
              <w:rPr>
                <w:sz w:val="24"/>
              </w:rPr>
              <w:t>环境标志产品</w:t>
            </w:r>
          </w:p>
        </w:tc>
        <w:tc>
          <w:tcPr>
            <w:tcW w:w="1407"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6696" w:type="dxa"/>
            <w:noWrap w:val="0"/>
            <w:vAlign w:val="center"/>
          </w:tcPr>
          <w:p>
            <w:pPr>
              <w:ind w:left="105" w:leftChars="50" w:right="10" w:rightChars="5"/>
              <w:rPr>
                <w:rFonts w:hint="eastAsia" w:ascii="宋体" w:hAnsi="宋体"/>
                <w:sz w:val="24"/>
                <w:szCs w:val="24"/>
              </w:rPr>
            </w:pPr>
            <w:r>
              <w:rPr>
                <w:bCs/>
                <w:sz w:val="24"/>
              </w:rPr>
              <w:t>投标产品列入财政部、生态环境部发布的环境标志产品品目清单的，提供国家市场监督管理总局公布的《参与实施政府采购环境标志产品认证机构名录》内的认证机构出具的、处于有效期之内的环境标志产品认证证书，全部列入并提供有效证书的得</w:t>
            </w:r>
            <w:r>
              <w:rPr>
                <w:rFonts w:hint="eastAsia"/>
                <w:bCs/>
                <w:sz w:val="24"/>
                <w:lang w:val="en-US" w:eastAsia="zh-CN"/>
              </w:rPr>
              <w:t>2</w:t>
            </w:r>
            <w:r>
              <w:rPr>
                <w:bCs/>
                <w:sz w:val="24"/>
              </w:rPr>
              <w:t>分，部分列入并提供有效证书的得</w:t>
            </w:r>
            <w:r>
              <w:rPr>
                <w:rFonts w:hint="eastAsia"/>
                <w:bCs/>
                <w:sz w:val="24"/>
                <w:lang w:val="en-US" w:eastAsia="zh-CN"/>
              </w:rPr>
              <w:t>1</w:t>
            </w:r>
            <w:r>
              <w:rPr>
                <w:bCs/>
                <w:sz w:val="24"/>
              </w:rPr>
              <w:t>分，全部未列入或未能提供有效证书的得0分。</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cstheme="minorEastAsia"/>
          <w:b/>
          <w:bCs/>
          <w:spacing w:val="-4"/>
          <w:sz w:val="24"/>
          <w:szCs w:val="24"/>
          <w:lang w:val="en-US" w:eastAsia="zh-CN"/>
        </w:rPr>
        <w:t>3</w:t>
      </w:r>
      <w:r>
        <w:rPr>
          <w:rFonts w:hint="eastAsia" w:asciiTheme="minorEastAsia" w:hAnsiTheme="minorEastAsia" w:eastAsia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eastAsia="宋体" w:cs="宋体"/>
          <w:sz w:val="24"/>
          <w:szCs w:val="24"/>
          <w:lang w:val="en-US" w:eastAsia="zh-CN"/>
        </w:rPr>
        <w:t>30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eastAsia="宋体" w:cs="宋体"/>
          <w:sz w:val="24"/>
          <w:szCs w:val="24"/>
          <w:lang w:val="en-US" w:eastAsia="zh-CN"/>
        </w:rPr>
        <w:t>30</w:t>
      </w:r>
      <w:r>
        <w:rPr>
          <w:rFonts w:hint="eastAsia" w:ascii="宋体" w:hAnsi="宋体" w:eastAsia="宋体" w:cs="宋体"/>
          <w:sz w:val="24"/>
          <w:szCs w:val="24"/>
        </w:rPr>
        <w:t>%×100</w:t>
      </w:r>
    </w:p>
    <w:p>
      <w:pPr>
        <w:pStyle w:val="3"/>
        <w:jc w:val="center"/>
        <w:rPr>
          <w:rFonts w:hint="eastAsia" w:ascii="新宋体" w:hAnsi="新宋体" w:eastAsia="新宋体" w:cs="新宋体"/>
          <w:b w:val="0"/>
          <w:bCs/>
          <w:color w:val="auto"/>
          <w:sz w:val="22"/>
          <w:highlight w:val="none"/>
        </w:rPr>
      </w:pPr>
    </w:p>
    <w:p>
      <w:pPr>
        <w:pStyle w:val="3"/>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笔记本电脑</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8"/>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8"/>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8"/>
              <w:spacing w:line="460" w:lineRule="atLeast"/>
              <w:jc w:val="center"/>
              <w:rPr>
                <w:rFonts w:hint="eastAsia" w:hAnsi="宋体" w:eastAsia="宋体"/>
                <w:sz w:val="24"/>
                <w:szCs w:val="24"/>
                <w:lang w:eastAsia="zh-CN"/>
              </w:rPr>
            </w:pPr>
            <w:r>
              <w:rPr>
                <w:rFonts w:hint="eastAsia" w:hAnsi="宋体"/>
                <w:sz w:val="24"/>
                <w:szCs w:val="24"/>
                <w:lang w:val="en-US" w:eastAsia="zh-CN"/>
              </w:rPr>
              <w:t>质保期（≥2年）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温州市中医笔记本</w:t>
            </w:r>
            <w:r>
              <w:rPr>
                <w:rFonts w:hint="eastAsia" w:ascii="宋体" w:hAnsi="宋体" w:cs="宋体"/>
                <w:b w:val="0"/>
                <w:bCs w:val="0"/>
                <w:sz w:val="24"/>
                <w:u w:val="none"/>
                <w:lang w:val="en-US" w:eastAsia="zh-CN"/>
              </w:rPr>
              <w:t>电脑</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eastAsia="宋体"/>
                <w:sz w:val="24"/>
                <w:szCs w:val="24"/>
                <w:lang w:val="en-US" w:eastAsia="zh-CN"/>
              </w:rPr>
            </w:pPr>
            <w:r>
              <w:rPr>
                <w:rFonts w:hint="eastAsia"/>
                <w:sz w:val="24"/>
                <w:szCs w:val="24"/>
                <w:lang w:val="en-US" w:eastAsia="zh-CN"/>
              </w:rPr>
              <w:t>11台</w:t>
            </w:r>
          </w:p>
        </w:tc>
        <w:tc>
          <w:tcPr>
            <w:tcW w:w="3948" w:type="dxa"/>
            <w:noWrap w:val="0"/>
            <w:vAlign w:val="center"/>
          </w:tcPr>
          <w:p>
            <w:pPr>
              <w:pStyle w:val="8"/>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8"/>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8"/>
              <w:spacing w:line="460" w:lineRule="atLeast"/>
              <w:ind w:firstLine="469"/>
              <w:rPr>
                <w:rFonts w:hint="eastAsia" w:hAnsi="宋体"/>
                <w:sz w:val="24"/>
                <w:szCs w:val="24"/>
              </w:rPr>
            </w:pPr>
          </w:p>
        </w:tc>
        <w:tc>
          <w:tcPr>
            <w:tcW w:w="10113" w:type="dxa"/>
            <w:gridSpan w:val="3"/>
            <w:noWrap w:val="0"/>
            <w:vAlign w:val="center"/>
          </w:tcPr>
          <w:p>
            <w:pPr>
              <w:pStyle w:val="8"/>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12"/>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笔记本电脑</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3"/>
        <w:tblW w:w="145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890"/>
        <w:gridCol w:w="2085"/>
        <w:gridCol w:w="2220"/>
        <w:gridCol w:w="1905"/>
        <w:gridCol w:w="1665"/>
        <w:gridCol w:w="216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83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7"/>
        <w:ind w:left="0" w:leftChars="0" w:firstLine="0" w:firstLineChars="0"/>
      </w:pPr>
    </w:p>
    <w:p>
      <w:pPr>
        <w:pStyle w:val="7"/>
        <w:numPr>
          <w:ilvl w:val="0"/>
          <w:numId w:val="0"/>
        </w:numPr>
        <w:spacing w:line="360" w:lineRule="auto"/>
        <w:ind w:firstLine="480" w:firstLineChars="200"/>
        <w:rPr>
          <w:rFonts w:hint="default"/>
          <w:sz w:val="24"/>
          <w:szCs w:val="24"/>
          <w:lang w:val="en-US" w:eastAsia="zh-CN"/>
        </w:rPr>
      </w:pPr>
    </w:p>
    <w:sectPr>
      <w:pgSz w:w="16838" w:h="11906" w:orient="landscape"/>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fldChar w:fldCharType="begin"/>
    </w:r>
    <w:r>
      <w:rPr>
        <w:rStyle w:val="16"/>
      </w:rPr>
      <w:instrText xml:space="preserve"> PAGE </w:instrText>
    </w:r>
    <w:r>
      <w:fldChar w:fldCharType="separate"/>
    </w:r>
    <w:r>
      <w:rPr>
        <w:rStyle w:val="16"/>
      </w:rPr>
      <w:t>- 1 -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EE202FD"/>
    <w:multiLevelType w:val="singleLevel"/>
    <w:tmpl w:val="7EE202F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1E762E7"/>
    <w:rsid w:val="03447E8E"/>
    <w:rsid w:val="04684506"/>
    <w:rsid w:val="06043E9E"/>
    <w:rsid w:val="06E15E3C"/>
    <w:rsid w:val="0C300A04"/>
    <w:rsid w:val="10C71F5A"/>
    <w:rsid w:val="192A3988"/>
    <w:rsid w:val="1D3C515C"/>
    <w:rsid w:val="22285365"/>
    <w:rsid w:val="226E2973"/>
    <w:rsid w:val="229D2E28"/>
    <w:rsid w:val="291122AA"/>
    <w:rsid w:val="2B6947FB"/>
    <w:rsid w:val="2B8B6847"/>
    <w:rsid w:val="2C6763C9"/>
    <w:rsid w:val="2C77430D"/>
    <w:rsid w:val="2EBF307B"/>
    <w:rsid w:val="321B0A6F"/>
    <w:rsid w:val="3252214B"/>
    <w:rsid w:val="32E53E60"/>
    <w:rsid w:val="36942C63"/>
    <w:rsid w:val="37B235FD"/>
    <w:rsid w:val="397A2D47"/>
    <w:rsid w:val="3B0B6220"/>
    <w:rsid w:val="462A298B"/>
    <w:rsid w:val="47FD3F63"/>
    <w:rsid w:val="48C84ABD"/>
    <w:rsid w:val="48F2201E"/>
    <w:rsid w:val="4C215AB1"/>
    <w:rsid w:val="4FD147A1"/>
    <w:rsid w:val="502926AC"/>
    <w:rsid w:val="522E2CD6"/>
    <w:rsid w:val="536C61AC"/>
    <w:rsid w:val="586D09FC"/>
    <w:rsid w:val="59401D98"/>
    <w:rsid w:val="5A0F768E"/>
    <w:rsid w:val="5A3C73F0"/>
    <w:rsid w:val="62BD2580"/>
    <w:rsid w:val="63A66B70"/>
    <w:rsid w:val="66C01A18"/>
    <w:rsid w:val="6EAD47D5"/>
    <w:rsid w:val="747B3DF6"/>
    <w:rsid w:val="75956E1A"/>
    <w:rsid w:val="75CE1AEC"/>
    <w:rsid w:val="7C0E1C8F"/>
    <w:rsid w:val="7C812208"/>
    <w:rsid w:val="7CB726B6"/>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spacing w:line="312" w:lineRule="atLeast"/>
      <w:ind w:firstLine="420"/>
      <w:textAlignment w:val="baseline"/>
    </w:pPr>
    <w:rPr>
      <w:rFonts w:ascii="仿宋_GB2312"/>
      <w:b/>
      <w:kern w:val="0"/>
      <w:szCs w:val="32"/>
    </w:rPr>
  </w:style>
  <w:style w:type="paragraph" w:styleId="5">
    <w:name w:val="Body Text"/>
    <w:basedOn w:val="1"/>
    <w:next w:val="1"/>
    <w:autoRedefine/>
    <w:qFormat/>
    <w:uiPriority w:val="0"/>
    <w:pPr>
      <w:spacing w:after="120" w:afterLines="0"/>
    </w:pPr>
  </w:style>
  <w:style w:type="paragraph" w:styleId="6">
    <w:name w:val="Body Text Indent"/>
    <w:basedOn w:val="1"/>
    <w:next w:val="7"/>
    <w:autoRedefine/>
    <w:qFormat/>
    <w:uiPriority w:val="0"/>
    <w:pPr>
      <w:ind w:firstLine="555"/>
    </w:pPr>
  </w:style>
  <w:style w:type="paragraph" w:styleId="7">
    <w:name w:val="Body Text First Indent 2"/>
    <w:basedOn w:val="6"/>
    <w:autoRedefine/>
    <w:unhideWhenUsed/>
    <w:qFormat/>
    <w:uiPriority w:val="99"/>
    <w:pPr>
      <w:ind w:firstLine="420" w:firstLineChars="200"/>
    </w:pPr>
  </w:style>
  <w:style w:type="paragraph" w:styleId="8">
    <w:name w:val="Plain Text"/>
    <w:basedOn w:val="1"/>
    <w:autoRedefine/>
    <w:qFormat/>
    <w:uiPriority w:val="0"/>
    <w:pPr>
      <w:spacing w:beforeLines="50" w:afterLines="50" w:line="400" w:lineRule="exact"/>
    </w:pPr>
    <w:rPr>
      <w:rFonts w:ascii="宋体" w:hAnsi="Courier New"/>
      <w:sz w:val="24"/>
    </w:rPr>
  </w:style>
  <w:style w:type="paragraph" w:styleId="9">
    <w:name w:val="Balloon Text"/>
    <w:basedOn w:val="1"/>
    <w:link w:val="18"/>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autoRedefine/>
    <w:qFormat/>
    <w:uiPriority w:val="0"/>
    <w:pPr>
      <w:ind w:firstLine="420" w:firstLineChars="100"/>
    </w:pPr>
    <w:rPr>
      <w:b/>
      <w:bCs/>
      <w:szCs w:val="24"/>
    </w:rPr>
  </w:style>
  <w:style w:type="character" w:styleId="15">
    <w:name w:val="Strong"/>
    <w:basedOn w:val="14"/>
    <w:autoRedefine/>
    <w:qFormat/>
    <w:uiPriority w:val="22"/>
    <w:rPr>
      <w:b/>
    </w:rPr>
  </w:style>
  <w:style w:type="character" w:styleId="16">
    <w:name w:val="page number"/>
    <w:autoRedefine/>
    <w:qFormat/>
    <w:uiPriority w:val="0"/>
  </w:style>
  <w:style w:type="character" w:styleId="17">
    <w:name w:val="Hyperlink"/>
    <w:basedOn w:val="14"/>
    <w:autoRedefine/>
    <w:qFormat/>
    <w:uiPriority w:val="0"/>
    <w:rPr>
      <w:color w:val="0000FF"/>
      <w:u w:val="single"/>
    </w:rPr>
  </w:style>
  <w:style w:type="character" w:customStyle="1" w:styleId="18">
    <w:name w:val="批注框文本 Char"/>
    <w:basedOn w:val="14"/>
    <w:link w:val="9"/>
    <w:autoRedefine/>
    <w:qFormat/>
    <w:uiPriority w:val="0"/>
    <w:rPr>
      <w:rFonts w:asciiTheme="minorHAnsi" w:hAnsiTheme="minorHAnsi" w:eastAsiaTheme="minorEastAsia" w:cstheme="minorBidi"/>
      <w:kern w:val="2"/>
      <w:sz w:val="18"/>
      <w:szCs w:val="18"/>
    </w:rPr>
  </w:style>
  <w:style w:type="character" w:customStyle="1" w:styleId="19">
    <w:name w:val="font31"/>
    <w:basedOn w:val="14"/>
    <w:autoRedefine/>
    <w:qFormat/>
    <w:uiPriority w:val="0"/>
    <w:rPr>
      <w:rFonts w:hint="eastAsia" w:ascii="宋体" w:hAnsi="宋体" w:eastAsia="宋体" w:cs="宋体"/>
      <w:color w:val="000000"/>
      <w:sz w:val="22"/>
      <w:szCs w:val="22"/>
      <w:u w:val="none"/>
    </w:rPr>
  </w:style>
  <w:style w:type="character" w:customStyle="1" w:styleId="20">
    <w:name w:val="font01"/>
    <w:basedOn w:val="14"/>
    <w:autoRedefine/>
    <w:qFormat/>
    <w:uiPriority w:val="0"/>
    <w:rPr>
      <w:rFonts w:hint="eastAsia" w:ascii="宋体" w:hAnsi="宋体" w:eastAsia="宋体" w:cs="宋体"/>
      <w:color w:val="000000"/>
      <w:sz w:val="22"/>
      <w:szCs w:val="22"/>
      <w:u w:val="none"/>
    </w:rPr>
  </w:style>
  <w:style w:type="character" w:customStyle="1" w:styleId="21">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2620</Words>
  <Characters>2797</Characters>
  <Lines>1</Lines>
  <Paragraphs>1</Paragraphs>
  <TotalTime>177</TotalTime>
  <ScaleCrop>false</ScaleCrop>
  <LinksUpToDate>false</LinksUpToDate>
  <CharactersWithSpaces>2857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2025-07-23T01:37:59Z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0DCF562098774543BC7C1908BB17A16F_13</vt:lpwstr>
  </property>
</Properties>
</file>