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内容及要求（重）</w:t>
      </w: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bookmarkStart w:id="0" w:name="OLE_LINK1"/>
      <w:r>
        <w:rPr>
          <w:rFonts w:hint="eastAsia" w:ascii="宋体" w:hAnsi="宋体" w:eastAsia="宋体" w:cs="宋体"/>
          <w:b/>
          <w:bCs/>
          <w:sz w:val="24"/>
          <w:u w:val="none"/>
          <w:lang w:val="en-US" w:eastAsia="zh-CN"/>
        </w:rPr>
        <w:t>液体包装机</w:t>
      </w:r>
      <w:bookmarkEnd w:id="0"/>
      <w:r>
        <w:rPr>
          <w:rFonts w:hint="eastAsia" w:ascii="宋体" w:hAnsi="宋体" w:eastAsia="宋体" w:cs="宋体"/>
          <w:b/>
          <w:bCs/>
          <w:sz w:val="24"/>
          <w:u w:val="none"/>
          <w:lang w:val="en-US" w:eastAsia="zh-CN"/>
        </w:rPr>
        <w:t>采购（重）</w:t>
      </w:r>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6500元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p>
    <w:tbl>
      <w:tblPr>
        <w:tblStyle w:val="9"/>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521"/>
        <w:gridCol w:w="1033"/>
        <w:gridCol w:w="952"/>
        <w:gridCol w:w="7693"/>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295" w:type="pct"/>
            <w:shd w:val="clear" w:color="auto" w:fill="auto"/>
            <w:vAlign w:val="center"/>
          </w:tcPr>
          <w:p>
            <w:pPr>
              <w:widowControl/>
              <w:spacing w:line="440" w:lineRule="exact"/>
              <w:jc w:val="center"/>
              <w:rPr>
                <w:rFonts w:ascii="宋体" w:hAnsi="宋体" w:eastAsia="宋体" w:cs="宋体"/>
                <w:b/>
                <w:bCs/>
                <w:sz w:val="24"/>
              </w:rPr>
            </w:pPr>
            <w:r>
              <w:rPr>
                <w:rFonts w:hint="eastAsia" w:ascii="宋体" w:hAnsi="宋体" w:cs="宋体"/>
                <w:b/>
                <w:bCs/>
                <w:sz w:val="24"/>
              </w:rPr>
              <w:t>序</w:t>
            </w:r>
            <w:r>
              <w:rPr>
                <w:rFonts w:hint="eastAsia" w:ascii="宋体" w:hAnsi="宋体" w:eastAsia="宋体" w:cs="宋体"/>
                <w:b/>
                <w:bCs/>
                <w:sz w:val="24"/>
              </w:rPr>
              <w:t>号</w:t>
            </w:r>
          </w:p>
        </w:tc>
        <w:tc>
          <w:tcPr>
            <w:tcW w:w="511"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347"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320"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2585"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参数要求</w:t>
            </w:r>
          </w:p>
        </w:tc>
        <w:tc>
          <w:tcPr>
            <w:tcW w:w="940"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7" w:hRule="atLeast"/>
          <w:tblHeader/>
        </w:trPr>
        <w:tc>
          <w:tcPr>
            <w:tcW w:w="295"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11"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液体包装机</w:t>
            </w:r>
          </w:p>
        </w:tc>
        <w:tc>
          <w:tcPr>
            <w:tcW w:w="34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320"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2585" w:type="pct"/>
            <w:shd w:val="clear" w:color="auto" w:fill="auto"/>
            <w:vAlign w:val="center"/>
          </w:tcPr>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容量≥20000ML</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功率</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800W+800W</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电压：AC220V</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尺寸：570×570×1200（mm）</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5）包装方式：</w:t>
            </w:r>
            <w:r>
              <w:rPr>
                <w:rFonts w:hint="eastAsia" w:ascii="宋体" w:hAnsi="宋体" w:eastAsia="宋体" w:cs="宋体"/>
                <w:sz w:val="21"/>
                <w:szCs w:val="21"/>
              </w:rPr>
              <w:t>自动包装。</w:t>
            </w:r>
            <w:bookmarkStart w:id="1" w:name="_GoBack"/>
            <w:bookmarkEnd w:id="1"/>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包装温度、包装量自动显示。</w:t>
            </w:r>
          </w:p>
          <w:p>
            <w:pPr>
              <w:spacing w:line="500" w:lineRule="exact"/>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★具备联网通讯功能。可实现煎药单数据传输等通讯协议，并支持包数、包装量通讯协议的自动设置；</w:t>
            </w:r>
          </w:p>
          <w:p>
            <w:pPr>
              <w:numPr>
                <w:ilvl w:val="0"/>
                <w:numId w:val="0"/>
              </w:numPr>
              <w:spacing w:line="500" w:lineRule="exact"/>
              <w:ind w:left="480" w:leftChars="0" w:hanging="480" w:firstLineChars="0"/>
              <w:jc w:val="left"/>
              <w:rPr>
                <w:rFonts w:hint="eastAsia" w:ascii="宋体" w:hAnsi="宋体" w:eastAsia="宋体" w:cs="宋体"/>
                <w:kern w:val="0"/>
                <w:sz w:val="21"/>
                <w:szCs w:val="21"/>
              </w:rPr>
            </w:pPr>
            <w:r>
              <w:rPr>
                <w:rFonts w:hint="eastAsia" w:ascii="宋体" w:hAnsi="宋体"/>
                <w:kern w:val="0"/>
                <w:sz w:val="21"/>
                <w:szCs w:val="21"/>
                <w:lang w:val="en-US" w:eastAsia="zh-CN"/>
              </w:rPr>
              <w:t>8）</w:t>
            </w:r>
            <w:r>
              <w:rPr>
                <w:rFonts w:hint="eastAsia" w:ascii="宋体" w:hAnsi="宋体"/>
                <w:kern w:val="0"/>
                <w:sz w:val="21"/>
                <w:szCs w:val="21"/>
              </w:rPr>
              <w:t>★</w:t>
            </w:r>
            <w:r>
              <w:rPr>
                <w:rFonts w:hint="eastAsia" w:ascii="宋体" w:hAnsi="宋体"/>
                <w:sz w:val="21"/>
                <w:szCs w:val="21"/>
              </w:rPr>
              <w:t>质量安全可靠，符合行业发展趋势，列入国家中医局首批中医诊疗设备推广目；</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封合温度数字化控制，可以设定自动恒定。</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包装量为50-250ML无极变量可调包装。</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适用于老人、儿童、成年人等不同用量。</w:t>
            </w:r>
          </w:p>
          <w:p>
            <w:pPr>
              <w:numPr>
                <w:ilvl w:val="0"/>
                <w:numId w:val="0"/>
              </w:numPr>
              <w:spacing w:line="500" w:lineRule="exact"/>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包装平均速度8袋/分。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lang w:eastAsia="zh-CN"/>
              </w:rPr>
            </w:pPr>
          </w:p>
        </w:tc>
        <w:tc>
          <w:tcPr>
            <w:tcW w:w="94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drawing>
                <wp:inline distT="0" distB="0" distL="114300" distR="114300">
                  <wp:extent cx="1638300" cy="3114675"/>
                  <wp:effectExtent l="0" t="0" r="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1638300" cy="3114675"/>
                          </a:xfrm>
                          <a:prstGeom prst="rect">
                            <a:avLst/>
                          </a:prstGeom>
                          <a:noFill/>
                          <a:ln>
                            <a:noFill/>
                          </a:ln>
                        </pic:spPr>
                      </pic:pic>
                    </a:graphicData>
                  </a:graphic>
                </wp:inline>
              </w:drawing>
            </w:r>
          </w:p>
        </w:tc>
      </w:tr>
    </w:tbl>
    <w:p>
      <w:pPr>
        <w:pStyle w:val="8"/>
        <w:ind w:firstLine="0" w:firstLineChars="0"/>
        <w:rPr>
          <w:rFonts w:hint="default" w:ascii="宋体" w:hAnsi="宋体" w:eastAsia="宋体" w:cs="宋体"/>
          <w:sz w:val="24"/>
          <w:lang w:val="en-US" w:eastAsia="zh-CN"/>
        </w:rPr>
      </w:pPr>
    </w:p>
    <w:p>
      <w:pPr>
        <w:pStyle w:val="8"/>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ascii="宋体" w:hAnsi="宋体" w:eastAsia="宋体" w:cs="宋体"/>
          <w:sz w:val="24"/>
          <w:lang w:val="en-US" w:eastAsia="zh-CN"/>
        </w:rPr>
        <w:t>3个月</w:t>
      </w:r>
      <w:r>
        <w:rPr>
          <w:rFonts w:hint="default" w:ascii="宋体" w:hAnsi="宋体" w:eastAsia="宋体" w:cs="宋体"/>
          <w:sz w:val="24"/>
          <w:lang w:val="en-US" w:eastAsia="zh-CN"/>
        </w:rPr>
        <w:t>内向乙方支付全部合同价款。</w:t>
      </w:r>
    </w:p>
    <w:p>
      <w:pPr>
        <w:pStyle w:val="8"/>
        <w:numPr>
          <w:ilvl w:val="0"/>
          <w:numId w:val="1"/>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8"/>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p>
      <w:pPr>
        <w:pStyle w:val="8"/>
        <w:numPr>
          <w:ilvl w:val="0"/>
          <w:numId w:val="0"/>
        </w:numPr>
        <w:spacing w:line="360" w:lineRule="auto"/>
        <w:rPr>
          <w:rFonts w:hint="eastAsia"/>
          <w:b/>
          <w:bCs/>
          <w:sz w:val="24"/>
          <w:szCs w:val="24"/>
          <w:lang w:val="en-US" w:eastAsia="zh-CN"/>
        </w:rPr>
      </w:pPr>
      <w:r>
        <w:rPr>
          <w:rFonts w:hint="eastAsia"/>
          <w:b/>
          <w:bCs/>
          <w:sz w:val="24"/>
          <w:szCs w:val="24"/>
          <w:lang w:val="en-US" w:eastAsia="zh-CN"/>
        </w:rPr>
        <w:t>九、其他</w:t>
      </w:r>
    </w:p>
    <w:p>
      <w:pPr>
        <w:pStyle w:val="8"/>
        <w:numPr>
          <w:ilvl w:val="0"/>
          <w:numId w:val="0"/>
        </w:numPr>
        <w:spacing w:line="360" w:lineRule="auto"/>
        <w:ind w:firstLine="480" w:firstLineChars="200"/>
        <w:rPr>
          <w:rFonts w:hint="default"/>
          <w:b w:val="0"/>
          <w:bCs w:val="0"/>
          <w:sz w:val="24"/>
          <w:szCs w:val="24"/>
          <w:u w:val="single"/>
          <w:lang w:val="en-US" w:eastAsia="zh-CN"/>
        </w:rPr>
      </w:pPr>
      <w:r>
        <w:rPr>
          <w:rFonts w:hint="eastAsia"/>
          <w:b w:val="0"/>
          <w:bCs w:val="0"/>
          <w:sz w:val="24"/>
          <w:szCs w:val="24"/>
          <w:lang w:val="en-US" w:eastAsia="zh-CN"/>
        </w:rPr>
        <w:t>1、合同签订后乙方须在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十二</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8"/>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680" w:right="1304" w:bottom="68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4684506"/>
    <w:rsid w:val="05255951"/>
    <w:rsid w:val="10C71F5A"/>
    <w:rsid w:val="12900868"/>
    <w:rsid w:val="1D3C515C"/>
    <w:rsid w:val="209B4FA7"/>
    <w:rsid w:val="21DA0877"/>
    <w:rsid w:val="252217F3"/>
    <w:rsid w:val="2AC41535"/>
    <w:rsid w:val="2EBF307B"/>
    <w:rsid w:val="321150C9"/>
    <w:rsid w:val="3AB111F7"/>
    <w:rsid w:val="3DD35929"/>
    <w:rsid w:val="3EC97C4B"/>
    <w:rsid w:val="41192A66"/>
    <w:rsid w:val="42342C2B"/>
    <w:rsid w:val="48C84ABD"/>
    <w:rsid w:val="557B2903"/>
    <w:rsid w:val="5A0F768E"/>
    <w:rsid w:val="5A8E1021"/>
    <w:rsid w:val="68AC65E3"/>
    <w:rsid w:val="6EAD47D5"/>
    <w:rsid w:val="71C32FE3"/>
    <w:rsid w:val="747B3DF6"/>
    <w:rsid w:val="75C15A8B"/>
    <w:rsid w:val="765A5288"/>
    <w:rsid w:val="7AEC351C"/>
    <w:rsid w:val="7B66201D"/>
    <w:rsid w:val="7F8E4C30"/>
    <w:rsid w:val="7FE1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Body Text Indent"/>
    <w:basedOn w:val="1"/>
    <w:autoRedefine/>
    <w:qFormat/>
    <w:uiPriority w:val="0"/>
    <w:pPr>
      <w:ind w:firstLine="555"/>
    </w:p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autoRedefine/>
    <w:qFormat/>
    <w:uiPriority w:val="0"/>
    <w:pPr>
      <w:ind w:firstLine="420" w:firstLineChars="100"/>
    </w:pPr>
  </w:style>
  <w:style w:type="paragraph" w:styleId="8">
    <w:name w:val="Body Text First Indent 2"/>
    <w:basedOn w:val="3"/>
    <w:autoRedefine/>
    <w:unhideWhenUsed/>
    <w:qFormat/>
    <w:uiPriority w:val="99"/>
    <w:pPr>
      <w:ind w:firstLine="420" w:firstLineChars="200"/>
    </w:pPr>
  </w:style>
  <w:style w:type="character" w:customStyle="1" w:styleId="11">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2247</Words>
  <Characters>2324</Characters>
  <Lines>1</Lines>
  <Paragraphs>1</Paragraphs>
  <TotalTime>4</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2025-07-03T01:56:16Z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