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spacing w:line="360" w:lineRule="auto"/>
        <w:rPr>
          <w:rFonts w:hint="default" w:ascii="宋体" w:hAnsi="宋体" w:eastAsia="宋体" w:cs="宋体"/>
          <w:b/>
          <w:bCs/>
          <w:sz w:val="24"/>
          <w:u w:val="none"/>
          <w:lang w:val="en-US" w:eastAsia="zh-CN"/>
        </w:rPr>
      </w:pPr>
      <w:r>
        <w:rPr>
          <w:rFonts w:hint="eastAsia" w:ascii="宋体" w:hAnsi="宋体" w:eastAsia="宋体" w:cs="宋体"/>
          <w:b/>
          <w:bCs/>
          <w:sz w:val="24"/>
        </w:rPr>
        <w:t>一、项目名称：</w:t>
      </w:r>
      <w:bookmarkStart w:id="0" w:name="OLE_LINK1"/>
      <w:r>
        <w:rPr>
          <w:rFonts w:hint="eastAsia" w:ascii="宋体" w:hAnsi="宋体" w:eastAsia="宋体" w:cs="宋体"/>
          <w:b/>
          <w:bCs/>
          <w:sz w:val="24"/>
          <w:u w:val="none"/>
          <w:lang w:val="en-US" w:eastAsia="zh-CN"/>
        </w:rPr>
        <w:t>液体包装机</w:t>
      </w:r>
      <w:bookmarkEnd w:id="0"/>
    </w:p>
    <w:p>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6500元</w:t>
      </w:r>
    </w:p>
    <w:p>
      <w:pPr>
        <w:pStyle w:val="8"/>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rPr>
        <w:t>：</w:t>
      </w:r>
    </w:p>
    <w:tbl>
      <w:tblPr>
        <w:tblStyle w:val="9"/>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521"/>
        <w:gridCol w:w="1033"/>
        <w:gridCol w:w="952"/>
        <w:gridCol w:w="7693"/>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295" w:type="pct"/>
            <w:shd w:val="clear" w:color="auto" w:fill="auto"/>
            <w:vAlign w:val="center"/>
          </w:tcPr>
          <w:p>
            <w:pPr>
              <w:widowControl/>
              <w:spacing w:line="440" w:lineRule="exact"/>
              <w:jc w:val="center"/>
              <w:rPr>
                <w:rFonts w:ascii="宋体" w:hAnsi="宋体" w:eastAsia="宋体" w:cs="宋体"/>
                <w:b/>
                <w:bCs/>
                <w:sz w:val="24"/>
              </w:rPr>
            </w:pPr>
            <w:r>
              <w:rPr>
                <w:rFonts w:hint="eastAsia" w:ascii="宋体" w:hAnsi="宋体" w:cs="宋体"/>
                <w:b/>
                <w:bCs/>
                <w:sz w:val="24"/>
              </w:rPr>
              <w:t>序</w:t>
            </w:r>
            <w:r>
              <w:rPr>
                <w:rFonts w:hint="eastAsia" w:ascii="宋体" w:hAnsi="宋体" w:eastAsia="宋体" w:cs="宋体"/>
                <w:b/>
                <w:bCs/>
                <w:sz w:val="24"/>
              </w:rPr>
              <w:t>号</w:t>
            </w:r>
          </w:p>
        </w:tc>
        <w:tc>
          <w:tcPr>
            <w:tcW w:w="511"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347"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320"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2585"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参数要求</w:t>
            </w:r>
          </w:p>
        </w:tc>
        <w:tc>
          <w:tcPr>
            <w:tcW w:w="940"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7" w:hRule="atLeast"/>
          <w:tblHeader/>
        </w:trPr>
        <w:tc>
          <w:tcPr>
            <w:tcW w:w="295"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511"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液体包装机</w:t>
            </w:r>
          </w:p>
        </w:tc>
        <w:tc>
          <w:tcPr>
            <w:tcW w:w="34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bookmarkStart w:id="1" w:name="_GoBack"/>
            <w:bookmarkEnd w:id="1"/>
          </w:p>
        </w:tc>
        <w:tc>
          <w:tcPr>
            <w:tcW w:w="320"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2585" w:type="pct"/>
            <w:shd w:val="clear" w:color="auto" w:fill="auto"/>
            <w:vAlign w:val="center"/>
          </w:tcPr>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容量≥20000ML</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功率</w:t>
            </w:r>
            <w:r>
              <w:rPr>
                <w:rFonts w:hint="eastAsia" w:ascii="宋体" w:hAnsi="宋体" w:eastAsia="宋体" w:cs="宋体"/>
                <w:b w:val="0"/>
                <w:bCs w:val="0"/>
                <w:sz w:val="21"/>
                <w:szCs w:val="21"/>
                <w:lang w:val="en-US" w:eastAsia="zh-CN"/>
              </w:rPr>
              <w:t>≤</w:t>
            </w:r>
            <w:r>
              <w:rPr>
                <w:rFonts w:hint="eastAsia" w:ascii="宋体" w:hAnsi="宋体" w:eastAsia="宋体" w:cs="宋体"/>
                <w:sz w:val="21"/>
                <w:szCs w:val="21"/>
              </w:rPr>
              <w:t>800W+800W</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电压：AC220V</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尺寸：570×570×1200（mm）</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5）包装方式：</w:t>
            </w:r>
            <w:r>
              <w:rPr>
                <w:rFonts w:hint="eastAsia" w:ascii="宋体" w:hAnsi="宋体" w:eastAsia="宋体" w:cs="宋体"/>
                <w:sz w:val="21"/>
                <w:szCs w:val="21"/>
              </w:rPr>
              <w:t>自动包装。</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包装温度、包装量自动显示。</w:t>
            </w:r>
          </w:p>
          <w:p>
            <w:pPr>
              <w:spacing w:line="500" w:lineRule="exact"/>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★具备联网通讯功能。可实现煎药单数据传输等通讯协议，并支持包数、包装量通讯协议的自动设置；</w:t>
            </w:r>
          </w:p>
          <w:p>
            <w:pPr>
              <w:numPr>
                <w:ilvl w:val="0"/>
                <w:numId w:val="0"/>
              </w:numPr>
              <w:spacing w:line="500" w:lineRule="exact"/>
              <w:ind w:left="480" w:leftChars="0" w:hanging="480" w:firstLineChars="0"/>
              <w:jc w:val="left"/>
              <w:rPr>
                <w:rFonts w:hint="eastAsia" w:ascii="宋体" w:hAnsi="宋体" w:eastAsia="宋体" w:cs="宋体"/>
                <w:kern w:val="0"/>
                <w:sz w:val="21"/>
                <w:szCs w:val="21"/>
              </w:rPr>
            </w:pPr>
            <w:r>
              <w:rPr>
                <w:rFonts w:hint="eastAsia" w:ascii="宋体" w:hAnsi="宋体"/>
                <w:kern w:val="0"/>
                <w:sz w:val="21"/>
                <w:szCs w:val="21"/>
                <w:lang w:val="en-US" w:eastAsia="zh-CN"/>
              </w:rPr>
              <w:t>8）</w:t>
            </w:r>
            <w:r>
              <w:rPr>
                <w:rFonts w:hint="eastAsia" w:ascii="宋体" w:hAnsi="宋体"/>
                <w:kern w:val="0"/>
                <w:sz w:val="21"/>
                <w:szCs w:val="21"/>
              </w:rPr>
              <w:t>★</w:t>
            </w:r>
            <w:r>
              <w:rPr>
                <w:rFonts w:hint="eastAsia" w:ascii="宋体" w:hAnsi="宋体"/>
                <w:sz w:val="21"/>
                <w:szCs w:val="21"/>
              </w:rPr>
              <w:t>质量安全可靠，符合行业发展趋势，列入国家中医局首批中医诊疗设备推广目；</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封合温度数字化控制，可以设定自动恒定。</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包装量为50-250ML无极变量可调包装。</w:t>
            </w:r>
          </w:p>
          <w:p>
            <w:pPr>
              <w:spacing w:line="500" w:lineRule="exact"/>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适用于老人、儿童、成年人等不同用量。</w:t>
            </w:r>
          </w:p>
          <w:p>
            <w:pPr>
              <w:numPr>
                <w:ilvl w:val="0"/>
                <w:numId w:val="0"/>
              </w:numPr>
              <w:spacing w:line="500" w:lineRule="exact"/>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包装平均速度8袋/分。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lang w:eastAsia="zh-CN"/>
              </w:rPr>
            </w:pPr>
          </w:p>
        </w:tc>
        <w:tc>
          <w:tcPr>
            <w:tcW w:w="94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drawing>
                <wp:inline distT="0" distB="0" distL="114300" distR="114300">
                  <wp:extent cx="1638300" cy="3114675"/>
                  <wp:effectExtent l="0" t="0" r="0"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1638300" cy="3114675"/>
                          </a:xfrm>
                          <a:prstGeom prst="rect">
                            <a:avLst/>
                          </a:prstGeom>
                          <a:noFill/>
                          <a:ln>
                            <a:noFill/>
                          </a:ln>
                        </pic:spPr>
                      </pic:pic>
                    </a:graphicData>
                  </a:graphic>
                </wp:inline>
              </w:drawing>
            </w:r>
          </w:p>
        </w:tc>
      </w:tr>
    </w:tbl>
    <w:p>
      <w:pPr>
        <w:pStyle w:val="8"/>
        <w:ind w:firstLine="0" w:firstLineChars="0"/>
        <w:rPr>
          <w:rFonts w:hint="default" w:ascii="宋体" w:hAnsi="宋体" w:eastAsia="宋体" w:cs="宋体"/>
          <w:sz w:val="24"/>
          <w:lang w:val="en-US" w:eastAsia="zh-CN"/>
        </w:rPr>
      </w:pPr>
    </w:p>
    <w:p>
      <w:pPr>
        <w:pStyle w:val="8"/>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8"/>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ascii="宋体" w:hAnsi="宋体" w:eastAsia="宋体" w:cs="宋体"/>
          <w:sz w:val="24"/>
          <w:lang w:val="en-US" w:eastAsia="zh-CN"/>
        </w:rPr>
        <w:t>3个月</w:t>
      </w:r>
      <w:r>
        <w:rPr>
          <w:rFonts w:hint="default" w:ascii="宋体" w:hAnsi="宋体" w:eastAsia="宋体" w:cs="宋体"/>
          <w:sz w:val="24"/>
          <w:lang w:val="en-US" w:eastAsia="zh-CN"/>
        </w:rPr>
        <w:t>内向乙方支付全部合同价款。</w:t>
      </w:r>
    </w:p>
    <w:p>
      <w:pPr>
        <w:pStyle w:val="8"/>
        <w:numPr>
          <w:ilvl w:val="0"/>
          <w:numId w:val="1"/>
        </w:numPr>
        <w:spacing w:line="360" w:lineRule="auto"/>
        <w:ind w:left="0" w:leftChars="0" w:firstLine="0" w:firstLineChars="0"/>
        <w:rPr>
          <w:rFonts w:hint="eastAsia"/>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8"/>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货物的到货、安装、调试和验收</w:t>
      </w:r>
    </w:p>
    <w:p>
      <w:pPr>
        <w:pStyle w:val="8"/>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安装</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2.1</w:t>
      </w:r>
      <w:r>
        <w:rPr>
          <w:rFonts w:hint="eastAsia"/>
          <w:sz w:val="24"/>
          <w:szCs w:val="24"/>
          <w:lang w:val="en-US" w:eastAsia="zh-CN"/>
        </w:rPr>
        <w:t xml:space="preserve">  </w:t>
      </w:r>
      <w:r>
        <w:rPr>
          <w:rFonts w:hint="default"/>
          <w:sz w:val="24"/>
          <w:szCs w:val="24"/>
          <w:lang w:val="en-US" w:eastAsia="zh-CN"/>
        </w:rPr>
        <w:t>货物到达买方指定地点后，卖方应按买方规定的日期指派工程技术人员对货物进行安装调试，直至通过验收。货物的安装调试及现场培训应在合同规定的期限内完成。</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2.2  设备的安装必须符合有关标准和规范。安装过程中买方将对货物的安装质量进行监督。</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调试</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验收</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若因卖方产品质量或安装技术问题导致货物二次验收都不合格，买方有权选择退货，并保留向卖方索赔的权利。</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卖方在货物到货、安装、调试和验收期间应接受买方的协调和管理，卖方应采取严格的防范措施，承担由于自身原因所造成的事故责任及其发生的一切费用。</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技术服务和人员培训</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合同规定的期限内，卖方应派遣有经验的工程技术人员在安装调试现场对买方指派人员进行操作和保养培训，使其能独立操作、维护、包养。培训计划方案（培训人数、时间、地点、教材、费用）应在投标文件中详细说明。其费用可单独报价，计入总价，如免费培训需在投标文件中作出说明。</w:t>
      </w:r>
    </w:p>
    <w:p>
      <w:pPr>
        <w:pStyle w:val="8"/>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质保期满后，卖方工程技术、维修人员也须不定期的进行回访，并为买方提供优质、优价的终身维修和产品维护保养。</w:t>
      </w:r>
    </w:p>
    <w:p>
      <w:pPr>
        <w:pStyle w:val="8"/>
        <w:numPr>
          <w:ilvl w:val="0"/>
          <w:numId w:val="0"/>
        </w:numPr>
        <w:spacing w:line="360" w:lineRule="auto"/>
        <w:rPr>
          <w:rFonts w:hint="eastAsia"/>
          <w:b/>
          <w:bCs/>
          <w:sz w:val="24"/>
          <w:szCs w:val="24"/>
          <w:lang w:val="en-US" w:eastAsia="zh-CN"/>
        </w:rPr>
      </w:pPr>
      <w:r>
        <w:rPr>
          <w:rFonts w:hint="eastAsia"/>
          <w:b/>
          <w:bCs/>
          <w:sz w:val="24"/>
          <w:szCs w:val="24"/>
          <w:lang w:val="en-US" w:eastAsia="zh-CN"/>
        </w:rPr>
        <w:t>九、其他</w:t>
      </w:r>
    </w:p>
    <w:p>
      <w:pPr>
        <w:pStyle w:val="8"/>
        <w:numPr>
          <w:ilvl w:val="0"/>
          <w:numId w:val="0"/>
        </w:numPr>
        <w:spacing w:line="360" w:lineRule="auto"/>
        <w:ind w:firstLine="480" w:firstLineChars="200"/>
        <w:rPr>
          <w:rFonts w:hint="default"/>
          <w:b w:val="0"/>
          <w:bCs w:val="0"/>
          <w:sz w:val="24"/>
          <w:szCs w:val="24"/>
          <w:u w:val="single"/>
          <w:lang w:val="en-US" w:eastAsia="zh-CN"/>
        </w:rPr>
      </w:pPr>
      <w:r>
        <w:rPr>
          <w:rFonts w:hint="eastAsia"/>
          <w:b w:val="0"/>
          <w:bCs w:val="0"/>
          <w:sz w:val="24"/>
          <w:szCs w:val="24"/>
          <w:lang w:val="en-US" w:eastAsia="zh-CN"/>
        </w:rPr>
        <w:t>1、合同签订后乙方须在</w:t>
      </w:r>
      <w:r>
        <w:rPr>
          <w:rFonts w:hint="eastAsia"/>
          <w:b w:val="0"/>
          <w:bCs w:val="0"/>
          <w:sz w:val="24"/>
          <w:szCs w:val="24"/>
          <w:u w:val="single"/>
          <w:lang w:val="en-US" w:eastAsia="zh-CN"/>
        </w:rPr>
        <w:t xml:space="preserve"> 10 </w:t>
      </w:r>
      <w:r>
        <w:rPr>
          <w:rFonts w:hint="eastAsia"/>
          <w:b w:val="0"/>
          <w:bCs w:val="0"/>
          <w:sz w:val="24"/>
          <w:szCs w:val="24"/>
          <w:u w:val="none"/>
          <w:lang w:val="en-US" w:eastAsia="zh-CN"/>
        </w:rPr>
        <w:t>个</w:t>
      </w:r>
      <w:r>
        <w:rPr>
          <w:rFonts w:hint="eastAsia"/>
          <w:b w:val="0"/>
          <w:bCs w:val="0"/>
          <w:sz w:val="24"/>
          <w:szCs w:val="24"/>
          <w:lang w:val="en-US" w:eastAsia="zh-CN"/>
        </w:rPr>
        <w:t>工作日内完成全部产品的到货。</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 百分之五 违约金。</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 千分之六 向甲方支付违约金，由甲方从待付货款中扣除。逾期超过约定日期 10 个工作日不能交货的，甲方可解除合同。乙方因逾期交货或因其他违约行为导致甲方解除合同的，乙方应向甲方支付合同总值 5 %的违约金，如造成甲方损失超过违约金的，超出部分由乙方继续承担赔偿责任。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十一</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1、在合同有效期内，任何一方因不可抗力事件导致不能履行合同，则合同履行期可延长，其延长期与不可抗力影响期相同。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十二</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8"/>
        <w:numPr>
          <w:ilvl w:val="0"/>
          <w:numId w:val="0"/>
        </w:numPr>
        <w:spacing w:line="360" w:lineRule="auto"/>
        <w:ind w:firstLine="480" w:firstLineChars="200"/>
        <w:rPr>
          <w:rFonts w:hint="eastAsia"/>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6838" w:h="11906" w:orient="landscape"/>
      <w:pgMar w:top="680" w:right="1304" w:bottom="68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4684506"/>
    <w:rsid w:val="05255951"/>
    <w:rsid w:val="10C71F5A"/>
    <w:rsid w:val="12900868"/>
    <w:rsid w:val="1D3C515C"/>
    <w:rsid w:val="209B4FA7"/>
    <w:rsid w:val="21DA0877"/>
    <w:rsid w:val="252217F3"/>
    <w:rsid w:val="2AC41535"/>
    <w:rsid w:val="2EBF307B"/>
    <w:rsid w:val="321150C9"/>
    <w:rsid w:val="3AB111F7"/>
    <w:rsid w:val="3DD35929"/>
    <w:rsid w:val="3EC97C4B"/>
    <w:rsid w:val="41192A66"/>
    <w:rsid w:val="42342C2B"/>
    <w:rsid w:val="48C84ABD"/>
    <w:rsid w:val="5A0F768E"/>
    <w:rsid w:val="5A8E1021"/>
    <w:rsid w:val="68AC65E3"/>
    <w:rsid w:val="6EAD47D5"/>
    <w:rsid w:val="71C32FE3"/>
    <w:rsid w:val="747B3DF6"/>
    <w:rsid w:val="75C15A8B"/>
    <w:rsid w:val="765A5288"/>
    <w:rsid w:val="7AEC351C"/>
    <w:rsid w:val="7F8E4C30"/>
    <w:rsid w:val="7FE1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Body Text Indent"/>
    <w:basedOn w:val="1"/>
    <w:qFormat/>
    <w:uiPriority w:val="0"/>
    <w:pPr>
      <w:ind w:firstLine="555"/>
    </w:p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autoRedefine/>
    <w:qFormat/>
    <w:uiPriority w:val="0"/>
    <w:pPr>
      <w:ind w:firstLine="420" w:firstLineChars="100"/>
    </w:pPr>
  </w:style>
  <w:style w:type="paragraph" w:styleId="8">
    <w:name w:val="Body Text First Indent 2"/>
    <w:basedOn w:val="3"/>
    <w:autoRedefine/>
    <w:unhideWhenUsed/>
    <w:qFormat/>
    <w:uiPriority w:val="99"/>
    <w:pPr>
      <w:ind w:firstLine="420" w:firstLineChars="200"/>
    </w:pPr>
  </w:style>
  <w:style w:type="character" w:customStyle="1" w:styleId="11">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2247</Words>
  <Characters>2324</Characters>
  <Lines>1</Lines>
  <Paragraphs>1</Paragraphs>
  <TotalTime>4</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2025-06-20T02:01:29Z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