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EB6D84">
      <w:pPr>
        <w:jc w:val="both"/>
        <w:rPr>
          <w:rFonts w:hint="eastAsia" w:ascii="宋体" w:hAnsi="宋体" w:eastAsia="宋体" w:cs="宋体"/>
          <w:b/>
          <w:bCs/>
          <w:color w:val="auto"/>
          <w:sz w:val="52"/>
          <w:szCs w:val="52"/>
          <w:highlight w:val="none"/>
        </w:rPr>
      </w:pPr>
      <w:r>
        <w:rPr>
          <w:rFonts w:hint="eastAsia" w:ascii="宋体" w:hAnsi="宋体" w:eastAsia="宋体" w:cs="宋体"/>
          <w:color w:val="auto"/>
          <w:spacing w:val="20"/>
          <w:sz w:val="84"/>
          <w:highlight w:val="none"/>
        </w:rPr>
        <w:t>温州市政府（分散）采购</w:t>
      </w:r>
    </w:p>
    <w:p w14:paraId="210F9529">
      <w:pPr>
        <w:jc w:val="center"/>
        <w:rPr>
          <w:rFonts w:hint="eastAsia" w:ascii="宋体" w:hAnsi="宋体" w:eastAsia="宋体" w:cs="宋体"/>
          <w:b/>
          <w:bCs/>
          <w:color w:val="auto"/>
          <w:spacing w:val="26"/>
          <w:sz w:val="52"/>
          <w:highlight w:val="none"/>
        </w:rPr>
      </w:pPr>
    </w:p>
    <w:p w14:paraId="5502DEF1">
      <w:pPr>
        <w:ind w:firstLine="2357" w:firstLineChars="235"/>
        <w:rPr>
          <w:rFonts w:hint="eastAsia" w:ascii="宋体" w:hAnsi="宋体" w:eastAsia="宋体" w:cs="宋体"/>
          <w:b/>
          <w:bCs/>
          <w:color w:val="auto"/>
          <w:spacing w:val="140"/>
          <w:sz w:val="72"/>
          <w:highlight w:val="none"/>
        </w:rPr>
      </w:pPr>
    </w:p>
    <w:p w14:paraId="6EAB3AF9">
      <w:pPr>
        <w:adjustRightInd w:val="0"/>
        <w:snapToGrid w:val="0"/>
        <w:spacing w:line="480" w:lineRule="auto"/>
        <w:ind w:right="361"/>
        <w:jc w:val="center"/>
        <w:rPr>
          <w:rFonts w:hint="eastAsia" w:ascii="宋体" w:hAnsi="宋体" w:eastAsia="宋体" w:cs="宋体"/>
          <w:b w:val="0"/>
          <w:bCs w:val="0"/>
          <w:color w:val="auto"/>
          <w:sz w:val="72"/>
          <w:szCs w:val="72"/>
          <w:highlight w:val="none"/>
        </w:rPr>
      </w:pPr>
      <w:r>
        <w:rPr>
          <w:rFonts w:hint="eastAsia" w:ascii="宋体" w:hAnsi="宋体" w:eastAsia="宋体" w:cs="宋体"/>
          <w:b w:val="0"/>
          <w:bCs w:val="0"/>
          <w:color w:val="auto"/>
          <w:sz w:val="72"/>
          <w:szCs w:val="72"/>
          <w:highlight w:val="none"/>
        </w:rPr>
        <w:t>招 标 文 件</w:t>
      </w:r>
    </w:p>
    <w:tbl>
      <w:tblPr>
        <w:tblStyle w:val="5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5"/>
        <w:gridCol w:w="5825"/>
      </w:tblGrid>
      <w:tr w14:paraId="2AF4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63BE6161">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项 目 编 号</w:t>
            </w:r>
            <w:r>
              <w:rPr>
                <w:rFonts w:hint="eastAsia" w:ascii="宋体" w:hAnsi="宋体" w:eastAsia="宋体" w:cs="宋体"/>
                <w:b w:val="0"/>
                <w:bCs w:val="0"/>
                <w:color w:val="auto"/>
                <w:spacing w:val="40"/>
                <w:sz w:val="28"/>
                <w:highlight w:val="none"/>
              </w:rPr>
              <w:t>：</w:t>
            </w:r>
          </w:p>
        </w:tc>
        <w:tc>
          <w:tcPr>
            <w:tcW w:w="5825" w:type="dxa"/>
            <w:vAlign w:val="center"/>
          </w:tcPr>
          <w:p w14:paraId="65777A98">
            <w:pPr>
              <w:spacing w:line="700" w:lineRule="exact"/>
              <w:jc w:val="center"/>
              <w:rPr>
                <w:rFonts w:hint="eastAsia" w:ascii="宋体" w:hAnsi="宋体" w:eastAsia="宋体" w:cs="宋体"/>
                <w:b w:val="0"/>
                <w:bCs w:val="0"/>
                <w:color w:val="auto"/>
                <w:sz w:val="24"/>
                <w:highlight w:val="none"/>
                <w:vertAlign w:val="baseline"/>
                <w:lang w:eastAsia="zh-CN"/>
              </w:rPr>
            </w:pPr>
            <w:r>
              <w:rPr>
                <w:rFonts w:hint="eastAsia" w:ascii="宋体" w:hAnsi="宋体" w:cs="宋体"/>
                <w:b w:val="0"/>
                <w:bCs w:val="0"/>
                <w:color w:val="auto"/>
                <w:spacing w:val="40"/>
                <w:sz w:val="28"/>
                <w:highlight w:val="none"/>
                <w:lang w:eastAsia="zh-CN"/>
              </w:rPr>
              <w:t>WZLCZB（W）-2025-04145</w:t>
            </w:r>
          </w:p>
        </w:tc>
      </w:tr>
      <w:tr w14:paraId="1000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12B0ECB6">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项 目 名 称：</w:t>
            </w:r>
          </w:p>
        </w:tc>
        <w:tc>
          <w:tcPr>
            <w:tcW w:w="5825" w:type="dxa"/>
            <w:vAlign w:val="center"/>
          </w:tcPr>
          <w:p w14:paraId="4C373B1A">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cs="宋体"/>
                <w:b w:val="0"/>
                <w:bCs w:val="0"/>
                <w:color w:val="auto"/>
                <w:sz w:val="30"/>
                <w:szCs w:val="30"/>
                <w:highlight w:val="none"/>
                <w:lang w:eastAsia="zh-CN"/>
              </w:rPr>
              <w:t>育龄期女性多囊卵巢综合征课题医学检测外送服务</w:t>
            </w:r>
          </w:p>
        </w:tc>
      </w:tr>
      <w:tr w14:paraId="293B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3B5EE294">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采 购 方 式：</w:t>
            </w:r>
          </w:p>
        </w:tc>
        <w:tc>
          <w:tcPr>
            <w:tcW w:w="5825" w:type="dxa"/>
            <w:vAlign w:val="center"/>
          </w:tcPr>
          <w:p w14:paraId="05B8D45D">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公开招标</w:t>
            </w:r>
          </w:p>
        </w:tc>
      </w:tr>
      <w:tr w14:paraId="4F2E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59029C39">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评 审 方 式：</w:t>
            </w:r>
          </w:p>
        </w:tc>
        <w:tc>
          <w:tcPr>
            <w:tcW w:w="5825" w:type="dxa"/>
            <w:vAlign w:val="center"/>
          </w:tcPr>
          <w:p w14:paraId="54FB1B69">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线上电子招投标</w:t>
            </w:r>
          </w:p>
        </w:tc>
      </w:tr>
    </w:tbl>
    <w:p w14:paraId="0CDA4CD9">
      <w:pPr>
        <w:spacing w:line="700" w:lineRule="exact"/>
        <w:ind w:firstLine="723" w:firstLineChars="300"/>
        <w:jc w:val="left"/>
        <w:rPr>
          <w:rFonts w:hint="eastAsia" w:ascii="宋体" w:hAnsi="宋体" w:eastAsia="宋体" w:cs="宋体"/>
          <w:b/>
          <w:bCs/>
          <w:color w:val="auto"/>
          <w:sz w:val="24"/>
          <w:highlight w:val="none"/>
        </w:rPr>
      </w:pPr>
    </w:p>
    <w:p w14:paraId="1FAC1D21">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lang w:eastAsia="zh-CN"/>
        </w:rPr>
        <w:t xml:space="preserve">   </w:t>
      </w:r>
      <w:r>
        <w:rPr>
          <w:rFonts w:hint="eastAsia" w:ascii="宋体" w:hAnsi="宋体" w:eastAsia="宋体" w:cs="宋体"/>
          <w:b/>
          <w:bCs/>
          <w:color w:val="auto"/>
          <w:sz w:val="30"/>
          <w:szCs w:val="30"/>
          <w:highlight w:val="none"/>
        </w:rPr>
        <w:t xml:space="preserve">  </w:t>
      </w:r>
    </w:p>
    <w:p w14:paraId="55DF3909">
      <w:pPr>
        <w:spacing w:line="700" w:lineRule="exact"/>
        <w:ind w:left="3802" w:leftChars="540" w:hanging="2668" w:hangingChars="700"/>
        <w:rPr>
          <w:rFonts w:hint="eastAsia" w:ascii="宋体" w:hAnsi="宋体" w:eastAsia="宋体" w:cs="宋体"/>
          <w:b/>
          <w:color w:val="auto"/>
          <w:spacing w:val="40"/>
          <w:sz w:val="30"/>
          <w:szCs w:val="30"/>
          <w:highlight w:val="none"/>
        </w:rPr>
      </w:pPr>
    </w:p>
    <w:p w14:paraId="65A551F8">
      <w:pPr>
        <w:keepNext/>
        <w:spacing w:line="700" w:lineRule="exact"/>
        <w:rPr>
          <w:rFonts w:hint="eastAsia" w:ascii="宋体" w:hAnsi="宋体" w:eastAsia="宋体" w:cs="宋体"/>
          <w:b/>
          <w:color w:val="auto"/>
          <w:spacing w:val="40"/>
          <w:sz w:val="30"/>
          <w:szCs w:val="30"/>
          <w:highlight w:val="none"/>
        </w:rPr>
      </w:pPr>
      <w:r>
        <w:rPr>
          <w:rFonts w:hint="eastAsia" w:ascii="宋体" w:hAnsi="宋体" w:eastAsia="宋体" w:cs="宋体"/>
          <w:b/>
          <w:color w:val="auto"/>
          <w:spacing w:val="40"/>
          <w:sz w:val="30"/>
          <w:szCs w:val="30"/>
          <w:highlight w:val="none"/>
        </w:rPr>
        <w:t xml:space="preserve">    </w:t>
      </w:r>
    </w:p>
    <w:p w14:paraId="7F023788">
      <w:pPr>
        <w:rPr>
          <w:rFonts w:hint="eastAsia"/>
        </w:rPr>
      </w:pPr>
    </w:p>
    <w:p w14:paraId="73D706D8">
      <w:pPr>
        <w:pStyle w:val="2"/>
        <w:rPr>
          <w:rFonts w:hint="eastAsia"/>
        </w:rPr>
      </w:pPr>
    </w:p>
    <w:p w14:paraId="7CA163F5">
      <w:pPr>
        <w:spacing w:line="600" w:lineRule="exact"/>
        <w:jc w:val="center"/>
        <w:rPr>
          <w:rFonts w:hint="eastAsia" w:ascii="宋体" w:hAnsi="宋体" w:eastAsia="宋体" w:cs="宋体"/>
          <w:color w:val="000000" w:themeColor="text1"/>
          <w:spacing w:val="30"/>
          <w:sz w:val="30"/>
          <w:highlight w:val="none"/>
          <w:lang w:eastAsia="zh-CN"/>
          <w14:textFill>
            <w14:solidFill>
              <w14:schemeClr w14:val="tx1"/>
            </w14:solidFill>
          </w14:textFill>
        </w:rPr>
      </w:pPr>
      <w:r>
        <w:rPr>
          <w:rFonts w:hint="eastAsia" w:ascii="宋体" w:hAnsi="宋体" w:eastAsia="宋体" w:cs="宋体"/>
          <w:color w:val="000000" w:themeColor="text1"/>
          <w:spacing w:val="30"/>
          <w:sz w:val="30"/>
          <w:highlight w:val="none"/>
          <w14:textFill>
            <w14:solidFill>
              <w14:schemeClr w14:val="tx1"/>
            </w14:solidFill>
          </w14:textFill>
        </w:rPr>
        <w:t>招 标 人:</w:t>
      </w:r>
      <w:r>
        <w:rPr>
          <w:rFonts w:hint="eastAsia" w:ascii="宋体" w:hAnsi="宋体" w:cs="宋体"/>
          <w:color w:val="000000" w:themeColor="text1"/>
          <w:spacing w:val="30"/>
          <w:sz w:val="30"/>
          <w:highlight w:val="none"/>
          <w:lang w:eastAsia="zh-CN"/>
          <w14:textFill>
            <w14:solidFill>
              <w14:schemeClr w14:val="tx1"/>
            </w14:solidFill>
          </w14:textFill>
        </w:rPr>
        <w:t>温州市中医院</w:t>
      </w:r>
    </w:p>
    <w:p w14:paraId="63DBC693">
      <w:pPr>
        <w:spacing w:line="600" w:lineRule="exact"/>
        <w:jc w:val="center"/>
        <w:rPr>
          <w:rFonts w:hint="eastAsia" w:ascii="宋体" w:hAnsi="宋体" w:eastAsia="宋体" w:cs="宋体"/>
          <w:color w:val="000000" w:themeColor="text1"/>
          <w:spacing w:val="30"/>
          <w:sz w:val="30"/>
          <w:highlight w:val="none"/>
          <w14:textFill>
            <w14:solidFill>
              <w14:schemeClr w14:val="tx1"/>
            </w14:solidFill>
          </w14:textFill>
        </w:rPr>
      </w:pPr>
      <w:r>
        <w:rPr>
          <w:rFonts w:hint="eastAsia" w:ascii="宋体" w:hAnsi="宋体" w:eastAsia="宋体" w:cs="宋体"/>
          <w:color w:val="000000" w:themeColor="text1"/>
          <w:spacing w:val="30"/>
          <w:sz w:val="30"/>
          <w:highlight w:val="none"/>
          <w14:textFill>
            <w14:solidFill>
              <w14:schemeClr w14:val="tx1"/>
            </w14:solidFill>
          </w14:textFill>
        </w:rPr>
        <w:t>招标代理机构：温州历程招标有限公司</w:t>
      </w:r>
    </w:p>
    <w:p w14:paraId="2F111BB8">
      <w:pPr>
        <w:spacing w:line="600" w:lineRule="exact"/>
        <w:jc w:val="center"/>
        <w:rPr>
          <w:rFonts w:hint="eastAsia" w:ascii="宋体" w:hAnsi="宋体" w:eastAsia="宋体" w:cs="宋体"/>
          <w:color w:val="000000" w:themeColor="text1"/>
          <w:spacing w:val="30"/>
          <w:sz w:val="30"/>
          <w:highlight w:val="none"/>
          <w14:textFill>
            <w14:solidFill>
              <w14:schemeClr w14:val="tx1"/>
            </w14:solidFill>
          </w14:textFill>
        </w:rPr>
      </w:pPr>
      <w:r>
        <w:rPr>
          <w:rFonts w:hint="eastAsia" w:ascii="宋体" w:hAnsi="宋体" w:eastAsia="宋体" w:cs="宋体"/>
          <w:color w:val="000000" w:themeColor="text1"/>
          <w:spacing w:val="30"/>
          <w:sz w:val="30"/>
          <w:highlight w:val="none"/>
          <w14:textFill>
            <w14:solidFill>
              <w14:schemeClr w14:val="tx1"/>
            </w14:solidFill>
          </w14:textFill>
        </w:rPr>
        <w:t>二0二</w:t>
      </w:r>
      <w:r>
        <w:rPr>
          <w:rFonts w:hint="eastAsia" w:ascii="宋体" w:hAnsi="宋体" w:cs="宋体"/>
          <w:color w:val="000000" w:themeColor="text1"/>
          <w:spacing w:val="30"/>
          <w:sz w:val="30"/>
          <w:highlight w:val="none"/>
          <w:lang w:val="en-US" w:eastAsia="zh-CN"/>
          <w14:textFill>
            <w14:solidFill>
              <w14:schemeClr w14:val="tx1"/>
            </w14:solidFill>
          </w14:textFill>
        </w:rPr>
        <w:t>五</w:t>
      </w:r>
      <w:r>
        <w:rPr>
          <w:rFonts w:hint="eastAsia" w:ascii="宋体" w:hAnsi="宋体" w:eastAsia="宋体" w:cs="宋体"/>
          <w:color w:val="000000" w:themeColor="text1"/>
          <w:spacing w:val="30"/>
          <w:sz w:val="30"/>
          <w:highlight w:val="none"/>
          <w14:textFill>
            <w14:solidFill>
              <w14:schemeClr w14:val="tx1"/>
            </w14:solidFill>
          </w14:textFill>
        </w:rPr>
        <w:t>年</w:t>
      </w:r>
    </w:p>
    <w:p w14:paraId="18D6A615">
      <w:pPr>
        <w:rPr>
          <w:rFonts w:hint="eastAsia"/>
        </w:rPr>
      </w:pPr>
      <w:r>
        <w:rPr>
          <w:rFonts w:hint="eastAsia" w:ascii="宋体" w:hAnsi="宋体" w:eastAsia="宋体" w:cs="宋体"/>
          <w:b/>
          <w:color w:val="auto"/>
          <w:sz w:val="36"/>
          <w:szCs w:val="36"/>
          <w:highlight w:val="none"/>
        </w:rPr>
        <w:br w:type="page"/>
      </w:r>
    </w:p>
    <w:sdt>
      <w:sdtPr>
        <w:rPr>
          <w:rFonts w:hint="eastAsia" w:ascii="宋体" w:hAnsi="宋体" w:eastAsia="宋体" w:cs="宋体"/>
          <w:kern w:val="2"/>
          <w:sz w:val="21"/>
          <w:szCs w:val="24"/>
          <w:lang w:val="en-US" w:eastAsia="zh-CN" w:bidi="ar-SA"/>
        </w:rPr>
        <w:id w:val="147459729"/>
        <w15:color w:val="DBDBDB"/>
        <w:docPartObj>
          <w:docPartGallery w:val="Table of Contents"/>
          <w:docPartUnique/>
        </w:docPartObj>
      </w:sdtPr>
      <w:sdtEndPr>
        <w:rPr>
          <w:rFonts w:hint="eastAsia" w:ascii="宋体" w:hAnsi="宋体" w:eastAsia="宋体" w:cs="宋体"/>
          <w:color w:val="auto"/>
          <w:kern w:val="2"/>
          <w:sz w:val="21"/>
          <w:szCs w:val="36"/>
          <w:highlight w:val="none"/>
          <w:lang w:val="en-US" w:eastAsia="zh-CN" w:bidi="ar-SA"/>
        </w:rPr>
      </w:sdtEndPr>
      <w:sdtContent>
        <w:p w14:paraId="7FA7A139">
          <w:pPr>
            <w:spacing w:before="0" w:beforeLines="0" w:after="0" w:afterLines="0" w:line="240" w:lineRule="auto"/>
            <w:ind w:left="0" w:leftChars="0" w:right="0" w:rightChars="0" w:firstLine="0" w:firstLineChars="0"/>
            <w:jc w:val="center"/>
            <w:rPr>
              <w:rFonts w:hint="eastAsia" w:ascii="宋体" w:hAnsi="宋体" w:eastAsia="宋体" w:cs="宋体"/>
            </w:rPr>
          </w:pPr>
        </w:p>
        <w:p w14:paraId="29987149">
          <w:pPr>
            <w:pStyle w:val="38"/>
            <w:tabs>
              <w:tab w:val="right" w:leader="dot" w:pos="9638"/>
            </w:tabs>
            <w:spacing w:line="360" w:lineRule="auto"/>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目  录</w:t>
          </w:r>
        </w:p>
        <w:p w14:paraId="575BD951">
          <w:pPr>
            <w:pStyle w:val="38"/>
            <w:tabs>
              <w:tab w:val="right" w:leader="dot" w:pos="9638"/>
            </w:tabs>
            <w:spacing w:line="360" w:lineRule="auto"/>
            <w:rPr>
              <w:sz w:val="22"/>
              <w:szCs w:val="28"/>
            </w:rPr>
          </w:pPr>
          <w:r>
            <w:rPr>
              <w:rFonts w:hint="eastAsia" w:ascii="宋体" w:hAnsi="宋体" w:eastAsia="宋体" w:cs="宋体"/>
              <w:b/>
              <w:color w:val="auto"/>
              <w:sz w:val="40"/>
              <w:szCs w:val="40"/>
              <w:highlight w:val="none"/>
            </w:rPr>
            <w:fldChar w:fldCharType="begin"/>
          </w:r>
          <w:r>
            <w:rPr>
              <w:rFonts w:hint="eastAsia" w:ascii="宋体" w:hAnsi="宋体" w:eastAsia="宋体" w:cs="宋体"/>
              <w:b/>
              <w:color w:val="auto"/>
              <w:sz w:val="40"/>
              <w:szCs w:val="40"/>
              <w:highlight w:val="none"/>
            </w:rPr>
            <w:instrText xml:space="preserve">TOC \o "1-3" \h \u </w:instrText>
          </w:r>
          <w:r>
            <w:rPr>
              <w:rFonts w:hint="eastAsia" w:ascii="宋体" w:hAnsi="宋体" w:eastAsia="宋体" w:cs="宋体"/>
              <w:b/>
              <w:color w:val="auto"/>
              <w:sz w:val="40"/>
              <w:szCs w:val="40"/>
              <w:highlight w:val="none"/>
            </w:rPr>
            <w:fldChar w:fldCharType="separate"/>
          </w: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_Toc6599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8"/>
            </w:rPr>
            <w:t>招</w:t>
          </w:r>
          <w:r>
            <w:rPr>
              <w:rFonts w:hint="eastAsia" w:ascii="宋体" w:hAnsi="宋体" w:eastAsia="宋体" w:cs="宋体"/>
              <w:sz w:val="22"/>
              <w:szCs w:val="28"/>
              <w:lang w:val="en-US" w:eastAsia="zh-CN"/>
            </w:rPr>
            <w:t xml:space="preserve"> </w:t>
          </w:r>
          <w:r>
            <w:rPr>
              <w:rFonts w:hint="eastAsia" w:ascii="宋体" w:hAnsi="宋体" w:eastAsia="宋体" w:cs="宋体"/>
              <w:sz w:val="22"/>
              <w:szCs w:val="28"/>
            </w:rPr>
            <w:t>标</w:t>
          </w:r>
          <w:r>
            <w:rPr>
              <w:rFonts w:hint="eastAsia" w:ascii="宋体" w:hAnsi="宋体" w:eastAsia="宋体" w:cs="宋体"/>
              <w:sz w:val="22"/>
              <w:szCs w:val="28"/>
              <w:lang w:val="en-US" w:eastAsia="zh-CN"/>
            </w:rPr>
            <w:t xml:space="preserve"> </w:t>
          </w:r>
          <w:r>
            <w:rPr>
              <w:rFonts w:hint="eastAsia" w:ascii="宋体" w:hAnsi="宋体" w:eastAsia="宋体" w:cs="宋体"/>
              <w:sz w:val="22"/>
              <w:szCs w:val="28"/>
            </w:rPr>
            <w:t>公</w:t>
          </w:r>
          <w:r>
            <w:rPr>
              <w:rFonts w:hint="eastAsia" w:ascii="宋体" w:hAnsi="宋体" w:eastAsia="宋体" w:cs="宋体"/>
              <w:sz w:val="22"/>
              <w:szCs w:val="28"/>
              <w:lang w:val="en-US" w:eastAsia="zh-CN"/>
            </w:rPr>
            <w:t xml:space="preserve"> </w:t>
          </w:r>
          <w:r>
            <w:rPr>
              <w:rFonts w:hint="eastAsia" w:ascii="宋体" w:hAnsi="宋体" w:eastAsia="宋体" w:cs="宋体"/>
              <w:sz w:val="22"/>
              <w:szCs w:val="28"/>
            </w:rPr>
            <w:t>告</w:t>
          </w:r>
          <w:r>
            <w:rPr>
              <w:sz w:val="22"/>
              <w:szCs w:val="28"/>
            </w:rPr>
            <w:tab/>
          </w:r>
          <w:r>
            <w:rPr>
              <w:sz w:val="22"/>
              <w:szCs w:val="28"/>
            </w:rPr>
            <w:fldChar w:fldCharType="begin"/>
          </w:r>
          <w:r>
            <w:rPr>
              <w:sz w:val="22"/>
              <w:szCs w:val="28"/>
            </w:rPr>
            <w:instrText xml:space="preserve"> PAGEREF _Toc6599 \h </w:instrText>
          </w:r>
          <w:r>
            <w:rPr>
              <w:sz w:val="22"/>
              <w:szCs w:val="28"/>
            </w:rPr>
            <w:fldChar w:fldCharType="separate"/>
          </w:r>
          <w:r>
            <w:rPr>
              <w:sz w:val="22"/>
              <w:szCs w:val="28"/>
            </w:rPr>
            <w:t>3</w:t>
          </w:r>
          <w:r>
            <w:rPr>
              <w:sz w:val="22"/>
              <w:szCs w:val="28"/>
            </w:rPr>
            <w:fldChar w:fldCharType="end"/>
          </w:r>
          <w:r>
            <w:rPr>
              <w:rFonts w:hint="eastAsia" w:ascii="宋体" w:hAnsi="宋体" w:eastAsia="宋体" w:cs="宋体"/>
              <w:color w:val="auto"/>
              <w:sz w:val="22"/>
              <w:szCs w:val="40"/>
              <w:highlight w:val="none"/>
            </w:rPr>
            <w:fldChar w:fldCharType="end"/>
          </w:r>
        </w:p>
        <w:p w14:paraId="3F024E60">
          <w:pPr>
            <w:pStyle w:val="38"/>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_Toc10401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8"/>
            </w:rPr>
            <w:t>第一部分    投标人须知</w:t>
          </w:r>
          <w:r>
            <w:rPr>
              <w:sz w:val="22"/>
              <w:szCs w:val="28"/>
            </w:rPr>
            <w:tab/>
          </w:r>
          <w:r>
            <w:rPr>
              <w:sz w:val="22"/>
              <w:szCs w:val="28"/>
            </w:rPr>
            <w:fldChar w:fldCharType="begin"/>
          </w:r>
          <w:r>
            <w:rPr>
              <w:sz w:val="22"/>
              <w:szCs w:val="28"/>
            </w:rPr>
            <w:instrText xml:space="preserve"> PAGEREF _Toc10401 \h </w:instrText>
          </w:r>
          <w:r>
            <w:rPr>
              <w:sz w:val="22"/>
              <w:szCs w:val="28"/>
            </w:rPr>
            <w:fldChar w:fldCharType="separate"/>
          </w:r>
          <w:r>
            <w:rPr>
              <w:sz w:val="22"/>
              <w:szCs w:val="28"/>
            </w:rPr>
            <w:t>6</w:t>
          </w:r>
          <w:r>
            <w:rPr>
              <w:sz w:val="22"/>
              <w:szCs w:val="28"/>
            </w:rPr>
            <w:fldChar w:fldCharType="end"/>
          </w:r>
          <w:r>
            <w:rPr>
              <w:rFonts w:hint="eastAsia" w:ascii="宋体" w:hAnsi="宋体" w:eastAsia="宋体" w:cs="宋体"/>
              <w:color w:val="auto"/>
              <w:sz w:val="22"/>
              <w:szCs w:val="40"/>
              <w:highlight w:val="none"/>
            </w:rPr>
            <w:fldChar w:fldCharType="end"/>
          </w:r>
        </w:p>
        <w:p w14:paraId="2F91B6FE">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_Toc6224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28"/>
              <w:highlight w:val="none"/>
            </w:rPr>
            <w:t>前 附 表</w:t>
          </w:r>
          <w:r>
            <w:rPr>
              <w:sz w:val="22"/>
              <w:szCs w:val="28"/>
            </w:rPr>
            <w:tab/>
          </w:r>
          <w:r>
            <w:rPr>
              <w:sz w:val="22"/>
              <w:szCs w:val="28"/>
            </w:rPr>
            <w:fldChar w:fldCharType="begin"/>
          </w:r>
          <w:r>
            <w:rPr>
              <w:sz w:val="22"/>
              <w:szCs w:val="28"/>
            </w:rPr>
            <w:instrText xml:space="preserve"> PAGEREF _Toc6224 \h </w:instrText>
          </w:r>
          <w:r>
            <w:rPr>
              <w:sz w:val="22"/>
              <w:szCs w:val="28"/>
            </w:rPr>
            <w:fldChar w:fldCharType="separate"/>
          </w:r>
          <w:r>
            <w:rPr>
              <w:sz w:val="22"/>
              <w:szCs w:val="28"/>
            </w:rPr>
            <w:t>6</w:t>
          </w:r>
          <w:r>
            <w:rPr>
              <w:sz w:val="22"/>
              <w:szCs w:val="28"/>
            </w:rPr>
            <w:fldChar w:fldCharType="end"/>
          </w:r>
          <w:r>
            <w:rPr>
              <w:rFonts w:hint="eastAsia" w:ascii="宋体" w:hAnsi="宋体" w:eastAsia="宋体" w:cs="宋体"/>
              <w:color w:val="auto"/>
              <w:sz w:val="22"/>
              <w:szCs w:val="40"/>
              <w:highlight w:val="none"/>
            </w:rPr>
            <w:fldChar w:fldCharType="end"/>
          </w:r>
        </w:p>
        <w:p w14:paraId="59439377">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_Toc19070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28"/>
              <w:highlight w:val="none"/>
            </w:rPr>
            <w:t>一、 说   明</w:t>
          </w:r>
          <w:r>
            <w:rPr>
              <w:sz w:val="22"/>
              <w:szCs w:val="28"/>
            </w:rPr>
            <w:tab/>
          </w:r>
          <w:r>
            <w:rPr>
              <w:sz w:val="22"/>
              <w:szCs w:val="28"/>
            </w:rPr>
            <w:fldChar w:fldCharType="begin"/>
          </w:r>
          <w:r>
            <w:rPr>
              <w:sz w:val="22"/>
              <w:szCs w:val="28"/>
            </w:rPr>
            <w:instrText xml:space="preserve"> PAGEREF _Toc19070 \h </w:instrText>
          </w:r>
          <w:r>
            <w:rPr>
              <w:sz w:val="22"/>
              <w:szCs w:val="28"/>
            </w:rPr>
            <w:fldChar w:fldCharType="separate"/>
          </w:r>
          <w:r>
            <w:rPr>
              <w:sz w:val="22"/>
              <w:szCs w:val="28"/>
            </w:rPr>
            <w:t>10</w:t>
          </w:r>
          <w:r>
            <w:rPr>
              <w:sz w:val="22"/>
              <w:szCs w:val="28"/>
            </w:rPr>
            <w:fldChar w:fldCharType="end"/>
          </w:r>
          <w:r>
            <w:rPr>
              <w:rFonts w:hint="eastAsia" w:ascii="宋体" w:hAnsi="宋体" w:eastAsia="宋体" w:cs="宋体"/>
              <w:color w:val="auto"/>
              <w:sz w:val="22"/>
              <w:szCs w:val="40"/>
              <w:highlight w:val="none"/>
            </w:rPr>
            <w:fldChar w:fldCharType="end"/>
          </w:r>
        </w:p>
        <w:p w14:paraId="0AE10A4D">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_Toc28278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28"/>
              <w:highlight w:val="none"/>
            </w:rPr>
            <w:t>二、 招标文件</w:t>
          </w:r>
          <w:r>
            <w:rPr>
              <w:sz w:val="22"/>
              <w:szCs w:val="28"/>
            </w:rPr>
            <w:tab/>
          </w:r>
          <w:r>
            <w:rPr>
              <w:sz w:val="22"/>
              <w:szCs w:val="28"/>
            </w:rPr>
            <w:fldChar w:fldCharType="begin"/>
          </w:r>
          <w:r>
            <w:rPr>
              <w:sz w:val="22"/>
              <w:szCs w:val="28"/>
            </w:rPr>
            <w:instrText xml:space="preserve"> PAGEREF _Toc28278 \h </w:instrText>
          </w:r>
          <w:r>
            <w:rPr>
              <w:sz w:val="22"/>
              <w:szCs w:val="28"/>
            </w:rPr>
            <w:fldChar w:fldCharType="separate"/>
          </w:r>
          <w:r>
            <w:rPr>
              <w:sz w:val="22"/>
              <w:szCs w:val="28"/>
            </w:rPr>
            <w:t>10</w:t>
          </w:r>
          <w:r>
            <w:rPr>
              <w:sz w:val="22"/>
              <w:szCs w:val="28"/>
            </w:rPr>
            <w:fldChar w:fldCharType="end"/>
          </w:r>
          <w:r>
            <w:rPr>
              <w:rFonts w:hint="eastAsia" w:ascii="宋体" w:hAnsi="宋体" w:eastAsia="宋体" w:cs="宋体"/>
              <w:color w:val="auto"/>
              <w:sz w:val="22"/>
              <w:szCs w:val="40"/>
              <w:highlight w:val="none"/>
            </w:rPr>
            <w:fldChar w:fldCharType="end"/>
          </w:r>
        </w:p>
        <w:p w14:paraId="62ABFF90">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_Toc22646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28"/>
              <w:highlight w:val="none"/>
            </w:rPr>
            <w:t>三、 投标文件的编制</w:t>
          </w:r>
          <w:r>
            <w:rPr>
              <w:sz w:val="22"/>
              <w:szCs w:val="28"/>
            </w:rPr>
            <w:tab/>
          </w:r>
          <w:r>
            <w:rPr>
              <w:sz w:val="22"/>
              <w:szCs w:val="28"/>
            </w:rPr>
            <w:fldChar w:fldCharType="begin"/>
          </w:r>
          <w:r>
            <w:rPr>
              <w:sz w:val="22"/>
              <w:szCs w:val="28"/>
            </w:rPr>
            <w:instrText xml:space="preserve"> PAGEREF _Toc22646 \h </w:instrText>
          </w:r>
          <w:r>
            <w:rPr>
              <w:sz w:val="22"/>
              <w:szCs w:val="28"/>
            </w:rPr>
            <w:fldChar w:fldCharType="separate"/>
          </w:r>
          <w:r>
            <w:rPr>
              <w:sz w:val="22"/>
              <w:szCs w:val="28"/>
            </w:rPr>
            <w:t>11</w:t>
          </w:r>
          <w:r>
            <w:rPr>
              <w:sz w:val="22"/>
              <w:szCs w:val="28"/>
            </w:rPr>
            <w:fldChar w:fldCharType="end"/>
          </w:r>
          <w:r>
            <w:rPr>
              <w:rFonts w:hint="eastAsia" w:ascii="宋体" w:hAnsi="宋体" w:eastAsia="宋体" w:cs="宋体"/>
              <w:color w:val="auto"/>
              <w:sz w:val="22"/>
              <w:szCs w:val="40"/>
              <w:highlight w:val="none"/>
            </w:rPr>
            <w:fldChar w:fldCharType="end"/>
          </w:r>
        </w:p>
        <w:p w14:paraId="30DEA94B">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_Toc18542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24"/>
              <w:highlight w:val="none"/>
            </w:rPr>
            <w:t>四、 投标文件的递交</w:t>
          </w:r>
          <w:r>
            <w:rPr>
              <w:sz w:val="22"/>
              <w:szCs w:val="28"/>
            </w:rPr>
            <w:tab/>
          </w:r>
          <w:r>
            <w:rPr>
              <w:sz w:val="22"/>
              <w:szCs w:val="28"/>
            </w:rPr>
            <w:fldChar w:fldCharType="begin"/>
          </w:r>
          <w:r>
            <w:rPr>
              <w:sz w:val="22"/>
              <w:szCs w:val="28"/>
            </w:rPr>
            <w:instrText xml:space="preserve"> PAGEREF _Toc18542 \h </w:instrText>
          </w:r>
          <w:r>
            <w:rPr>
              <w:sz w:val="22"/>
              <w:szCs w:val="28"/>
            </w:rPr>
            <w:fldChar w:fldCharType="separate"/>
          </w:r>
          <w:r>
            <w:rPr>
              <w:sz w:val="22"/>
              <w:szCs w:val="28"/>
            </w:rPr>
            <w:t>14</w:t>
          </w:r>
          <w:r>
            <w:rPr>
              <w:sz w:val="22"/>
              <w:szCs w:val="28"/>
            </w:rPr>
            <w:fldChar w:fldCharType="end"/>
          </w:r>
          <w:r>
            <w:rPr>
              <w:rFonts w:hint="eastAsia" w:ascii="宋体" w:hAnsi="宋体" w:eastAsia="宋体" w:cs="宋体"/>
              <w:color w:val="auto"/>
              <w:sz w:val="22"/>
              <w:szCs w:val="40"/>
              <w:highlight w:val="none"/>
            </w:rPr>
            <w:fldChar w:fldCharType="end"/>
          </w:r>
        </w:p>
        <w:p w14:paraId="223B93DA">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_Toc8079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24"/>
              <w:highlight w:val="none"/>
            </w:rPr>
            <w:t>五、 开标和评标</w:t>
          </w:r>
          <w:r>
            <w:rPr>
              <w:sz w:val="22"/>
              <w:szCs w:val="28"/>
            </w:rPr>
            <w:tab/>
          </w:r>
          <w:r>
            <w:rPr>
              <w:sz w:val="22"/>
              <w:szCs w:val="28"/>
            </w:rPr>
            <w:fldChar w:fldCharType="begin"/>
          </w:r>
          <w:r>
            <w:rPr>
              <w:sz w:val="22"/>
              <w:szCs w:val="28"/>
            </w:rPr>
            <w:instrText xml:space="preserve"> PAGEREF _Toc8079 \h </w:instrText>
          </w:r>
          <w:r>
            <w:rPr>
              <w:sz w:val="22"/>
              <w:szCs w:val="28"/>
            </w:rPr>
            <w:fldChar w:fldCharType="separate"/>
          </w:r>
          <w:r>
            <w:rPr>
              <w:sz w:val="22"/>
              <w:szCs w:val="28"/>
            </w:rPr>
            <w:t>15</w:t>
          </w:r>
          <w:r>
            <w:rPr>
              <w:sz w:val="22"/>
              <w:szCs w:val="28"/>
            </w:rPr>
            <w:fldChar w:fldCharType="end"/>
          </w:r>
          <w:r>
            <w:rPr>
              <w:rFonts w:hint="eastAsia" w:ascii="宋体" w:hAnsi="宋体" w:eastAsia="宋体" w:cs="宋体"/>
              <w:color w:val="auto"/>
              <w:sz w:val="22"/>
              <w:szCs w:val="40"/>
              <w:highlight w:val="none"/>
            </w:rPr>
            <w:fldChar w:fldCharType="end"/>
          </w:r>
        </w:p>
        <w:p w14:paraId="25D51E88">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_Toc21056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28"/>
              <w:highlight w:val="none"/>
            </w:rPr>
            <w:t>六、 授予合同</w:t>
          </w:r>
          <w:r>
            <w:rPr>
              <w:sz w:val="22"/>
              <w:szCs w:val="28"/>
            </w:rPr>
            <w:tab/>
          </w:r>
          <w:r>
            <w:rPr>
              <w:sz w:val="22"/>
              <w:szCs w:val="28"/>
            </w:rPr>
            <w:fldChar w:fldCharType="begin"/>
          </w:r>
          <w:r>
            <w:rPr>
              <w:sz w:val="22"/>
              <w:szCs w:val="28"/>
            </w:rPr>
            <w:instrText xml:space="preserve"> PAGEREF _Toc21056 \h </w:instrText>
          </w:r>
          <w:r>
            <w:rPr>
              <w:sz w:val="22"/>
              <w:szCs w:val="28"/>
            </w:rPr>
            <w:fldChar w:fldCharType="separate"/>
          </w:r>
          <w:r>
            <w:rPr>
              <w:sz w:val="22"/>
              <w:szCs w:val="28"/>
            </w:rPr>
            <w:t>19</w:t>
          </w:r>
          <w:r>
            <w:rPr>
              <w:sz w:val="22"/>
              <w:szCs w:val="28"/>
            </w:rPr>
            <w:fldChar w:fldCharType="end"/>
          </w:r>
          <w:r>
            <w:rPr>
              <w:rFonts w:hint="eastAsia" w:ascii="宋体" w:hAnsi="宋体" w:eastAsia="宋体" w:cs="宋体"/>
              <w:color w:val="auto"/>
              <w:sz w:val="22"/>
              <w:szCs w:val="40"/>
              <w:highlight w:val="none"/>
            </w:rPr>
            <w:fldChar w:fldCharType="end"/>
          </w:r>
        </w:p>
        <w:p w14:paraId="78577733">
          <w:pPr>
            <w:pStyle w:val="38"/>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_Toc19043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8"/>
            </w:rPr>
            <w:t>第二部分    合同主要条款</w:t>
          </w:r>
          <w:r>
            <w:rPr>
              <w:sz w:val="22"/>
              <w:szCs w:val="28"/>
            </w:rPr>
            <w:tab/>
          </w:r>
          <w:r>
            <w:rPr>
              <w:sz w:val="22"/>
              <w:szCs w:val="28"/>
            </w:rPr>
            <w:fldChar w:fldCharType="begin"/>
          </w:r>
          <w:r>
            <w:rPr>
              <w:sz w:val="22"/>
              <w:szCs w:val="28"/>
            </w:rPr>
            <w:instrText xml:space="preserve"> PAGEREF _Toc19043 \h </w:instrText>
          </w:r>
          <w:r>
            <w:rPr>
              <w:sz w:val="22"/>
              <w:szCs w:val="28"/>
            </w:rPr>
            <w:fldChar w:fldCharType="separate"/>
          </w:r>
          <w:r>
            <w:rPr>
              <w:sz w:val="22"/>
              <w:szCs w:val="28"/>
            </w:rPr>
            <w:t>20</w:t>
          </w:r>
          <w:r>
            <w:rPr>
              <w:sz w:val="22"/>
              <w:szCs w:val="28"/>
            </w:rPr>
            <w:fldChar w:fldCharType="end"/>
          </w:r>
          <w:r>
            <w:rPr>
              <w:rFonts w:hint="eastAsia" w:ascii="宋体" w:hAnsi="宋体" w:eastAsia="宋体" w:cs="宋体"/>
              <w:color w:val="auto"/>
              <w:sz w:val="22"/>
              <w:szCs w:val="40"/>
              <w:highlight w:val="none"/>
            </w:rPr>
            <w:fldChar w:fldCharType="end"/>
          </w:r>
        </w:p>
        <w:p w14:paraId="5DF8E59D">
          <w:pPr>
            <w:pStyle w:val="38"/>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_Toc18439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8"/>
            </w:rPr>
            <w:t>第三部分    附件</w:t>
          </w:r>
          <w:r>
            <w:rPr>
              <w:sz w:val="22"/>
              <w:szCs w:val="28"/>
            </w:rPr>
            <w:tab/>
          </w:r>
          <w:r>
            <w:rPr>
              <w:sz w:val="22"/>
              <w:szCs w:val="28"/>
            </w:rPr>
            <w:fldChar w:fldCharType="begin"/>
          </w:r>
          <w:r>
            <w:rPr>
              <w:sz w:val="22"/>
              <w:szCs w:val="28"/>
            </w:rPr>
            <w:instrText xml:space="preserve"> PAGEREF _Toc18439 \h </w:instrText>
          </w:r>
          <w:r>
            <w:rPr>
              <w:sz w:val="22"/>
              <w:szCs w:val="28"/>
            </w:rPr>
            <w:fldChar w:fldCharType="separate"/>
          </w:r>
          <w:r>
            <w:rPr>
              <w:sz w:val="22"/>
              <w:szCs w:val="28"/>
            </w:rPr>
            <w:t>27</w:t>
          </w:r>
          <w:r>
            <w:rPr>
              <w:sz w:val="22"/>
              <w:szCs w:val="28"/>
            </w:rPr>
            <w:fldChar w:fldCharType="end"/>
          </w:r>
          <w:r>
            <w:rPr>
              <w:rFonts w:hint="eastAsia" w:ascii="宋体" w:hAnsi="宋体" w:eastAsia="宋体" w:cs="宋体"/>
              <w:color w:val="auto"/>
              <w:sz w:val="22"/>
              <w:szCs w:val="40"/>
              <w:highlight w:val="none"/>
            </w:rPr>
            <w:fldChar w:fldCharType="end"/>
          </w:r>
        </w:p>
        <w:p w14:paraId="208613EB">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_Toc6368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8"/>
              <w:highlight w:val="none"/>
            </w:rPr>
            <w:t>附件一</w:t>
          </w:r>
          <w:r>
            <w:rPr>
              <w:sz w:val="22"/>
              <w:szCs w:val="28"/>
            </w:rPr>
            <w:tab/>
          </w:r>
          <w:r>
            <w:rPr>
              <w:sz w:val="22"/>
              <w:szCs w:val="28"/>
            </w:rPr>
            <w:fldChar w:fldCharType="begin"/>
          </w:r>
          <w:r>
            <w:rPr>
              <w:sz w:val="22"/>
              <w:szCs w:val="28"/>
            </w:rPr>
            <w:instrText xml:space="preserve"> PAGEREF _Toc6368 \h </w:instrText>
          </w:r>
          <w:r>
            <w:rPr>
              <w:sz w:val="22"/>
              <w:szCs w:val="28"/>
            </w:rPr>
            <w:fldChar w:fldCharType="separate"/>
          </w:r>
          <w:r>
            <w:rPr>
              <w:sz w:val="22"/>
              <w:szCs w:val="28"/>
            </w:rPr>
            <w:t>27</w:t>
          </w:r>
          <w:r>
            <w:rPr>
              <w:sz w:val="22"/>
              <w:szCs w:val="28"/>
            </w:rPr>
            <w:fldChar w:fldCharType="end"/>
          </w:r>
          <w:r>
            <w:rPr>
              <w:rFonts w:hint="eastAsia" w:ascii="宋体" w:hAnsi="宋体" w:eastAsia="宋体" w:cs="宋体"/>
              <w:color w:val="auto"/>
              <w:sz w:val="22"/>
              <w:szCs w:val="40"/>
              <w:highlight w:val="none"/>
            </w:rPr>
            <w:fldChar w:fldCharType="end"/>
          </w:r>
        </w:p>
        <w:p w14:paraId="5BB1434F">
          <w:pPr>
            <w:pStyle w:val="28"/>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_Toc5430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32"/>
              <w:highlight w:val="none"/>
            </w:rPr>
            <w:t>报价文件</w:t>
          </w:r>
          <w:r>
            <w:rPr>
              <w:sz w:val="22"/>
              <w:szCs w:val="28"/>
            </w:rPr>
            <w:tab/>
          </w:r>
          <w:r>
            <w:rPr>
              <w:sz w:val="22"/>
              <w:szCs w:val="28"/>
            </w:rPr>
            <w:fldChar w:fldCharType="begin"/>
          </w:r>
          <w:r>
            <w:rPr>
              <w:sz w:val="22"/>
              <w:szCs w:val="28"/>
            </w:rPr>
            <w:instrText xml:space="preserve"> PAGEREF _Toc5430 \h </w:instrText>
          </w:r>
          <w:r>
            <w:rPr>
              <w:sz w:val="22"/>
              <w:szCs w:val="28"/>
            </w:rPr>
            <w:fldChar w:fldCharType="separate"/>
          </w:r>
          <w:r>
            <w:rPr>
              <w:sz w:val="22"/>
              <w:szCs w:val="28"/>
            </w:rPr>
            <w:t>27</w:t>
          </w:r>
          <w:r>
            <w:rPr>
              <w:sz w:val="22"/>
              <w:szCs w:val="28"/>
            </w:rPr>
            <w:fldChar w:fldCharType="end"/>
          </w:r>
          <w:r>
            <w:rPr>
              <w:rFonts w:hint="eastAsia" w:ascii="宋体" w:hAnsi="宋体" w:eastAsia="宋体" w:cs="宋体"/>
              <w:color w:val="auto"/>
              <w:sz w:val="22"/>
              <w:szCs w:val="40"/>
              <w:highlight w:val="none"/>
            </w:rPr>
            <w:fldChar w:fldCharType="end"/>
          </w:r>
        </w:p>
        <w:p w14:paraId="508DFD0B">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_Toc12035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4"/>
              <w:highlight w:val="none"/>
            </w:rPr>
            <w:t>附件二</w:t>
          </w:r>
          <w:r>
            <w:rPr>
              <w:sz w:val="22"/>
              <w:szCs w:val="28"/>
            </w:rPr>
            <w:tab/>
          </w:r>
          <w:r>
            <w:rPr>
              <w:sz w:val="22"/>
              <w:szCs w:val="28"/>
            </w:rPr>
            <w:fldChar w:fldCharType="begin"/>
          </w:r>
          <w:r>
            <w:rPr>
              <w:sz w:val="22"/>
              <w:szCs w:val="28"/>
            </w:rPr>
            <w:instrText xml:space="preserve"> PAGEREF _Toc12035 \h </w:instrText>
          </w:r>
          <w:r>
            <w:rPr>
              <w:sz w:val="22"/>
              <w:szCs w:val="28"/>
            </w:rPr>
            <w:fldChar w:fldCharType="separate"/>
          </w:r>
          <w:r>
            <w:rPr>
              <w:sz w:val="22"/>
              <w:szCs w:val="28"/>
            </w:rPr>
            <w:t>30</w:t>
          </w:r>
          <w:r>
            <w:rPr>
              <w:sz w:val="22"/>
              <w:szCs w:val="28"/>
            </w:rPr>
            <w:fldChar w:fldCharType="end"/>
          </w:r>
          <w:r>
            <w:rPr>
              <w:rFonts w:hint="eastAsia" w:ascii="宋体" w:hAnsi="宋体" w:eastAsia="宋体" w:cs="宋体"/>
              <w:color w:val="auto"/>
              <w:sz w:val="22"/>
              <w:szCs w:val="40"/>
              <w:highlight w:val="none"/>
            </w:rPr>
            <w:fldChar w:fldCharType="end"/>
          </w:r>
        </w:p>
        <w:p w14:paraId="5887ACC6">
          <w:pPr>
            <w:pStyle w:val="28"/>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_Toc25309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32"/>
              <w:highlight w:val="none"/>
            </w:rPr>
            <w:t>资格证明文件</w:t>
          </w:r>
          <w:r>
            <w:rPr>
              <w:sz w:val="22"/>
              <w:szCs w:val="28"/>
            </w:rPr>
            <w:tab/>
          </w:r>
          <w:r>
            <w:rPr>
              <w:sz w:val="22"/>
              <w:szCs w:val="28"/>
            </w:rPr>
            <w:fldChar w:fldCharType="begin"/>
          </w:r>
          <w:r>
            <w:rPr>
              <w:sz w:val="22"/>
              <w:szCs w:val="28"/>
            </w:rPr>
            <w:instrText xml:space="preserve"> PAGEREF _Toc25309 \h </w:instrText>
          </w:r>
          <w:r>
            <w:rPr>
              <w:sz w:val="22"/>
              <w:szCs w:val="28"/>
            </w:rPr>
            <w:fldChar w:fldCharType="separate"/>
          </w:r>
          <w:r>
            <w:rPr>
              <w:sz w:val="22"/>
              <w:szCs w:val="28"/>
            </w:rPr>
            <w:t>30</w:t>
          </w:r>
          <w:r>
            <w:rPr>
              <w:sz w:val="22"/>
              <w:szCs w:val="28"/>
            </w:rPr>
            <w:fldChar w:fldCharType="end"/>
          </w:r>
          <w:r>
            <w:rPr>
              <w:rFonts w:hint="eastAsia" w:ascii="宋体" w:hAnsi="宋体" w:eastAsia="宋体" w:cs="宋体"/>
              <w:color w:val="auto"/>
              <w:sz w:val="22"/>
              <w:szCs w:val="40"/>
              <w:highlight w:val="none"/>
            </w:rPr>
            <w:fldChar w:fldCharType="end"/>
          </w:r>
        </w:p>
        <w:p w14:paraId="56136820">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_Toc31356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24"/>
              <w:highlight w:val="none"/>
            </w:rPr>
            <w:t>附件三</w:t>
          </w:r>
          <w:r>
            <w:rPr>
              <w:sz w:val="22"/>
              <w:szCs w:val="28"/>
            </w:rPr>
            <w:tab/>
          </w:r>
          <w:r>
            <w:rPr>
              <w:sz w:val="22"/>
              <w:szCs w:val="28"/>
            </w:rPr>
            <w:fldChar w:fldCharType="begin"/>
          </w:r>
          <w:r>
            <w:rPr>
              <w:sz w:val="22"/>
              <w:szCs w:val="28"/>
            </w:rPr>
            <w:instrText xml:space="preserve"> PAGEREF _Toc31356 \h </w:instrText>
          </w:r>
          <w:r>
            <w:rPr>
              <w:sz w:val="22"/>
              <w:szCs w:val="28"/>
            </w:rPr>
            <w:fldChar w:fldCharType="separate"/>
          </w:r>
          <w:r>
            <w:rPr>
              <w:sz w:val="22"/>
              <w:szCs w:val="28"/>
            </w:rPr>
            <w:t>30</w:t>
          </w:r>
          <w:r>
            <w:rPr>
              <w:sz w:val="22"/>
              <w:szCs w:val="28"/>
            </w:rPr>
            <w:fldChar w:fldCharType="end"/>
          </w:r>
          <w:r>
            <w:rPr>
              <w:rFonts w:hint="eastAsia" w:ascii="宋体" w:hAnsi="宋体" w:eastAsia="宋体" w:cs="宋体"/>
              <w:color w:val="auto"/>
              <w:sz w:val="22"/>
              <w:szCs w:val="40"/>
              <w:highlight w:val="none"/>
            </w:rPr>
            <w:fldChar w:fldCharType="end"/>
          </w:r>
        </w:p>
        <w:p w14:paraId="6C7ECE4C">
          <w:pPr>
            <w:pStyle w:val="28"/>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_Toc13639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32"/>
              <w:highlight w:val="none"/>
              <w:lang w:val="zh-CN"/>
            </w:rPr>
            <w:t>商务技术文件</w:t>
          </w:r>
          <w:r>
            <w:rPr>
              <w:sz w:val="22"/>
              <w:szCs w:val="28"/>
            </w:rPr>
            <w:tab/>
          </w:r>
          <w:r>
            <w:rPr>
              <w:sz w:val="22"/>
              <w:szCs w:val="28"/>
            </w:rPr>
            <w:fldChar w:fldCharType="begin"/>
          </w:r>
          <w:r>
            <w:rPr>
              <w:sz w:val="22"/>
              <w:szCs w:val="28"/>
            </w:rPr>
            <w:instrText xml:space="preserve"> PAGEREF _Toc13639 \h </w:instrText>
          </w:r>
          <w:r>
            <w:rPr>
              <w:sz w:val="22"/>
              <w:szCs w:val="28"/>
            </w:rPr>
            <w:fldChar w:fldCharType="separate"/>
          </w:r>
          <w:r>
            <w:rPr>
              <w:sz w:val="22"/>
              <w:szCs w:val="28"/>
            </w:rPr>
            <w:t>38</w:t>
          </w:r>
          <w:r>
            <w:rPr>
              <w:sz w:val="22"/>
              <w:szCs w:val="28"/>
            </w:rPr>
            <w:fldChar w:fldCharType="end"/>
          </w:r>
          <w:r>
            <w:rPr>
              <w:rFonts w:hint="eastAsia" w:ascii="宋体" w:hAnsi="宋体" w:eastAsia="宋体" w:cs="宋体"/>
              <w:color w:val="auto"/>
              <w:sz w:val="22"/>
              <w:szCs w:val="40"/>
              <w:highlight w:val="none"/>
            </w:rPr>
            <w:fldChar w:fldCharType="end"/>
          </w:r>
        </w:p>
        <w:p w14:paraId="0CF0C8B3">
          <w:pPr>
            <w:pStyle w:val="38"/>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_Toc3381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8"/>
            </w:rPr>
            <w:t xml:space="preserve">第四部分 </w:t>
          </w:r>
          <w:r>
            <w:rPr>
              <w:rFonts w:hint="eastAsia" w:ascii="宋体" w:hAnsi="宋体" w:cs="宋体"/>
              <w:sz w:val="22"/>
              <w:szCs w:val="28"/>
              <w:lang w:val="en-US" w:eastAsia="zh-CN"/>
            </w:rPr>
            <w:t xml:space="preserve">  </w:t>
          </w:r>
          <w:r>
            <w:rPr>
              <w:rFonts w:hint="eastAsia" w:ascii="宋体" w:hAnsi="宋体" w:eastAsia="宋体" w:cs="宋体"/>
              <w:sz w:val="22"/>
              <w:szCs w:val="28"/>
            </w:rPr>
            <w:t>项目技术规范和服务要求</w:t>
          </w:r>
          <w:r>
            <w:rPr>
              <w:sz w:val="22"/>
              <w:szCs w:val="28"/>
            </w:rPr>
            <w:tab/>
          </w:r>
          <w:r>
            <w:rPr>
              <w:sz w:val="22"/>
              <w:szCs w:val="28"/>
            </w:rPr>
            <w:fldChar w:fldCharType="begin"/>
          </w:r>
          <w:r>
            <w:rPr>
              <w:sz w:val="22"/>
              <w:szCs w:val="28"/>
            </w:rPr>
            <w:instrText xml:space="preserve"> PAGEREF _Toc3381 \h </w:instrText>
          </w:r>
          <w:r>
            <w:rPr>
              <w:sz w:val="22"/>
              <w:szCs w:val="28"/>
            </w:rPr>
            <w:fldChar w:fldCharType="separate"/>
          </w:r>
          <w:r>
            <w:rPr>
              <w:sz w:val="22"/>
              <w:szCs w:val="28"/>
            </w:rPr>
            <w:t>51</w:t>
          </w:r>
          <w:r>
            <w:rPr>
              <w:sz w:val="22"/>
              <w:szCs w:val="28"/>
            </w:rPr>
            <w:fldChar w:fldCharType="end"/>
          </w:r>
          <w:r>
            <w:rPr>
              <w:rFonts w:hint="eastAsia" w:ascii="宋体" w:hAnsi="宋体" w:eastAsia="宋体" w:cs="宋体"/>
              <w:color w:val="auto"/>
              <w:sz w:val="22"/>
              <w:szCs w:val="40"/>
              <w:highlight w:val="none"/>
            </w:rPr>
            <w:fldChar w:fldCharType="end"/>
          </w:r>
        </w:p>
        <w:p w14:paraId="355ED541">
          <w:pPr>
            <w:pStyle w:val="38"/>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_Toc18194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8"/>
            </w:rPr>
            <w:t>第五部分   评标原则及方法</w:t>
          </w:r>
          <w:r>
            <w:rPr>
              <w:sz w:val="22"/>
              <w:szCs w:val="28"/>
            </w:rPr>
            <w:tab/>
          </w:r>
          <w:r>
            <w:rPr>
              <w:sz w:val="22"/>
              <w:szCs w:val="28"/>
            </w:rPr>
            <w:fldChar w:fldCharType="begin"/>
          </w:r>
          <w:r>
            <w:rPr>
              <w:sz w:val="22"/>
              <w:szCs w:val="28"/>
            </w:rPr>
            <w:instrText xml:space="preserve"> PAGEREF _Toc18194 \h </w:instrText>
          </w:r>
          <w:r>
            <w:rPr>
              <w:sz w:val="22"/>
              <w:szCs w:val="28"/>
            </w:rPr>
            <w:fldChar w:fldCharType="separate"/>
          </w:r>
          <w:r>
            <w:rPr>
              <w:sz w:val="22"/>
              <w:szCs w:val="28"/>
            </w:rPr>
            <w:t>53</w:t>
          </w:r>
          <w:r>
            <w:rPr>
              <w:sz w:val="22"/>
              <w:szCs w:val="28"/>
            </w:rPr>
            <w:fldChar w:fldCharType="end"/>
          </w:r>
          <w:r>
            <w:rPr>
              <w:rFonts w:hint="eastAsia" w:ascii="宋体" w:hAnsi="宋体" w:eastAsia="宋体" w:cs="宋体"/>
              <w:color w:val="auto"/>
              <w:sz w:val="22"/>
              <w:szCs w:val="40"/>
              <w:highlight w:val="none"/>
            </w:rPr>
            <w:fldChar w:fldCharType="end"/>
          </w:r>
        </w:p>
        <w:p w14:paraId="6C883EE5">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_Toc15713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4"/>
              <w:highlight w:val="none"/>
            </w:rPr>
            <w:t>一、总 则</w:t>
          </w:r>
          <w:r>
            <w:rPr>
              <w:sz w:val="22"/>
              <w:szCs w:val="28"/>
            </w:rPr>
            <w:tab/>
          </w:r>
          <w:r>
            <w:rPr>
              <w:sz w:val="22"/>
              <w:szCs w:val="28"/>
            </w:rPr>
            <w:fldChar w:fldCharType="begin"/>
          </w:r>
          <w:r>
            <w:rPr>
              <w:sz w:val="22"/>
              <w:szCs w:val="28"/>
            </w:rPr>
            <w:instrText xml:space="preserve"> PAGEREF _Toc15713 \h </w:instrText>
          </w:r>
          <w:r>
            <w:rPr>
              <w:sz w:val="22"/>
              <w:szCs w:val="28"/>
            </w:rPr>
            <w:fldChar w:fldCharType="separate"/>
          </w:r>
          <w:r>
            <w:rPr>
              <w:sz w:val="22"/>
              <w:szCs w:val="28"/>
            </w:rPr>
            <w:t>53</w:t>
          </w:r>
          <w:r>
            <w:rPr>
              <w:sz w:val="22"/>
              <w:szCs w:val="28"/>
            </w:rPr>
            <w:fldChar w:fldCharType="end"/>
          </w:r>
          <w:r>
            <w:rPr>
              <w:rFonts w:hint="eastAsia" w:ascii="宋体" w:hAnsi="宋体" w:eastAsia="宋体" w:cs="宋体"/>
              <w:color w:val="auto"/>
              <w:sz w:val="22"/>
              <w:szCs w:val="40"/>
              <w:highlight w:val="none"/>
            </w:rPr>
            <w:fldChar w:fldCharType="end"/>
          </w:r>
        </w:p>
        <w:p w14:paraId="6E353F1B">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_Toc23152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4"/>
              <w:highlight w:val="none"/>
            </w:rPr>
            <w:t>二、评标组织</w:t>
          </w:r>
          <w:r>
            <w:rPr>
              <w:sz w:val="22"/>
              <w:szCs w:val="28"/>
            </w:rPr>
            <w:tab/>
          </w:r>
          <w:r>
            <w:rPr>
              <w:sz w:val="22"/>
              <w:szCs w:val="28"/>
            </w:rPr>
            <w:fldChar w:fldCharType="begin"/>
          </w:r>
          <w:r>
            <w:rPr>
              <w:sz w:val="22"/>
              <w:szCs w:val="28"/>
            </w:rPr>
            <w:instrText xml:space="preserve"> PAGEREF _Toc23152 \h </w:instrText>
          </w:r>
          <w:r>
            <w:rPr>
              <w:sz w:val="22"/>
              <w:szCs w:val="28"/>
            </w:rPr>
            <w:fldChar w:fldCharType="separate"/>
          </w:r>
          <w:r>
            <w:rPr>
              <w:sz w:val="22"/>
              <w:szCs w:val="28"/>
            </w:rPr>
            <w:t>53</w:t>
          </w:r>
          <w:r>
            <w:rPr>
              <w:sz w:val="22"/>
              <w:szCs w:val="28"/>
            </w:rPr>
            <w:fldChar w:fldCharType="end"/>
          </w:r>
          <w:r>
            <w:rPr>
              <w:rFonts w:hint="eastAsia" w:ascii="宋体" w:hAnsi="宋体" w:eastAsia="宋体" w:cs="宋体"/>
              <w:color w:val="auto"/>
              <w:sz w:val="22"/>
              <w:szCs w:val="40"/>
              <w:highlight w:val="none"/>
            </w:rPr>
            <w:fldChar w:fldCharType="end"/>
          </w:r>
        </w:p>
        <w:p w14:paraId="471BDEC9">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_Toc67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4"/>
              <w:highlight w:val="none"/>
            </w:rPr>
            <w:t>三、评标程序</w:t>
          </w:r>
          <w:r>
            <w:rPr>
              <w:sz w:val="22"/>
              <w:szCs w:val="28"/>
            </w:rPr>
            <w:tab/>
          </w:r>
          <w:r>
            <w:rPr>
              <w:sz w:val="22"/>
              <w:szCs w:val="28"/>
            </w:rPr>
            <w:fldChar w:fldCharType="begin"/>
          </w:r>
          <w:r>
            <w:rPr>
              <w:sz w:val="22"/>
              <w:szCs w:val="28"/>
            </w:rPr>
            <w:instrText xml:space="preserve"> PAGEREF _Toc67 \h </w:instrText>
          </w:r>
          <w:r>
            <w:rPr>
              <w:sz w:val="22"/>
              <w:szCs w:val="28"/>
            </w:rPr>
            <w:fldChar w:fldCharType="separate"/>
          </w:r>
          <w:r>
            <w:rPr>
              <w:sz w:val="22"/>
              <w:szCs w:val="28"/>
            </w:rPr>
            <w:t>53</w:t>
          </w:r>
          <w:r>
            <w:rPr>
              <w:sz w:val="22"/>
              <w:szCs w:val="28"/>
            </w:rPr>
            <w:fldChar w:fldCharType="end"/>
          </w:r>
          <w:r>
            <w:rPr>
              <w:rFonts w:hint="eastAsia" w:ascii="宋体" w:hAnsi="宋体" w:eastAsia="宋体" w:cs="宋体"/>
              <w:color w:val="auto"/>
              <w:sz w:val="22"/>
              <w:szCs w:val="40"/>
              <w:highlight w:val="none"/>
            </w:rPr>
            <w:fldChar w:fldCharType="end"/>
          </w:r>
        </w:p>
        <w:p w14:paraId="4695734E">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_Toc24825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4"/>
              <w:highlight w:val="none"/>
            </w:rPr>
            <w:t>四、评标办法</w:t>
          </w:r>
          <w:r>
            <w:rPr>
              <w:sz w:val="22"/>
              <w:szCs w:val="28"/>
            </w:rPr>
            <w:tab/>
          </w:r>
          <w:r>
            <w:rPr>
              <w:sz w:val="22"/>
              <w:szCs w:val="28"/>
            </w:rPr>
            <w:fldChar w:fldCharType="begin"/>
          </w:r>
          <w:r>
            <w:rPr>
              <w:sz w:val="22"/>
              <w:szCs w:val="28"/>
            </w:rPr>
            <w:instrText xml:space="preserve"> PAGEREF _Toc24825 \h </w:instrText>
          </w:r>
          <w:r>
            <w:rPr>
              <w:sz w:val="22"/>
              <w:szCs w:val="28"/>
            </w:rPr>
            <w:fldChar w:fldCharType="separate"/>
          </w:r>
          <w:r>
            <w:rPr>
              <w:sz w:val="22"/>
              <w:szCs w:val="28"/>
            </w:rPr>
            <w:t>53</w:t>
          </w:r>
          <w:r>
            <w:rPr>
              <w:sz w:val="22"/>
              <w:szCs w:val="28"/>
            </w:rPr>
            <w:fldChar w:fldCharType="end"/>
          </w:r>
          <w:r>
            <w:rPr>
              <w:rFonts w:hint="eastAsia" w:ascii="宋体" w:hAnsi="宋体" w:eastAsia="宋体" w:cs="宋体"/>
              <w:color w:val="auto"/>
              <w:sz w:val="22"/>
              <w:szCs w:val="40"/>
              <w:highlight w:val="none"/>
            </w:rPr>
            <w:fldChar w:fldCharType="end"/>
          </w:r>
        </w:p>
        <w:p w14:paraId="66FDB92B">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_Toc11450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4"/>
            </w:rPr>
            <w:t>五、</w:t>
          </w:r>
          <w:r>
            <w:rPr>
              <w:rFonts w:hint="eastAsia" w:ascii="宋体" w:hAnsi="宋体" w:eastAsia="宋体" w:cs="宋体"/>
              <w:sz w:val="22"/>
              <w:szCs w:val="24"/>
              <w:highlight w:val="none"/>
            </w:rPr>
            <w:t>评分细则</w:t>
          </w:r>
          <w:r>
            <w:rPr>
              <w:sz w:val="22"/>
              <w:szCs w:val="28"/>
            </w:rPr>
            <w:tab/>
          </w:r>
          <w:r>
            <w:rPr>
              <w:sz w:val="22"/>
              <w:szCs w:val="28"/>
            </w:rPr>
            <w:fldChar w:fldCharType="begin"/>
          </w:r>
          <w:r>
            <w:rPr>
              <w:sz w:val="22"/>
              <w:szCs w:val="28"/>
            </w:rPr>
            <w:instrText xml:space="preserve"> PAGEREF _Toc11450 \h </w:instrText>
          </w:r>
          <w:r>
            <w:rPr>
              <w:sz w:val="22"/>
              <w:szCs w:val="28"/>
            </w:rPr>
            <w:fldChar w:fldCharType="separate"/>
          </w:r>
          <w:r>
            <w:rPr>
              <w:sz w:val="22"/>
              <w:szCs w:val="28"/>
            </w:rPr>
            <w:t>53</w:t>
          </w:r>
          <w:r>
            <w:rPr>
              <w:sz w:val="22"/>
              <w:szCs w:val="28"/>
            </w:rPr>
            <w:fldChar w:fldCharType="end"/>
          </w:r>
          <w:r>
            <w:rPr>
              <w:rFonts w:hint="eastAsia" w:ascii="宋体" w:hAnsi="宋体" w:eastAsia="宋体" w:cs="宋体"/>
              <w:color w:val="auto"/>
              <w:sz w:val="22"/>
              <w:szCs w:val="40"/>
              <w:highlight w:val="none"/>
            </w:rPr>
            <w:fldChar w:fldCharType="end"/>
          </w:r>
        </w:p>
        <w:p w14:paraId="32CD7F36">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_Toc4727 </w:instrText>
          </w:r>
          <w:r>
            <w:rPr>
              <w:rFonts w:hint="eastAsia" w:ascii="宋体" w:hAnsi="宋体" w:eastAsia="宋体" w:cs="宋体"/>
              <w:sz w:val="22"/>
              <w:szCs w:val="40"/>
              <w:highlight w:val="none"/>
            </w:rPr>
            <w:fldChar w:fldCharType="separate"/>
          </w:r>
          <w:r>
            <w:rPr>
              <w:rFonts w:hint="eastAsia" w:ascii="宋体" w:hAnsi="宋体" w:eastAsia="宋体" w:cs="宋体"/>
              <w:bCs/>
              <w:sz w:val="22"/>
              <w:szCs w:val="24"/>
              <w:highlight w:val="none"/>
            </w:rPr>
            <w:t>六、定标办法</w:t>
          </w:r>
          <w:r>
            <w:rPr>
              <w:sz w:val="22"/>
              <w:szCs w:val="28"/>
            </w:rPr>
            <w:tab/>
          </w:r>
          <w:r>
            <w:rPr>
              <w:sz w:val="22"/>
              <w:szCs w:val="28"/>
            </w:rPr>
            <w:fldChar w:fldCharType="begin"/>
          </w:r>
          <w:r>
            <w:rPr>
              <w:sz w:val="22"/>
              <w:szCs w:val="28"/>
            </w:rPr>
            <w:instrText xml:space="preserve"> PAGEREF _Toc4727 \h </w:instrText>
          </w:r>
          <w:r>
            <w:rPr>
              <w:sz w:val="22"/>
              <w:szCs w:val="28"/>
            </w:rPr>
            <w:fldChar w:fldCharType="separate"/>
          </w:r>
          <w:r>
            <w:rPr>
              <w:sz w:val="22"/>
              <w:szCs w:val="28"/>
            </w:rPr>
            <w:t>56</w:t>
          </w:r>
          <w:r>
            <w:rPr>
              <w:sz w:val="22"/>
              <w:szCs w:val="28"/>
            </w:rPr>
            <w:fldChar w:fldCharType="end"/>
          </w:r>
          <w:r>
            <w:rPr>
              <w:rFonts w:hint="eastAsia" w:ascii="宋体" w:hAnsi="宋体" w:eastAsia="宋体" w:cs="宋体"/>
              <w:color w:val="auto"/>
              <w:sz w:val="22"/>
              <w:szCs w:val="40"/>
              <w:highlight w:val="none"/>
            </w:rPr>
            <w:fldChar w:fldCharType="end"/>
          </w:r>
        </w:p>
        <w:p w14:paraId="370D45FD">
          <w:pPr>
            <w:pStyle w:val="45"/>
            <w:tabs>
              <w:tab w:val="right" w:leader="dot" w:pos="9638"/>
            </w:tabs>
            <w:spacing w:line="360" w:lineRule="auto"/>
            <w:rPr>
              <w:sz w:val="22"/>
              <w:szCs w:val="28"/>
            </w:rPr>
          </w:pPr>
          <w:r>
            <w:rPr>
              <w:rFonts w:hint="eastAsia" w:ascii="宋体" w:hAnsi="宋体" w:eastAsia="宋体" w:cs="宋体"/>
              <w:color w:val="auto"/>
              <w:sz w:val="22"/>
              <w:szCs w:val="40"/>
              <w:highlight w:val="none"/>
            </w:rPr>
            <w:fldChar w:fldCharType="begin"/>
          </w:r>
          <w:r>
            <w:rPr>
              <w:rFonts w:hint="eastAsia" w:ascii="宋体" w:hAnsi="宋体" w:eastAsia="宋体" w:cs="宋体"/>
              <w:sz w:val="22"/>
              <w:szCs w:val="40"/>
              <w:highlight w:val="none"/>
            </w:rPr>
            <w:instrText xml:space="preserve"> HYPERLINK \l _Toc3629 </w:instrText>
          </w:r>
          <w:r>
            <w:rPr>
              <w:rFonts w:hint="eastAsia" w:ascii="宋体" w:hAnsi="宋体" w:eastAsia="宋体" w:cs="宋体"/>
              <w:sz w:val="22"/>
              <w:szCs w:val="40"/>
              <w:highlight w:val="none"/>
            </w:rPr>
            <w:fldChar w:fldCharType="separate"/>
          </w:r>
          <w:r>
            <w:rPr>
              <w:rFonts w:hint="eastAsia" w:ascii="宋体" w:hAnsi="宋体" w:eastAsia="宋体" w:cs="宋体"/>
              <w:sz w:val="22"/>
              <w:szCs w:val="24"/>
              <w:highlight w:val="none"/>
            </w:rPr>
            <w:t>七、投标人义务</w:t>
          </w:r>
          <w:r>
            <w:rPr>
              <w:sz w:val="22"/>
              <w:szCs w:val="28"/>
            </w:rPr>
            <w:tab/>
          </w:r>
          <w:r>
            <w:rPr>
              <w:sz w:val="22"/>
              <w:szCs w:val="28"/>
            </w:rPr>
            <w:fldChar w:fldCharType="begin"/>
          </w:r>
          <w:r>
            <w:rPr>
              <w:sz w:val="22"/>
              <w:szCs w:val="28"/>
            </w:rPr>
            <w:instrText xml:space="preserve"> PAGEREF _Toc3629 \h </w:instrText>
          </w:r>
          <w:r>
            <w:rPr>
              <w:sz w:val="22"/>
              <w:szCs w:val="28"/>
            </w:rPr>
            <w:fldChar w:fldCharType="separate"/>
          </w:r>
          <w:r>
            <w:rPr>
              <w:sz w:val="22"/>
              <w:szCs w:val="28"/>
            </w:rPr>
            <w:t>56</w:t>
          </w:r>
          <w:r>
            <w:rPr>
              <w:sz w:val="22"/>
              <w:szCs w:val="28"/>
            </w:rPr>
            <w:fldChar w:fldCharType="end"/>
          </w:r>
          <w:r>
            <w:rPr>
              <w:rFonts w:hint="eastAsia" w:ascii="宋体" w:hAnsi="宋体" w:eastAsia="宋体" w:cs="宋体"/>
              <w:color w:val="auto"/>
              <w:sz w:val="22"/>
              <w:szCs w:val="40"/>
              <w:highlight w:val="none"/>
            </w:rPr>
            <w:fldChar w:fldCharType="end"/>
          </w:r>
        </w:p>
        <w:p w14:paraId="4410CD16">
          <w:pPr>
            <w:spacing w:line="360" w:lineRule="auto"/>
            <w:ind w:firstLine="1870" w:firstLineChars="850"/>
            <w:rPr>
              <w:rFonts w:hint="eastAsia" w:ascii="宋体" w:hAnsi="宋体" w:eastAsia="宋体" w:cs="宋体"/>
              <w:b/>
              <w:color w:val="auto"/>
              <w:sz w:val="22"/>
              <w:szCs w:val="22"/>
              <w:highlight w:val="none"/>
            </w:rPr>
          </w:pPr>
          <w:r>
            <w:rPr>
              <w:rFonts w:hint="eastAsia" w:ascii="宋体" w:hAnsi="宋体" w:eastAsia="宋体" w:cs="宋体"/>
              <w:color w:val="auto"/>
              <w:sz w:val="22"/>
              <w:szCs w:val="40"/>
              <w:highlight w:val="none"/>
            </w:rPr>
            <w:fldChar w:fldCharType="end"/>
          </w:r>
        </w:p>
      </w:sdtContent>
    </w:sdt>
    <w:p w14:paraId="52814CC7">
      <w:pPr>
        <w:pStyle w:val="2"/>
        <w:bidi w:val="0"/>
        <w:rPr>
          <w:rFonts w:hint="eastAsia" w:ascii="宋体" w:hAnsi="宋体" w:eastAsia="宋体" w:cs="宋体"/>
          <w:b/>
          <w:color w:val="auto"/>
          <w:highlight w:val="none"/>
        </w:rPr>
      </w:pPr>
      <w:bookmarkStart w:id="0" w:name="_Toc32649"/>
      <w:bookmarkStart w:id="1" w:name="_Toc6599"/>
      <w:r>
        <w:rPr>
          <w:rFonts w:hint="eastAsia" w:ascii="宋体" w:hAnsi="宋体" w:eastAsia="宋体" w:cs="宋体"/>
        </w:rPr>
        <w:t>招</w:t>
      </w:r>
      <w:r>
        <w:rPr>
          <w:rFonts w:hint="eastAsia" w:ascii="宋体" w:hAnsi="宋体" w:eastAsia="宋体" w:cs="宋体"/>
          <w:lang w:val="en-US" w:eastAsia="zh-CN"/>
        </w:rPr>
        <w:t xml:space="preserve"> </w:t>
      </w:r>
      <w:r>
        <w:rPr>
          <w:rFonts w:hint="eastAsia" w:ascii="宋体" w:hAnsi="宋体" w:eastAsia="宋体" w:cs="宋体"/>
        </w:rPr>
        <w:t>标</w:t>
      </w:r>
      <w:r>
        <w:rPr>
          <w:rFonts w:hint="eastAsia" w:ascii="宋体" w:hAnsi="宋体" w:eastAsia="宋体" w:cs="宋体"/>
          <w:lang w:val="en-US" w:eastAsia="zh-CN"/>
        </w:rPr>
        <w:t xml:space="preserve"> </w:t>
      </w:r>
      <w:r>
        <w:rPr>
          <w:rFonts w:hint="eastAsia" w:ascii="宋体" w:hAnsi="宋体" w:eastAsia="宋体" w:cs="宋体"/>
        </w:rPr>
        <w:t>公</w:t>
      </w:r>
      <w:r>
        <w:rPr>
          <w:rFonts w:hint="eastAsia" w:ascii="宋体" w:hAnsi="宋体" w:eastAsia="宋体" w:cs="宋体"/>
          <w:lang w:val="en-US" w:eastAsia="zh-CN"/>
        </w:rPr>
        <w:t xml:space="preserve"> </w:t>
      </w:r>
      <w:r>
        <w:rPr>
          <w:rFonts w:hint="eastAsia" w:ascii="宋体" w:hAnsi="宋体" w:eastAsia="宋体" w:cs="宋体"/>
        </w:rPr>
        <w:t>告</w:t>
      </w:r>
      <w:bookmarkEnd w:id="0"/>
      <w:bookmarkEnd w:id="1"/>
    </w:p>
    <w:p w14:paraId="0B1F7945">
      <w:pPr>
        <w:tabs>
          <w:tab w:val="left" w:pos="360"/>
        </w:tabs>
        <w:spacing w:line="460" w:lineRule="exact"/>
        <w:rPr>
          <w:rFonts w:hint="eastAsia" w:ascii="宋体" w:hAnsi="宋体" w:eastAsia="宋体" w:cs="宋体"/>
          <w:b/>
          <w:bCs/>
          <w:color w:val="auto"/>
          <w:sz w:val="22"/>
          <w:highlight w:val="none"/>
        </w:rPr>
      </w:pPr>
      <w:r>
        <w:rPr>
          <w:b/>
          <w:bCs/>
          <w:sz w:val="22"/>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3810</wp:posOffset>
                </wp:positionV>
                <wp:extent cx="6365875" cy="896620"/>
                <wp:effectExtent l="6350" t="6350" r="9525" b="11430"/>
                <wp:wrapNone/>
                <wp:docPr id="1" name="矩形 1"/>
                <wp:cNvGraphicFramePr/>
                <a:graphic xmlns:a="http://schemas.openxmlformats.org/drawingml/2006/main">
                  <a:graphicData uri="http://schemas.microsoft.com/office/word/2010/wordprocessingShape">
                    <wps:wsp>
                      <wps:cNvSpPr/>
                      <wps:spPr>
                        <a:xfrm>
                          <a:off x="0" y="0"/>
                          <a:ext cx="6365875" cy="896620"/>
                        </a:xfrm>
                        <a:prstGeom prst="rect">
                          <a:avLst/>
                        </a:prstGeom>
                        <a:noFill/>
                        <a:ln w="12700" cap="flat" cmpd="sng">
                          <a:solidFill>
                            <a:srgbClr val="000000"/>
                          </a:solidFill>
                          <a:prstDash val="solid"/>
                          <a:round/>
                          <a:headEnd type="none" w="med" len="med"/>
                          <a:tailEnd type="none" w="med" len="med"/>
                        </a:ln>
                      </wps:spPr>
                      <wps:bodyPr anchor="ctr" anchorCtr="0" upright="1"/>
                    </wps:wsp>
                  </a:graphicData>
                </a:graphic>
              </wp:anchor>
            </w:drawing>
          </mc:Choice>
          <mc:Fallback>
            <w:pict>
              <v:rect id="_x0000_s1026" o:spid="_x0000_s1026" o:spt="1" style="position:absolute;left:0pt;margin-left:-5pt;margin-top:0.3pt;height:70.6pt;width:501.25pt;z-index:251661312;v-text-anchor:middle;mso-width-relative:page;mso-height-relative:page;" filled="f" stroked="t" coordsize="21600,21600" o:gfxdata="UEsDBAoAAAAAAIdO4kAAAAAAAAAAAAAAAAAEAAAAZHJzL1BLAwQUAAAACACHTuJAOqv5n9gAAAAI&#10;AQAADwAAAGRycy9kb3ducmV2LnhtbE2PMU/DMBSEdyT+g/WQ2Fo7VVO1IU6HIAYEEqKwsLnxa5IS&#10;P0exk5R/z2Oi4+lOd9/l+4vrxIRDaD1pSJYKBFLlbUu1hs+Pp8UWRIiGrOk8oYYfDLAvbm9yk1k/&#10;0ztOh1gLLqGQGQ1NjH0mZagadCYsfY/E3skPzkSWQy3tYGYud51cKbWRzrTEC43psWyw+j6MTsNX&#10;epZvbTmb8fX58SWdBq/Ktdf6/i5RDyAiXuJ/GP7wGR0KZjr6kWwQnYZFovhL1LABwfZut0pBHDm3&#10;TrYgi1xeHyh+AVBLAwQUAAAACACHTuJAg0m02wUCAAARBAAADgAAAGRycy9lMm9Eb2MueG1srVNL&#10;btswEN0X6B0I7mvZLuK4huUs4qabog2Q9gA0SUkE+MMMbdmnKdBdD9HjFL1Gh5TqtMnGi2ghDcXh&#10;m3lvHtc3R2fZQQOa4Gs+m0w5014GZXxb869f7t4sOcMkvBI2eF3zk0Z+s3n9at3HlZ6HLlilgRGI&#10;x1Ufa96lFFdVhbLTTuAkRO1pswngRKIltJUC0RO6s9V8Ol1UfQAVIUiNSH+3wyYfEeESwNA0Rupt&#10;kHunfRpQQVuRiBJ2JiLflG6bRsv0uWlQJ2ZrTkxTeVMRinf5XW3WYtWCiJ2RYwvikhaecHLCeCp6&#10;htqKJNgezDMoZyQEDE2ayOCqgUhRhFjMpk+0eehE1IULSY3xLDq+HKz8dLgHZhQ5gTMvHA3897cf&#10;v35+Z7OsTR9xRSkP8R7GFVKYiR4bcPlLFNix6Hk666mPiUn6uXi7uFpeX3EmaW/5brGYF8Grx9MR&#10;MH3QwbEc1BxoXkVGcfiIiSpS6t+UXMyHO2NtmZn1rKem59dTGqUUZMSGDEChi0QGfVtwMFij8pl8&#10;GqHd3VpgB5HNUJ7MkWr8l5YLbgV2Q17ZGmwCYe9VKd5pod57xdIpkmCe7gnP3TitOLOarlWOSmYS&#10;xl6SSU1YT71kwQeJc7QL6kTjEV52gUwrE/BxcZsGE+8jmLYj6cq4ynFySiE1ujpb8d91KfJ4kz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qr+Z/YAAAACAEAAA8AAAAAAAAAAQAgAAAAIgAAAGRy&#10;cy9kb3ducmV2LnhtbFBLAQIUABQAAAAIAIdO4kCDSbTbBQIAABEEAAAOAAAAAAAAAAEAIAAAACcB&#10;AABkcnMvZTJvRG9jLnhtbFBLBQYAAAAABgAGAFkBAACeBQAAAAA=&#10;">
                <v:fill on="f" focussize="0,0"/>
                <v:stroke weight="1pt" color="#000000" joinstyle="round"/>
                <v:imagedata o:title=""/>
                <o:lock v:ext="edit" aspectratio="f"/>
              </v:rect>
            </w:pict>
          </mc:Fallback>
        </mc:AlternateContent>
      </w:r>
      <w:r>
        <w:rPr>
          <w:rFonts w:hint="eastAsia" w:ascii="宋体" w:hAnsi="宋体" w:eastAsia="宋体" w:cs="宋体"/>
          <w:b/>
          <w:bCs/>
          <w:color w:val="auto"/>
          <w:sz w:val="22"/>
          <w:highlight w:val="none"/>
        </w:rPr>
        <w:t>项目概况</w:t>
      </w:r>
    </w:p>
    <w:p w14:paraId="44F327D4">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cs="宋体"/>
          <w:color w:val="auto"/>
          <w:sz w:val="22"/>
          <w:highlight w:val="none"/>
          <w:lang w:eastAsia="zh-CN"/>
        </w:rPr>
        <w:t>育龄期女性多囊卵巢综合征课题医学检测外送服务</w:t>
      </w:r>
      <w:r>
        <w:rPr>
          <w:rFonts w:hint="eastAsia" w:ascii="宋体" w:hAnsi="宋体" w:eastAsia="宋体" w:cs="宋体"/>
          <w:color w:val="auto"/>
          <w:sz w:val="22"/>
          <w:highlight w:val="none"/>
        </w:rPr>
        <w:t>招标项目的潜在投标人应在浙江政府采购网获取（下载）招标文件，并于</w:t>
      </w:r>
      <w:r>
        <w:rPr>
          <w:rFonts w:hint="eastAsia" w:ascii="宋体" w:hAnsi="宋体" w:cs="宋体"/>
          <w:color w:val="auto"/>
          <w:sz w:val="22"/>
          <w:highlight w:val="none"/>
          <w:lang w:eastAsia="zh-CN"/>
        </w:rPr>
        <w:t>202</w:t>
      </w:r>
      <w:r>
        <w:rPr>
          <w:rFonts w:hint="eastAsia" w:ascii="宋体" w:hAnsi="宋体" w:cs="宋体"/>
          <w:color w:val="auto"/>
          <w:sz w:val="22"/>
          <w:highlight w:val="none"/>
          <w:lang w:val="en-US" w:eastAsia="zh-CN"/>
        </w:rPr>
        <w:t>5</w:t>
      </w:r>
      <w:r>
        <w:rPr>
          <w:rFonts w:hint="eastAsia" w:ascii="宋体" w:hAnsi="宋体" w:cs="宋体"/>
          <w:color w:val="auto"/>
          <w:sz w:val="22"/>
          <w:highlight w:val="none"/>
          <w:lang w:eastAsia="zh-CN"/>
        </w:rPr>
        <w:t>年</w:t>
      </w: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rPr>
        <w:t>月</w:t>
      </w:r>
      <w:r>
        <w:rPr>
          <w:rFonts w:hint="eastAsia" w:ascii="宋体" w:hAnsi="宋体" w:cs="宋体"/>
          <w:color w:val="auto"/>
          <w:sz w:val="22"/>
          <w:highlight w:val="none"/>
          <w:lang w:val="en-US" w:eastAsia="zh-CN"/>
        </w:rPr>
        <w:t>21</w:t>
      </w:r>
      <w:r>
        <w:rPr>
          <w:rFonts w:hint="eastAsia" w:ascii="宋体" w:hAnsi="宋体" w:eastAsia="宋体" w:cs="宋体"/>
          <w:color w:val="auto"/>
          <w:sz w:val="22"/>
          <w:highlight w:val="none"/>
        </w:rPr>
        <w:t>日</w:t>
      </w:r>
      <w:r>
        <w:rPr>
          <w:rFonts w:hint="eastAsia" w:ascii="宋体" w:hAnsi="宋体" w:cs="宋体"/>
          <w:color w:val="auto"/>
          <w:sz w:val="22"/>
          <w:highlight w:val="none"/>
          <w:lang w:val="en-US" w:eastAsia="zh-CN"/>
        </w:rPr>
        <w:t>09点30分</w:t>
      </w:r>
      <w:r>
        <w:rPr>
          <w:rFonts w:hint="eastAsia" w:ascii="宋体" w:hAnsi="宋体" w:eastAsia="宋体" w:cs="宋体"/>
          <w:color w:val="auto"/>
          <w:sz w:val="22"/>
          <w:highlight w:val="none"/>
        </w:rPr>
        <w:t> （北京时间）前递交（上传）投标文件。</w:t>
      </w:r>
    </w:p>
    <w:p w14:paraId="286DB255">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sz w:val="22"/>
          <w:szCs w:val="22"/>
          <w:u w:val="none"/>
          <w:lang w:val="en-US" w:eastAsia="zh-CN"/>
        </w:rPr>
      </w:pPr>
      <w:r>
        <w:rPr>
          <w:rFonts w:hint="eastAsia"/>
          <w:b/>
          <w:bCs/>
          <w:sz w:val="22"/>
          <w:szCs w:val="22"/>
          <w:u w:val="none"/>
        </w:rPr>
        <w:t>一、项目基本情况</w:t>
      </w:r>
      <w:r>
        <w:rPr>
          <w:rFonts w:hint="eastAsia"/>
          <w:sz w:val="22"/>
          <w:szCs w:val="22"/>
          <w:u w:val="none"/>
          <w:lang w:val="en-US" w:eastAsia="zh-CN"/>
        </w:rPr>
        <w:t>                                           </w:t>
      </w:r>
    </w:p>
    <w:p w14:paraId="7BA8E07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lang w:val="en-US" w:eastAsia="zh-CN"/>
        </w:rPr>
      </w:pPr>
      <w:r>
        <w:rPr>
          <w:rFonts w:hint="eastAsia"/>
          <w:sz w:val="22"/>
          <w:szCs w:val="22"/>
          <w:u w:val="none"/>
          <w:lang w:val="en-US" w:eastAsia="zh-CN"/>
        </w:rPr>
        <w:t>项目编号：</w:t>
      </w:r>
      <w:r>
        <w:rPr>
          <w:rFonts w:hint="eastAsia"/>
          <w:sz w:val="22"/>
          <w:szCs w:val="22"/>
          <w:u w:val="none"/>
          <w:lang w:eastAsia="zh-CN"/>
        </w:rPr>
        <w:t>WZLCZB（W）-2025-04145</w:t>
      </w:r>
      <w:r>
        <w:rPr>
          <w:rFonts w:hint="eastAsia"/>
          <w:sz w:val="22"/>
          <w:szCs w:val="22"/>
          <w:u w:val="none"/>
          <w:lang w:val="en-US" w:eastAsia="zh-CN"/>
        </w:rPr>
        <w:t> </w:t>
      </w:r>
    </w:p>
    <w:p w14:paraId="1A88E77D">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lang w:val="en-US" w:eastAsia="zh-CN"/>
        </w:rPr>
      </w:pPr>
      <w:r>
        <w:rPr>
          <w:rFonts w:hint="eastAsia"/>
          <w:sz w:val="22"/>
          <w:szCs w:val="22"/>
          <w:u w:val="none"/>
          <w:lang w:val="en-US" w:eastAsia="zh-CN"/>
        </w:rPr>
        <w:t>项目名称：</w:t>
      </w:r>
      <w:r>
        <w:rPr>
          <w:rFonts w:hint="eastAsia"/>
          <w:sz w:val="22"/>
          <w:szCs w:val="22"/>
          <w:u w:val="none"/>
          <w:lang w:eastAsia="zh-CN"/>
        </w:rPr>
        <w:t>育龄期女性多囊卵巢综合征课题医学检测外送服务</w:t>
      </w:r>
    </w:p>
    <w:p w14:paraId="5AC11AD5">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highlight w:val="none"/>
          <w:u w:val="none"/>
          <w:lang w:val="en-US" w:eastAsia="zh-CN"/>
        </w:rPr>
      </w:pPr>
      <w:r>
        <w:rPr>
          <w:rFonts w:hint="eastAsia" w:ascii="新宋体" w:hAnsi="新宋体" w:eastAsia="新宋体" w:cs="新宋体"/>
          <w:color w:val="auto"/>
          <w:sz w:val="22"/>
          <w:highlight w:val="none"/>
        </w:rPr>
        <w:t>采购需求：</w:t>
      </w:r>
    </w:p>
    <w:tbl>
      <w:tblPr>
        <w:tblStyle w:val="52"/>
        <w:tblW w:w="9258"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43"/>
        <w:gridCol w:w="1140"/>
        <w:gridCol w:w="1500"/>
        <w:gridCol w:w="3087"/>
      </w:tblGrid>
      <w:tr w14:paraId="42AD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8" w:type="dxa"/>
            <w:vAlign w:val="center"/>
          </w:tcPr>
          <w:p w14:paraId="7846E8C3">
            <w:pPr>
              <w:tabs>
                <w:tab w:val="left" w:pos="360"/>
              </w:tabs>
              <w:spacing w:line="460" w:lineRule="exact"/>
              <w:jc w:val="center"/>
              <w:rPr>
                <w:rFonts w:hint="eastAsia" w:ascii="新宋体" w:hAnsi="新宋体" w:eastAsia="新宋体" w:cs="新宋体"/>
                <w:b/>
                <w:color w:val="auto"/>
                <w:sz w:val="22"/>
                <w:szCs w:val="22"/>
              </w:rPr>
            </w:pPr>
            <w:r>
              <w:rPr>
                <w:rFonts w:hint="eastAsia" w:ascii="新宋体" w:hAnsi="新宋体" w:eastAsia="新宋体" w:cs="新宋体"/>
                <w:b/>
                <w:color w:val="auto"/>
                <w:sz w:val="22"/>
                <w:szCs w:val="22"/>
              </w:rPr>
              <w:t>标项</w:t>
            </w:r>
          </w:p>
        </w:tc>
        <w:tc>
          <w:tcPr>
            <w:tcW w:w="2843" w:type="dxa"/>
            <w:vAlign w:val="center"/>
          </w:tcPr>
          <w:p w14:paraId="35C68972">
            <w:pPr>
              <w:tabs>
                <w:tab w:val="left" w:pos="360"/>
              </w:tabs>
              <w:spacing w:line="460" w:lineRule="exact"/>
              <w:jc w:val="center"/>
              <w:rPr>
                <w:rFonts w:hint="eastAsia" w:ascii="新宋体" w:hAnsi="新宋体" w:eastAsia="新宋体" w:cs="新宋体"/>
                <w:b/>
                <w:bCs w:val="0"/>
                <w:color w:val="auto"/>
                <w:sz w:val="22"/>
                <w:szCs w:val="22"/>
              </w:rPr>
            </w:pPr>
            <w:r>
              <w:rPr>
                <w:rFonts w:hint="eastAsia" w:ascii="新宋体" w:hAnsi="新宋体" w:eastAsia="新宋体" w:cs="新宋体"/>
                <w:b/>
                <w:bCs w:val="0"/>
                <w:color w:val="auto"/>
                <w:sz w:val="22"/>
                <w:szCs w:val="22"/>
              </w:rPr>
              <w:t>名称</w:t>
            </w:r>
          </w:p>
        </w:tc>
        <w:tc>
          <w:tcPr>
            <w:tcW w:w="1140" w:type="dxa"/>
            <w:vAlign w:val="center"/>
          </w:tcPr>
          <w:p w14:paraId="52DB772A">
            <w:pPr>
              <w:tabs>
                <w:tab w:val="left" w:pos="360"/>
              </w:tabs>
              <w:spacing w:line="460" w:lineRule="exact"/>
              <w:jc w:val="center"/>
              <w:rPr>
                <w:rFonts w:hint="eastAsia" w:ascii="新宋体" w:hAnsi="新宋体" w:eastAsia="新宋体" w:cs="新宋体"/>
                <w:b/>
                <w:bCs w:val="0"/>
                <w:color w:val="auto"/>
                <w:sz w:val="22"/>
                <w:szCs w:val="22"/>
              </w:rPr>
            </w:pPr>
            <w:r>
              <w:rPr>
                <w:rFonts w:hint="eastAsia" w:ascii="宋体" w:hAnsi="宋体" w:cs="宋体"/>
                <w:b/>
                <w:bCs w:val="0"/>
                <w:color w:val="auto"/>
                <w:sz w:val="22"/>
                <w:szCs w:val="22"/>
                <w:highlight w:val="none"/>
                <w:lang w:val="en-US" w:eastAsia="zh-CN"/>
              </w:rPr>
              <w:t>服务期</w:t>
            </w:r>
          </w:p>
        </w:tc>
        <w:tc>
          <w:tcPr>
            <w:tcW w:w="1500" w:type="dxa"/>
            <w:vAlign w:val="center"/>
          </w:tcPr>
          <w:p w14:paraId="74DEA45C">
            <w:pPr>
              <w:tabs>
                <w:tab w:val="left" w:pos="360"/>
              </w:tabs>
              <w:spacing w:line="460" w:lineRule="exact"/>
              <w:jc w:val="center"/>
              <w:rPr>
                <w:rFonts w:hint="eastAsia" w:ascii="新宋体" w:hAnsi="新宋体" w:eastAsia="新宋体" w:cs="新宋体"/>
                <w:b/>
                <w:bCs w:val="0"/>
                <w:color w:val="auto"/>
                <w:sz w:val="22"/>
                <w:szCs w:val="22"/>
              </w:rPr>
            </w:pPr>
            <w:r>
              <w:rPr>
                <w:rFonts w:hint="eastAsia" w:ascii="宋体" w:hAnsi="宋体" w:cs="宋体"/>
                <w:b/>
                <w:bCs w:val="0"/>
                <w:color w:val="auto"/>
                <w:sz w:val="22"/>
                <w:highlight w:val="none"/>
              </w:rPr>
              <w:t>预算金额</w:t>
            </w:r>
          </w:p>
        </w:tc>
        <w:tc>
          <w:tcPr>
            <w:tcW w:w="3087" w:type="dxa"/>
            <w:vAlign w:val="center"/>
          </w:tcPr>
          <w:p w14:paraId="312EDC8C">
            <w:pPr>
              <w:tabs>
                <w:tab w:val="left" w:pos="360"/>
              </w:tabs>
              <w:spacing w:line="460" w:lineRule="exact"/>
              <w:jc w:val="center"/>
              <w:rPr>
                <w:rFonts w:hint="eastAsia" w:ascii="新宋体" w:hAnsi="新宋体" w:eastAsia="新宋体" w:cs="新宋体"/>
                <w:b/>
                <w:bCs w:val="0"/>
                <w:color w:val="auto"/>
                <w:sz w:val="22"/>
                <w:szCs w:val="22"/>
              </w:rPr>
            </w:pPr>
            <w:r>
              <w:rPr>
                <w:rFonts w:hint="eastAsia" w:ascii="新宋体" w:hAnsi="新宋体" w:eastAsia="新宋体" w:cs="新宋体"/>
                <w:b/>
                <w:bCs w:val="0"/>
                <w:color w:val="auto"/>
                <w:sz w:val="22"/>
                <w:szCs w:val="22"/>
              </w:rPr>
              <w:t>简要技术要求、用途</w:t>
            </w:r>
          </w:p>
        </w:tc>
      </w:tr>
      <w:tr w14:paraId="4C23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88" w:type="dxa"/>
            <w:vAlign w:val="center"/>
          </w:tcPr>
          <w:p w14:paraId="7F775FD6">
            <w:pPr>
              <w:tabs>
                <w:tab w:val="left" w:pos="360"/>
              </w:tabs>
              <w:spacing w:line="460" w:lineRule="exact"/>
              <w:jc w:val="center"/>
              <w:rPr>
                <w:rFonts w:ascii="新宋体" w:hAnsi="新宋体" w:eastAsia="新宋体" w:cs="新宋体"/>
                <w:bCs/>
                <w:color w:val="auto"/>
                <w:sz w:val="22"/>
                <w:szCs w:val="22"/>
              </w:rPr>
            </w:pPr>
            <w:r>
              <w:rPr>
                <w:rFonts w:hint="eastAsia" w:ascii="新宋体" w:hAnsi="新宋体" w:eastAsia="新宋体" w:cs="新宋体"/>
                <w:bCs/>
                <w:color w:val="auto"/>
                <w:sz w:val="22"/>
                <w:szCs w:val="22"/>
              </w:rPr>
              <w:t>1</w:t>
            </w:r>
          </w:p>
        </w:tc>
        <w:tc>
          <w:tcPr>
            <w:tcW w:w="2843" w:type="dxa"/>
            <w:vAlign w:val="center"/>
          </w:tcPr>
          <w:p w14:paraId="5EC715AD">
            <w:pPr>
              <w:spacing w:line="460" w:lineRule="exact"/>
              <w:jc w:val="center"/>
              <w:rPr>
                <w:rFonts w:ascii="宋体" w:hAnsi="宋体" w:cs="宋体"/>
                <w:color w:val="auto"/>
                <w:kern w:val="0"/>
                <w:sz w:val="22"/>
                <w:szCs w:val="22"/>
              </w:rPr>
            </w:pPr>
            <w:r>
              <w:rPr>
                <w:rFonts w:hint="eastAsia"/>
                <w:color w:val="auto"/>
                <w:sz w:val="22"/>
                <w:szCs w:val="22"/>
                <w:highlight w:val="none"/>
                <w:lang w:eastAsia="zh-CN"/>
              </w:rPr>
              <w:t>育龄期女性多囊卵巢综合征课题医学检测外送服务</w:t>
            </w:r>
          </w:p>
        </w:tc>
        <w:tc>
          <w:tcPr>
            <w:tcW w:w="1140" w:type="dxa"/>
            <w:vAlign w:val="center"/>
          </w:tcPr>
          <w:p w14:paraId="6C13E5A8">
            <w:pPr>
              <w:tabs>
                <w:tab w:val="left" w:pos="360"/>
              </w:tabs>
              <w:spacing w:line="460" w:lineRule="exact"/>
              <w:jc w:val="center"/>
              <w:rPr>
                <w:rFonts w:hint="default" w:ascii="新宋体" w:hAnsi="新宋体" w:eastAsia="新宋体" w:cs="新宋体"/>
                <w:b w:val="0"/>
                <w:bCs/>
                <w:color w:val="auto"/>
                <w:sz w:val="22"/>
                <w:szCs w:val="22"/>
                <w:lang w:val="en-US" w:eastAsia="zh-CN"/>
              </w:rPr>
            </w:pPr>
            <w:r>
              <w:rPr>
                <w:rFonts w:hint="eastAsia" w:ascii="宋体" w:hAnsi="宋体" w:cs="宋体"/>
                <w:color w:val="auto"/>
                <w:sz w:val="22"/>
                <w:szCs w:val="22"/>
                <w:highlight w:val="none"/>
                <w:shd w:val="clear" w:color="auto" w:fill="FFFFFF"/>
                <w:lang w:val="en-US" w:eastAsia="zh-CN"/>
              </w:rPr>
              <w:t>2年</w:t>
            </w:r>
          </w:p>
        </w:tc>
        <w:tc>
          <w:tcPr>
            <w:tcW w:w="1500" w:type="dxa"/>
            <w:vAlign w:val="center"/>
          </w:tcPr>
          <w:p w14:paraId="116AA951">
            <w:pPr>
              <w:tabs>
                <w:tab w:val="left" w:pos="360"/>
              </w:tabs>
              <w:spacing w:line="460" w:lineRule="exact"/>
              <w:jc w:val="center"/>
              <w:rPr>
                <w:rFonts w:ascii="新宋体" w:hAnsi="新宋体" w:eastAsia="新宋体"/>
                <w:b w:val="0"/>
                <w:bCs/>
                <w:color w:val="auto"/>
                <w:kern w:val="2"/>
                <w:sz w:val="22"/>
                <w:szCs w:val="22"/>
              </w:rPr>
            </w:pPr>
            <w:r>
              <w:rPr>
                <w:rFonts w:hint="eastAsia" w:ascii="宋体" w:hAnsi="宋体" w:cs="宋体"/>
                <w:color w:val="auto"/>
                <w:sz w:val="22"/>
                <w:szCs w:val="22"/>
                <w:highlight w:val="none"/>
                <w:shd w:val="clear" w:color="auto" w:fill="FFFFFF"/>
                <w:lang w:val="en-US" w:eastAsia="zh-CN"/>
              </w:rPr>
              <w:t>3000</w:t>
            </w:r>
            <w:r>
              <w:rPr>
                <w:rFonts w:hint="eastAsia" w:ascii="宋体" w:hAnsi="宋体" w:cs="宋体"/>
                <w:color w:val="auto"/>
                <w:sz w:val="22"/>
                <w:szCs w:val="22"/>
                <w:highlight w:val="none"/>
                <w:shd w:val="clear" w:color="auto" w:fill="FFFFFF"/>
              </w:rPr>
              <w:t>000</w:t>
            </w:r>
            <w:r>
              <w:rPr>
                <w:rFonts w:hint="eastAsia" w:ascii="宋体" w:hAnsi="宋体" w:cs="宋体"/>
                <w:color w:val="auto"/>
                <w:sz w:val="22"/>
                <w:highlight w:val="none"/>
              </w:rPr>
              <w:t>元</w:t>
            </w:r>
          </w:p>
        </w:tc>
        <w:tc>
          <w:tcPr>
            <w:tcW w:w="3087" w:type="dxa"/>
            <w:vAlign w:val="center"/>
          </w:tcPr>
          <w:p w14:paraId="5A2E609C">
            <w:pPr>
              <w:pStyle w:val="48"/>
              <w:spacing w:before="0" w:beforeAutospacing="0" w:after="0" w:afterAutospacing="0" w:line="460" w:lineRule="exact"/>
              <w:jc w:val="center"/>
              <w:rPr>
                <w:rFonts w:ascii="新宋体" w:hAnsi="新宋体" w:eastAsia="新宋体" w:cs="新宋体"/>
                <w:bCs/>
                <w:color w:val="auto"/>
                <w:sz w:val="22"/>
                <w:szCs w:val="22"/>
              </w:rPr>
            </w:pPr>
            <w:r>
              <w:rPr>
                <w:rFonts w:hint="eastAsia"/>
                <w:color w:val="auto"/>
                <w:sz w:val="22"/>
                <w:szCs w:val="22"/>
              </w:rPr>
              <w:t>详见招标文件第四部分“项目技术规范和服务要求”</w:t>
            </w:r>
          </w:p>
        </w:tc>
      </w:tr>
    </w:tbl>
    <w:p w14:paraId="08C118FB">
      <w:pPr>
        <w:pStyle w:val="48"/>
        <w:spacing w:before="0" w:beforeAutospacing="0" w:after="0" w:afterAutospacing="0" w:line="460" w:lineRule="exact"/>
        <w:ind w:firstLine="440" w:firstLineChars="200"/>
        <w:rPr>
          <w:color w:val="auto"/>
          <w:sz w:val="22"/>
          <w:szCs w:val="22"/>
        </w:rPr>
      </w:pPr>
      <w:r>
        <w:rPr>
          <w:rFonts w:hint="eastAsia"/>
          <w:color w:val="auto"/>
          <w:sz w:val="22"/>
          <w:szCs w:val="22"/>
        </w:rPr>
        <w:t>合同履约期限：标项 1，具体详见招标文件</w:t>
      </w:r>
    </w:p>
    <w:p w14:paraId="3D81C251">
      <w:pPr>
        <w:pStyle w:val="48"/>
        <w:spacing w:before="0" w:beforeAutospacing="0" w:after="0" w:afterAutospacing="0" w:line="460" w:lineRule="exact"/>
        <w:ind w:firstLine="440" w:firstLineChars="200"/>
        <w:rPr>
          <w:color w:val="auto"/>
          <w:sz w:val="22"/>
          <w:szCs w:val="22"/>
          <w:highlight w:val="none"/>
        </w:rPr>
      </w:pPr>
      <w:r>
        <w:rPr>
          <w:rFonts w:hint="eastAsia"/>
          <w:color w:val="auto"/>
          <w:sz w:val="22"/>
          <w:szCs w:val="22"/>
        </w:rPr>
        <w:t>本项目接受联合体投标。</w:t>
      </w:r>
    </w:p>
    <w:p w14:paraId="45A8CD6D">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sz w:val="22"/>
          <w:szCs w:val="22"/>
          <w:u w:val="none"/>
          <w:lang w:val="en-US" w:eastAsia="zh-CN"/>
        </w:rPr>
      </w:pPr>
      <w:r>
        <w:rPr>
          <w:rFonts w:hint="eastAsia"/>
          <w:b/>
          <w:bCs/>
          <w:sz w:val="22"/>
          <w:szCs w:val="22"/>
          <w:u w:val="none"/>
          <w:lang w:val="en-US" w:eastAsia="zh-CN"/>
        </w:rPr>
        <w:t>二、申请人的资格要求：</w:t>
      </w:r>
    </w:p>
    <w:p w14:paraId="3B41159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lang w:val="en-US" w:eastAsia="zh-CN"/>
        </w:rPr>
      </w:pPr>
      <w:r>
        <w:rPr>
          <w:rFonts w:hint="eastAsia"/>
          <w:sz w:val="22"/>
          <w:szCs w:val="22"/>
          <w:u w:val="none"/>
          <w:lang w:val="en-US" w:eastAsia="zh-CN"/>
        </w:rPr>
        <w:t>1.满足《中华人民共和国政府采购法》第二十二条规定；未被“信用中国”（www.creditchina.gov.cn)、中国政府采购网（www.ccgp.gov.cn）</w:t>
      </w:r>
      <w:r>
        <w:rPr>
          <w:rFonts w:hint="eastAsia"/>
          <w:color w:val="auto"/>
          <w:sz w:val="22"/>
          <w:szCs w:val="22"/>
          <w:highlight w:val="none"/>
        </w:rPr>
        <w:t>等有关政府曝光台列入失信被执行人、重大税收违法案件当事人名单、政府采购严重违法失信行为记录名单。</w:t>
      </w:r>
    </w:p>
    <w:p w14:paraId="069A7DBC">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lang w:val="en-US" w:eastAsia="zh-CN"/>
        </w:rPr>
      </w:pPr>
      <w:r>
        <w:rPr>
          <w:rFonts w:hint="eastAsia"/>
          <w:sz w:val="22"/>
          <w:szCs w:val="22"/>
          <w:u w:val="none"/>
          <w:lang w:val="en-US" w:eastAsia="zh-CN"/>
        </w:rPr>
        <w:t>2.落实政府采购政策需满足的资格要求：标项1：供应商为中小企业，服务全部由符合政策要求的中小企业承接，提供中小企业声明函。 </w:t>
      </w:r>
    </w:p>
    <w:p w14:paraId="109B239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lang w:val="en-US" w:eastAsia="zh-CN"/>
        </w:rPr>
      </w:pPr>
      <w:r>
        <w:rPr>
          <w:rFonts w:hint="eastAsia"/>
          <w:sz w:val="22"/>
          <w:szCs w:val="22"/>
          <w:u w:val="none"/>
          <w:lang w:val="en-US" w:eastAsia="zh-CN"/>
        </w:rPr>
        <w:t>3.本项目的特定资格要求：投标人须具有医疗机构执业许可证。  </w:t>
      </w:r>
    </w:p>
    <w:p w14:paraId="66311EF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sz w:val="22"/>
          <w:szCs w:val="22"/>
          <w:u w:val="none"/>
        </w:rPr>
      </w:pPr>
      <w:r>
        <w:rPr>
          <w:rFonts w:hint="eastAsia"/>
          <w:b/>
          <w:bCs/>
          <w:sz w:val="22"/>
          <w:szCs w:val="22"/>
          <w:u w:val="none"/>
        </w:rPr>
        <w:t>三、获取招标文件 </w:t>
      </w:r>
    </w:p>
    <w:p w14:paraId="243B6C3A">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rPr>
      </w:pPr>
      <w:r>
        <w:rPr>
          <w:rFonts w:hint="eastAsia"/>
          <w:sz w:val="22"/>
          <w:szCs w:val="22"/>
          <w:u w:val="none"/>
        </w:rPr>
        <w:t>时间：</w:t>
      </w:r>
      <w:r>
        <w:rPr>
          <w:rFonts w:hint="eastAsia"/>
          <w:sz w:val="22"/>
          <w:szCs w:val="22"/>
          <w:u w:val="none"/>
          <w:lang w:val="en-US" w:eastAsia="zh-CN"/>
        </w:rPr>
        <w:t>2025年4月30日</w:t>
      </w:r>
      <w:r>
        <w:rPr>
          <w:rFonts w:hint="eastAsia"/>
          <w:sz w:val="22"/>
          <w:szCs w:val="22"/>
          <w:u w:val="none"/>
        </w:rPr>
        <w:t>至</w:t>
      </w:r>
      <w:r>
        <w:rPr>
          <w:rFonts w:hint="eastAsia"/>
          <w:sz w:val="22"/>
          <w:szCs w:val="22"/>
          <w:u w:val="none"/>
          <w:lang w:eastAsia="zh-CN"/>
        </w:rPr>
        <w:t>202</w:t>
      </w:r>
      <w:r>
        <w:rPr>
          <w:rFonts w:hint="eastAsia"/>
          <w:sz w:val="22"/>
          <w:szCs w:val="22"/>
          <w:u w:val="none"/>
          <w:lang w:val="en-US" w:eastAsia="zh-CN"/>
        </w:rPr>
        <w:t>5</w:t>
      </w:r>
      <w:r>
        <w:rPr>
          <w:rFonts w:hint="eastAsia"/>
          <w:sz w:val="22"/>
          <w:szCs w:val="22"/>
          <w:u w:val="none"/>
          <w:lang w:eastAsia="zh-CN"/>
        </w:rPr>
        <w:t>年</w:t>
      </w:r>
      <w:r>
        <w:rPr>
          <w:rFonts w:hint="eastAsia"/>
          <w:sz w:val="22"/>
          <w:szCs w:val="22"/>
          <w:u w:val="none"/>
          <w:lang w:val="en-US" w:eastAsia="zh-CN"/>
        </w:rPr>
        <w:t>5</w:t>
      </w:r>
      <w:r>
        <w:rPr>
          <w:rFonts w:hint="eastAsia"/>
          <w:sz w:val="22"/>
          <w:szCs w:val="22"/>
          <w:u w:val="none"/>
        </w:rPr>
        <w:t>月</w:t>
      </w:r>
      <w:r>
        <w:rPr>
          <w:rFonts w:hint="eastAsia"/>
          <w:sz w:val="22"/>
          <w:szCs w:val="22"/>
          <w:u w:val="none"/>
          <w:lang w:val="en-US" w:eastAsia="zh-CN"/>
        </w:rPr>
        <w:t>21</w:t>
      </w:r>
      <w:r>
        <w:rPr>
          <w:rFonts w:hint="eastAsia"/>
          <w:sz w:val="22"/>
          <w:szCs w:val="22"/>
          <w:u w:val="none"/>
        </w:rPr>
        <w:t>日，每天上午00:00至12:00，下午12:00至23:59（北京时间，线上获取法定节假日均可，线下获取文件法定节假日除外）</w:t>
      </w:r>
    </w:p>
    <w:p w14:paraId="1B31465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rPr>
      </w:pPr>
      <w:r>
        <w:rPr>
          <w:rFonts w:hint="eastAsia"/>
          <w:sz w:val="22"/>
          <w:szCs w:val="22"/>
          <w:u w:val="none"/>
        </w:rPr>
        <w:t>地点（网址）：浙江政府采购网（https://zfcg.czt.zj.gov.cn/） </w:t>
      </w:r>
    </w:p>
    <w:p w14:paraId="10108A35">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rPr>
      </w:pPr>
      <w:r>
        <w:rPr>
          <w:rFonts w:hint="eastAsia"/>
          <w:sz w:val="22"/>
          <w:szCs w:val="22"/>
          <w:u w:val="none"/>
        </w:rPr>
        <w:t>方式：供应商登录政采云平台https://www.zcygov.cn/在线申请获取采购文件（进入“项目采购”应用，在获取采购文件菜单中选择项目，申请获取采购文件）</w:t>
      </w:r>
    </w:p>
    <w:p w14:paraId="139B8FB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rPr>
      </w:pPr>
      <w:r>
        <w:rPr>
          <w:rFonts w:hint="eastAsia"/>
          <w:sz w:val="22"/>
          <w:szCs w:val="22"/>
          <w:u w:val="none"/>
        </w:rPr>
        <w:t>售价（元）：0 </w:t>
      </w:r>
    </w:p>
    <w:p w14:paraId="333F42C4">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sz w:val="22"/>
          <w:szCs w:val="22"/>
          <w:u w:val="none"/>
        </w:rPr>
      </w:pPr>
      <w:r>
        <w:rPr>
          <w:rFonts w:hint="eastAsia"/>
          <w:b/>
          <w:bCs/>
          <w:sz w:val="22"/>
          <w:szCs w:val="22"/>
          <w:u w:val="none"/>
        </w:rPr>
        <w:t>四、提交投标文件截止时间、开标时间和地点</w:t>
      </w:r>
    </w:p>
    <w:p w14:paraId="1312A22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rPr>
      </w:pPr>
      <w:r>
        <w:rPr>
          <w:rFonts w:hint="eastAsia"/>
          <w:color w:val="auto"/>
          <w:sz w:val="22"/>
          <w:szCs w:val="22"/>
          <w:u w:val="none"/>
        </w:rPr>
        <w:t>提交投标文件截止时间：</w:t>
      </w:r>
      <w:r>
        <w:rPr>
          <w:rFonts w:hint="eastAsia"/>
          <w:color w:val="auto"/>
          <w:sz w:val="22"/>
          <w:szCs w:val="22"/>
          <w:u w:val="none"/>
          <w:lang w:eastAsia="zh-CN"/>
        </w:rPr>
        <w:t>202</w:t>
      </w:r>
      <w:r>
        <w:rPr>
          <w:rFonts w:hint="eastAsia"/>
          <w:color w:val="auto"/>
          <w:sz w:val="22"/>
          <w:szCs w:val="22"/>
          <w:u w:val="none"/>
          <w:lang w:val="en-US" w:eastAsia="zh-CN"/>
        </w:rPr>
        <w:t>5</w:t>
      </w:r>
      <w:r>
        <w:rPr>
          <w:rFonts w:hint="eastAsia"/>
          <w:color w:val="auto"/>
          <w:sz w:val="22"/>
          <w:szCs w:val="22"/>
          <w:u w:val="none"/>
          <w:lang w:eastAsia="zh-CN"/>
        </w:rPr>
        <w:t>年</w:t>
      </w:r>
      <w:r>
        <w:rPr>
          <w:rFonts w:hint="eastAsia"/>
          <w:color w:val="auto"/>
          <w:sz w:val="22"/>
          <w:szCs w:val="22"/>
          <w:u w:val="none"/>
          <w:lang w:val="en-US" w:eastAsia="zh-CN"/>
        </w:rPr>
        <w:t>5</w:t>
      </w:r>
      <w:r>
        <w:rPr>
          <w:rFonts w:hint="eastAsia"/>
          <w:color w:val="auto"/>
          <w:sz w:val="22"/>
          <w:szCs w:val="22"/>
          <w:u w:val="none"/>
        </w:rPr>
        <w:t>月</w:t>
      </w:r>
      <w:r>
        <w:rPr>
          <w:rFonts w:hint="eastAsia"/>
          <w:color w:val="auto"/>
          <w:sz w:val="22"/>
          <w:szCs w:val="22"/>
          <w:u w:val="none"/>
          <w:lang w:val="en-US" w:eastAsia="zh-CN"/>
        </w:rPr>
        <w:t>21</w:t>
      </w:r>
      <w:r>
        <w:rPr>
          <w:rFonts w:hint="eastAsia"/>
          <w:color w:val="auto"/>
          <w:sz w:val="22"/>
          <w:szCs w:val="22"/>
          <w:u w:val="none"/>
        </w:rPr>
        <w:t>日</w:t>
      </w:r>
      <w:r>
        <w:rPr>
          <w:rFonts w:hint="eastAsia"/>
          <w:color w:val="auto"/>
          <w:sz w:val="22"/>
          <w:szCs w:val="22"/>
          <w:u w:val="none"/>
          <w:lang w:val="en-US" w:eastAsia="zh-CN"/>
        </w:rPr>
        <w:t>09</w:t>
      </w:r>
      <w:r>
        <w:rPr>
          <w:rFonts w:hint="eastAsia"/>
          <w:color w:val="auto"/>
          <w:sz w:val="22"/>
          <w:szCs w:val="22"/>
          <w:u w:val="none"/>
        </w:rPr>
        <w:t>点</w:t>
      </w:r>
      <w:r>
        <w:rPr>
          <w:rFonts w:hint="eastAsia"/>
          <w:color w:val="auto"/>
          <w:sz w:val="22"/>
          <w:szCs w:val="22"/>
          <w:u w:val="none"/>
          <w:lang w:val="en-US" w:eastAsia="zh-CN"/>
        </w:rPr>
        <w:t>30</w:t>
      </w:r>
      <w:r>
        <w:rPr>
          <w:rFonts w:hint="eastAsia"/>
          <w:color w:val="auto"/>
          <w:sz w:val="22"/>
          <w:szCs w:val="22"/>
          <w:u w:val="none"/>
        </w:rPr>
        <w:t>分（北京时间）</w:t>
      </w:r>
    </w:p>
    <w:p w14:paraId="00EE437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rPr>
      </w:pPr>
      <w:r>
        <w:rPr>
          <w:rFonts w:hint="eastAsia"/>
          <w:color w:val="auto"/>
          <w:sz w:val="22"/>
          <w:szCs w:val="22"/>
          <w:u w:val="none"/>
        </w:rPr>
        <w:t>投标地点（网址）：</w:t>
      </w:r>
      <w:r>
        <w:rPr>
          <w:rFonts w:hint="eastAsia"/>
          <w:color w:val="auto"/>
          <w:sz w:val="22"/>
          <w:szCs w:val="22"/>
        </w:rPr>
        <w:t>温州市政务服务管理中心温州市会展路1268号A座3楼</w:t>
      </w:r>
      <w:r>
        <w:rPr>
          <w:rFonts w:hint="eastAsia" w:ascii="宋体" w:hAnsi="宋体" w:eastAsia="宋体" w:cs="宋体"/>
          <w:color w:val="auto"/>
          <w:sz w:val="22"/>
          <w:highlight w:val="none"/>
          <w:lang w:val="en-US" w:eastAsia="zh-CN"/>
        </w:rPr>
        <w:t>（政采云平台：http://zfcg.czt.zj.gov.cn）</w:t>
      </w:r>
      <w:r>
        <w:rPr>
          <w:rFonts w:hint="eastAsia"/>
          <w:color w:val="auto"/>
          <w:sz w:val="22"/>
          <w:szCs w:val="22"/>
          <w:u w:val="none"/>
        </w:rPr>
        <w:t> </w:t>
      </w:r>
    </w:p>
    <w:p w14:paraId="1F9E227D">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rPr>
      </w:pPr>
      <w:r>
        <w:rPr>
          <w:rFonts w:hint="eastAsia"/>
          <w:color w:val="auto"/>
          <w:sz w:val="22"/>
          <w:szCs w:val="22"/>
          <w:u w:val="none"/>
        </w:rPr>
        <w:t>开标时间：</w:t>
      </w:r>
      <w:r>
        <w:rPr>
          <w:rFonts w:hint="eastAsia"/>
          <w:color w:val="auto"/>
          <w:sz w:val="22"/>
          <w:szCs w:val="22"/>
          <w:u w:val="none"/>
          <w:lang w:eastAsia="zh-CN"/>
        </w:rPr>
        <w:t>202</w:t>
      </w:r>
      <w:r>
        <w:rPr>
          <w:rFonts w:hint="eastAsia"/>
          <w:color w:val="auto"/>
          <w:sz w:val="22"/>
          <w:szCs w:val="22"/>
          <w:u w:val="none"/>
          <w:lang w:val="en-US" w:eastAsia="zh-CN"/>
        </w:rPr>
        <w:t>5</w:t>
      </w:r>
      <w:r>
        <w:rPr>
          <w:rFonts w:hint="eastAsia"/>
          <w:color w:val="auto"/>
          <w:sz w:val="22"/>
          <w:szCs w:val="22"/>
          <w:u w:val="none"/>
          <w:lang w:eastAsia="zh-CN"/>
        </w:rPr>
        <w:t>年</w:t>
      </w:r>
      <w:r>
        <w:rPr>
          <w:rFonts w:hint="eastAsia"/>
          <w:color w:val="auto"/>
          <w:sz w:val="22"/>
          <w:szCs w:val="22"/>
          <w:u w:val="none"/>
          <w:lang w:val="en-US" w:eastAsia="zh-CN"/>
        </w:rPr>
        <w:t>5</w:t>
      </w:r>
      <w:r>
        <w:rPr>
          <w:rFonts w:hint="eastAsia"/>
          <w:color w:val="auto"/>
          <w:sz w:val="22"/>
          <w:szCs w:val="22"/>
          <w:u w:val="none"/>
        </w:rPr>
        <w:t>月</w:t>
      </w:r>
      <w:r>
        <w:rPr>
          <w:rFonts w:hint="eastAsia"/>
          <w:color w:val="auto"/>
          <w:sz w:val="22"/>
          <w:szCs w:val="22"/>
          <w:u w:val="none"/>
          <w:lang w:val="en-US" w:eastAsia="zh-CN"/>
        </w:rPr>
        <w:t>21</w:t>
      </w:r>
      <w:r>
        <w:rPr>
          <w:rFonts w:hint="eastAsia"/>
          <w:color w:val="auto"/>
          <w:sz w:val="22"/>
          <w:szCs w:val="22"/>
          <w:u w:val="none"/>
        </w:rPr>
        <w:t>日</w:t>
      </w:r>
      <w:r>
        <w:rPr>
          <w:rFonts w:hint="eastAsia"/>
          <w:color w:val="auto"/>
          <w:sz w:val="22"/>
          <w:szCs w:val="22"/>
          <w:u w:val="none"/>
          <w:lang w:val="en-US" w:eastAsia="zh-CN"/>
        </w:rPr>
        <w:t>09</w:t>
      </w:r>
      <w:r>
        <w:rPr>
          <w:rFonts w:hint="eastAsia"/>
          <w:color w:val="auto"/>
          <w:sz w:val="22"/>
          <w:szCs w:val="22"/>
          <w:u w:val="none"/>
        </w:rPr>
        <w:t>点</w:t>
      </w:r>
      <w:r>
        <w:rPr>
          <w:rFonts w:hint="eastAsia"/>
          <w:color w:val="auto"/>
          <w:sz w:val="22"/>
          <w:szCs w:val="22"/>
          <w:u w:val="none"/>
          <w:lang w:val="en-US" w:eastAsia="zh-CN"/>
        </w:rPr>
        <w:t>30</w:t>
      </w:r>
      <w:r>
        <w:rPr>
          <w:rFonts w:hint="eastAsia"/>
          <w:color w:val="auto"/>
          <w:sz w:val="22"/>
          <w:szCs w:val="22"/>
          <w:u w:val="none"/>
        </w:rPr>
        <w:t>分 </w:t>
      </w:r>
    </w:p>
    <w:p w14:paraId="10108A8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rPr>
      </w:pPr>
      <w:r>
        <w:rPr>
          <w:rFonts w:hint="eastAsia"/>
          <w:color w:val="auto"/>
          <w:sz w:val="22"/>
          <w:szCs w:val="22"/>
          <w:u w:val="none"/>
        </w:rPr>
        <w:t>开标地点（网址）：</w:t>
      </w:r>
      <w:r>
        <w:rPr>
          <w:rFonts w:hint="eastAsia"/>
          <w:color w:val="auto"/>
          <w:sz w:val="22"/>
          <w:szCs w:val="22"/>
        </w:rPr>
        <w:t>温州市政务服务管理中心温州市会展路1268号A座3楼</w:t>
      </w:r>
      <w:r>
        <w:rPr>
          <w:rFonts w:hint="eastAsia" w:ascii="宋体" w:hAnsi="宋体" w:eastAsia="宋体" w:cs="宋体"/>
          <w:color w:val="auto"/>
          <w:sz w:val="22"/>
          <w:highlight w:val="none"/>
          <w:lang w:val="en-US" w:eastAsia="zh-CN"/>
        </w:rPr>
        <w:t>（政采云平台：http://zfcg.czt.zj.gov.cn）</w:t>
      </w:r>
      <w:r>
        <w:rPr>
          <w:rFonts w:hint="eastAsia"/>
          <w:color w:val="auto"/>
          <w:sz w:val="22"/>
          <w:szCs w:val="22"/>
          <w:u w:val="none"/>
        </w:rPr>
        <w:t>  </w:t>
      </w:r>
    </w:p>
    <w:p w14:paraId="4A07164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sz w:val="22"/>
          <w:szCs w:val="22"/>
          <w:u w:val="none"/>
        </w:rPr>
      </w:pPr>
      <w:r>
        <w:rPr>
          <w:rFonts w:hint="eastAsia"/>
          <w:b/>
          <w:bCs/>
          <w:sz w:val="22"/>
          <w:szCs w:val="22"/>
          <w:u w:val="none"/>
        </w:rPr>
        <w:t>五、公告期限</w:t>
      </w:r>
      <w:r>
        <w:rPr>
          <w:rFonts w:hint="eastAsia"/>
          <w:sz w:val="22"/>
          <w:szCs w:val="22"/>
          <w:u w:val="none"/>
        </w:rPr>
        <w:t> </w:t>
      </w:r>
    </w:p>
    <w:p w14:paraId="59FBC584">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rPr>
      </w:pPr>
      <w:r>
        <w:rPr>
          <w:rFonts w:hint="eastAsia"/>
          <w:sz w:val="22"/>
          <w:szCs w:val="22"/>
          <w:u w:val="none"/>
        </w:rPr>
        <w:t>自本公告发布之日起5个工作日。</w:t>
      </w:r>
    </w:p>
    <w:p w14:paraId="225CF08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sz w:val="22"/>
          <w:szCs w:val="22"/>
          <w:u w:val="none"/>
        </w:rPr>
      </w:pPr>
      <w:r>
        <w:rPr>
          <w:rFonts w:hint="eastAsia"/>
          <w:b/>
          <w:bCs/>
          <w:sz w:val="22"/>
          <w:szCs w:val="22"/>
          <w:u w:val="none"/>
        </w:rPr>
        <w:t>六、其他补充事宜</w:t>
      </w:r>
    </w:p>
    <w:p w14:paraId="4FB898D2">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468737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0AE1E576">
      <w:pPr>
        <w:pStyle w:val="48"/>
        <w:spacing w:before="75" w:beforeAutospacing="0" w:after="75" w:afterAutospacing="0" w:line="460" w:lineRule="exact"/>
        <w:ind w:firstLine="435"/>
        <w:rPr>
          <w:rFonts w:hint="eastAsia" w:eastAsia="宋体"/>
          <w:sz w:val="22"/>
          <w:szCs w:val="22"/>
          <w:highlight w:val="yellow"/>
          <w:u w:val="none"/>
          <w:lang w:val="en-US" w:eastAsia="zh-CN"/>
        </w:rPr>
      </w:pPr>
      <w:r>
        <w:rPr>
          <w:rFonts w:hint="eastAsia" w:ascii="宋体" w:hAnsi="宋体" w:eastAsia="宋体" w:cs="宋体"/>
          <w:color w:val="auto"/>
          <w:sz w:val="22"/>
          <w:highlight w:val="none"/>
          <w:lang w:val="en-US" w:eastAsia="zh-CN"/>
        </w:rPr>
        <w:t>3.其他事项：（一）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二）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投标文件的传输递交：投标人在投标截止时间前将加密的投标文件上传至政府采购云平台； ⑥投标文件的解密：投标人按照平台提示和招标文件的规定在半小时内完成在线解密；⑦ 具体操作指南：详见政采云平台“服务中心-帮助文档-项目采购-操作流程-电子招投标-政府采购项目电子交易管理操作指南-供应商”：浙江省政府采购项目政采云平台学习专题https://edu.zcygov.cn/luban/e-biding。</w:t>
      </w:r>
      <w:r>
        <w:rPr>
          <w:rFonts w:hint="eastAsia" w:cs="宋体"/>
          <w:color w:val="auto"/>
          <w:sz w:val="22"/>
          <w:highlight w:val="none"/>
          <w:lang w:val="en-US" w:eastAsia="zh-CN"/>
        </w:rPr>
        <w:t>（三）招标</w:t>
      </w:r>
      <w:r>
        <w:rPr>
          <w:rFonts w:hint="eastAsia" w:ascii="新宋体" w:hAnsi="新宋体" w:eastAsia="新宋体" w:cs="新宋体"/>
          <w:sz w:val="22"/>
          <w:szCs w:val="22"/>
          <w:highlight w:val="none"/>
        </w:rPr>
        <w:t>公告附件的采购文件仅供阅览使用，未按照本公告规定的方式获取采购文件的潜在供应商提起的质疑采购组织机构将不予受理、答复。</w:t>
      </w:r>
    </w:p>
    <w:p w14:paraId="5409F3E4">
      <w:pPr>
        <w:keepNext w:val="0"/>
        <w:keepLines w:val="0"/>
        <w:pageBreakBefore w:val="0"/>
        <w:tabs>
          <w:tab w:val="left" w:pos="360"/>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七、对本次招标提出询问，请按以下方式联系</w:t>
      </w:r>
      <w:r>
        <w:rPr>
          <w:rFonts w:hint="eastAsia" w:ascii="宋体" w:hAnsi="宋体" w:eastAsia="宋体" w:cs="宋体"/>
          <w:color w:val="auto"/>
          <w:sz w:val="22"/>
          <w:szCs w:val="22"/>
          <w:highlight w:val="none"/>
        </w:rPr>
        <w:t>　　　　　　　　　　　　</w:t>
      </w:r>
    </w:p>
    <w:p w14:paraId="721E952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rPr>
      </w:pPr>
      <w:r>
        <w:rPr>
          <w:rFonts w:hint="eastAsia"/>
          <w:sz w:val="22"/>
          <w:szCs w:val="22"/>
          <w:u w:val="none"/>
        </w:rPr>
        <w:t>1.采购人信息</w:t>
      </w:r>
    </w:p>
    <w:p w14:paraId="16D49B5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eastAsia="宋体"/>
          <w:sz w:val="22"/>
          <w:szCs w:val="22"/>
          <w:u w:val="none"/>
          <w:lang w:eastAsia="zh-CN"/>
        </w:rPr>
      </w:pPr>
      <w:r>
        <w:rPr>
          <w:rFonts w:hint="eastAsia"/>
          <w:sz w:val="22"/>
          <w:szCs w:val="22"/>
          <w:u w:val="none"/>
        </w:rPr>
        <w:t>名  称：</w:t>
      </w:r>
      <w:r>
        <w:rPr>
          <w:rFonts w:hint="eastAsia"/>
          <w:sz w:val="22"/>
          <w:szCs w:val="22"/>
          <w:u w:val="none"/>
          <w:lang w:eastAsia="zh-CN"/>
        </w:rPr>
        <w:t>温州市中医院</w:t>
      </w:r>
    </w:p>
    <w:p w14:paraId="107F7700">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rPr>
      </w:pPr>
      <w:r>
        <w:rPr>
          <w:rFonts w:hint="eastAsia"/>
          <w:sz w:val="22"/>
          <w:szCs w:val="22"/>
          <w:u w:val="none"/>
        </w:rPr>
        <w:t>地  址：</w:t>
      </w:r>
      <w:r>
        <w:rPr>
          <w:rFonts w:hint="eastAsia"/>
          <w:color w:val="auto"/>
          <w:sz w:val="22"/>
          <w:szCs w:val="22"/>
          <w:highlight w:val="none"/>
          <w:shd w:val="clear" w:color="auto" w:fill="FFFFFF"/>
        </w:rPr>
        <w:t>温州市六虹桥蛟尾路9号</w:t>
      </w:r>
      <w:r>
        <w:rPr>
          <w:rFonts w:hint="eastAsia"/>
          <w:sz w:val="22"/>
          <w:szCs w:val="22"/>
          <w:u w:val="none"/>
        </w:rPr>
        <w:t xml:space="preserve">  </w:t>
      </w:r>
    </w:p>
    <w:p w14:paraId="209AD15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rPr>
      </w:pPr>
      <w:r>
        <w:rPr>
          <w:rFonts w:hint="eastAsia"/>
          <w:sz w:val="22"/>
          <w:szCs w:val="22"/>
          <w:u w:val="none"/>
        </w:rPr>
        <w:t>传  真：</w:t>
      </w:r>
      <w:r>
        <w:rPr>
          <w:rFonts w:hint="eastAsia"/>
          <w:sz w:val="22"/>
          <w:szCs w:val="22"/>
          <w:u w:val="none"/>
          <w:lang w:val="en-US" w:eastAsia="zh-CN"/>
        </w:rPr>
        <w:t>/</w:t>
      </w:r>
      <w:r>
        <w:rPr>
          <w:rFonts w:hint="eastAsia"/>
          <w:sz w:val="22"/>
          <w:szCs w:val="22"/>
          <w:u w:val="none"/>
        </w:rPr>
        <w:t>   　　</w:t>
      </w:r>
    </w:p>
    <w:p w14:paraId="5BD0F38C">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rPr>
      </w:pPr>
      <w:r>
        <w:rPr>
          <w:rFonts w:hint="eastAsia"/>
          <w:sz w:val="22"/>
          <w:szCs w:val="22"/>
          <w:u w:val="none"/>
        </w:rPr>
        <w:t>项目联系人（询问）：</w:t>
      </w:r>
      <w:r>
        <w:rPr>
          <w:rFonts w:hint="eastAsia" w:cs="宋体"/>
          <w:i w:val="0"/>
          <w:iCs w:val="0"/>
          <w:caps w:val="0"/>
          <w:color w:val="auto"/>
          <w:spacing w:val="0"/>
          <w:sz w:val="22"/>
          <w:szCs w:val="22"/>
          <w:highlight w:val="none"/>
          <w:shd w:val="clear" w:fill="FFFFFF"/>
          <w:lang w:val="en-US" w:eastAsia="zh-CN"/>
        </w:rPr>
        <w:t>秦</w:t>
      </w:r>
      <w:r>
        <w:rPr>
          <w:rFonts w:hint="eastAsia" w:ascii="宋体" w:hAnsi="宋体" w:eastAsia="宋体" w:cs="宋体"/>
          <w:i w:val="0"/>
          <w:iCs w:val="0"/>
          <w:caps w:val="0"/>
          <w:color w:val="auto"/>
          <w:spacing w:val="0"/>
          <w:sz w:val="22"/>
          <w:szCs w:val="22"/>
          <w:highlight w:val="none"/>
          <w:shd w:val="clear" w:fill="FFFFFF"/>
        </w:rPr>
        <w:t>先生</w:t>
      </w:r>
      <w:r>
        <w:rPr>
          <w:rFonts w:hint="eastAsia"/>
          <w:sz w:val="22"/>
          <w:szCs w:val="22"/>
          <w:u w:val="none"/>
        </w:rPr>
        <w:t> </w:t>
      </w:r>
    </w:p>
    <w:p w14:paraId="79D61E74">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highlight w:val="none"/>
          <w:u w:val="none"/>
        </w:rPr>
      </w:pPr>
      <w:r>
        <w:rPr>
          <w:rFonts w:hint="eastAsia"/>
          <w:sz w:val="22"/>
          <w:szCs w:val="22"/>
          <w:highlight w:val="none"/>
          <w:u w:val="none"/>
        </w:rPr>
        <w:t>项目联系方式（询问）：0577-56671591</w:t>
      </w:r>
    </w:p>
    <w:p w14:paraId="72602F9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eastAsia="宋体"/>
          <w:sz w:val="22"/>
          <w:szCs w:val="22"/>
          <w:highlight w:val="none"/>
          <w:u w:val="none"/>
          <w:lang w:val="en-US" w:eastAsia="zh-CN"/>
        </w:rPr>
      </w:pPr>
      <w:r>
        <w:rPr>
          <w:rFonts w:hint="eastAsia"/>
          <w:sz w:val="22"/>
          <w:szCs w:val="22"/>
          <w:highlight w:val="none"/>
          <w:u w:val="none"/>
        </w:rPr>
        <w:t>质疑联系人：</w:t>
      </w:r>
      <w:r>
        <w:rPr>
          <w:rFonts w:hint="eastAsia"/>
          <w:sz w:val="22"/>
          <w:szCs w:val="22"/>
          <w:highlight w:val="none"/>
          <w:u w:val="none"/>
          <w:lang w:val="en-US" w:eastAsia="zh-CN"/>
        </w:rPr>
        <w:t>李先生</w:t>
      </w:r>
    </w:p>
    <w:p w14:paraId="582E60E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sz w:val="22"/>
          <w:szCs w:val="22"/>
          <w:u w:val="none"/>
        </w:rPr>
      </w:pPr>
      <w:r>
        <w:rPr>
          <w:rFonts w:hint="eastAsia"/>
          <w:sz w:val="22"/>
          <w:szCs w:val="22"/>
          <w:highlight w:val="none"/>
          <w:u w:val="none"/>
        </w:rPr>
        <w:t>质疑联系方式：0577-56671562　</w:t>
      </w:r>
      <w:r>
        <w:rPr>
          <w:rFonts w:hint="eastAsia"/>
          <w:sz w:val="22"/>
          <w:szCs w:val="22"/>
          <w:u w:val="none"/>
        </w:rPr>
        <w:t>　　　　　　</w:t>
      </w:r>
    </w:p>
    <w:p w14:paraId="4BBDD11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auto"/>
          <w:sz w:val="22"/>
          <w:szCs w:val="22"/>
          <w:u w:val="none"/>
        </w:rPr>
      </w:pPr>
      <w:r>
        <w:rPr>
          <w:rFonts w:hint="eastAsia"/>
          <w:sz w:val="22"/>
          <w:szCs w:val="22"/>
          <w:u w:val="none"/>
        </w:rPr>
        <w:t> </w:t>
      </w:r>
      <w:r>
        <w:rPr>
          <w:rFonts w:hint="eastAsia"/>
          <w:color w:val="auto"/>
          <w:sz w:val="22"/>
          <w:szCs w:val="22"/>
          <w:u w:val="none"/>
        </w:rPr>
        <w:t> 2.采购代理机构信息</w:t>
      </w:r>
    </w:p>
    <w:p w14:paraId="7D2AB2A1">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rPr>
      </w:pPr>
      <w:r>
        <w:rPr>
          <w:rFonts w:hint="eastAsia"/>
          <w:color w:val="auto"/>
          <w:sz w:val="22"/>
          <w:szCs w:val="22"/>
          <w:u w:val="none"/>
        </w:rPr>
        <w:t>名  称：</w:t>
      </w:r>
      <w:r>
        <w:rPr>
          <w:rFonts w:hint="eastAsia"/>
          <w:color w:val="auto"/>
          <w:sz w:val="22"/>
          <w:szCs w:val="22"/>
          <w:u w:val="none"/>
          <w:lang w:val="en-US" w:eastAsia="zh-CN"/>
        </w:rPr>
        <w:t>温州历程招标有限公司</w:t>
      </w:r>
      <w:r>
        <w:rPr>
          <w:rFonts w:hint="eastAsia"/>
          <w:color w:val="auto"/>
          <w:sz w:val="22"/>
          <w:szCs w:val="22"/>
          <w:u w:val="none"/>
        </w:rPr>
        <w:t> </w:t>
      </w:r>
    </w:p>
    <w:p w14:paraId="1D07A25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rPr>
      </w:pPr>
      <w:r>
        <w:rPr>
          <w:rFonts w:hint="eastAsia"/>
          <w:color w:val="auto"/>
          <w:sz w:val="22"/>
          <w:szCs w:val="22"/>
          <w:u w:val="none"/>
        </w:rPr>
        <w:t>地  址：</w:t>
      </w:r>
      <w:r>
        <w:rPr>
          <w:rFonts w:hint="eastAsia"/>
          <w:color w:val="auto"/>
          <w:sz w:val="22"/>
          <w:szCs w:val="22"/>
          <w:lang w:eastAsia="zh-CN"/>
        </w:rPr>
        <w:t>温州市鹿城区南汇街道勤民路鹿城壹号18幢803室</w:t>
      </w:r>
    </w:p>
    <w:p w14:paraId="5E4357B2">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rPr>
      </w:pPr>
      <w:r>
        <w:rPr>
          <w:rFonts w:hint="eastAsia"/>
          <w:color w:val="auto"/>
          <w:sz w:val="22"/>
          <w:szCs w:val="22"/>
          <w:u w:val="none"/>
        </w:rPr>
        <w:t xml:space="preserve">传  真：0577-89887255   </w:t>
      </w:r>
    </w:p>
    <w:p w14:paraId="10C2EEB9">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rPr>
      </w:pPr>
      <w:r>
        <w:rPr>
          <w:rFonts w:hint="eastAsia"/>
          <w:color w:val="auto"/>
          <w:sz w:val="22"/>
          <w:szCs w:val="22"/>
          <w:u w:val="none"/>
        </w:rPr>
        <w:t xml:space="preserve">项目联系人（询问）： </w:t>
      </w:r>
      <w:r>
        <w:rPr>
          <w:rFonts w:hint="eastAsia"/>
          <w:color w:val="auto"/>
          <w:sz w:val="22"/>
          <w:szCs w:val="22"/>
          <w:u w:val="none"/>
          <w:lang w:val="en-US" w:eastAsia="zh-CN"/>
        </w:rPr>
        <w:t>温碧霞</w:t>
      </w:r>
      <w:r>
        <w:rPr>
          <w:rFonts w:hint="eastAsia"/>
          <w:color w:val="auto"/>
          <w:sz w:val="22"/>
          <w:szCs w:val="22"/>
          <w:u w:val="none"/>
        </w:rPr>
        <w:t>、郑永强 </w:t>
      </w:r>
    </w:p>
    <w:p w14:paraId="1D7C62E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rPr>
      </w:pPr>
      <w:r>
        <w:rPr>
          <w:rFonts w:hint="eastAsia"/>
          <w:color w:val="auto"/>
          <w:sz w:val="22"/>
          <w:szCs w:val="22"/>
          <w:u w:val="none"/>
        </w:rPr>
        <w:t>项目联系方式（询问）：0577-89887322、13757727199</w:t>
      </w:r>
    </w:p>
    <w:p w14:paraId="1FEB326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default"/>
          <w:color w:val="auto"/>
          <w:sz w:val="22"/>
          <w:szCs w:val="22"/>
          <w:u w:val="none"/>
          <w:lang w:val="en-US" w:eastAsia="zh-CN"/>
        </w:rPr>
      </w:pPr>
      <w:r>
        <w:rPr>
          <w:rFonts w:hint="eastAsia"/>
          <w:color w:val="auto"/>
          <w:sz w:val="22"/>
          <w:szCs w:val="22"/>
          <w:u w:val="none"/>
        </w:rPr>
        <w:t>质疑联系人：</w:t>
      </w:r>
      <w:r>
        <w:rPr>
          <w:rFonts w:hint="eastAsia"/>
          <w:color w:val="auto"/>
          <w:sz w:val="22"/>
          <w:szCs w:val="22"/>
          <w:u w:val="none"/>
          <w:lang w:val="en-US" w:eastAsia="zh-CN"/>
        </w:rPr>
        <w:t>肖忠文</w:t>
      </w:r>
    </w:p>
    <w:p w14:paraId="7DF4D75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rPr>
      </w:pPr>
      <w:r>
        <w:rPr>
          <w:rFonts w:hint="eastAsia"/>
          <w:color w:val="auto"/>
          <w:sz w:val="22"/>
          <w:szCs w:val="22"/>
          <w:u w:val="none"/>
        </w:rPr>
        <w:t>质疑联系方式：13757727199 </w:t>
      </w:r>
    </w:p>
    <w:p w14:paraId="05188C0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lang w:val="en-US" w:eastAsia="zh-CN"/>
        </w:rPr>
      </w:pPr>
      <w:r>
        <w:rPr>
          <w:rFonts w:hint="eastAsia"/>
          <w:color w:val="auto"/>
          <w:sz w:val="22"/>
          <w:szCs w:val="22"/>
          <w:u w:val="none"/>
          <w:lang w:val="en-US" w:eastAsia="zh-CN"/>
        </w:rPr>
        <w:t>3.同级政府采购监督管理部门</w:t>
      </w:r>
    </w:p>
    <w:p w14:paraId="2FA5B586">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lang w:val="en-US" w:eastAsia="zh-CN"/>
        </w:rPr>
      </w:pPr>
      <w:r>
        <w:rPr>
          <w:rFonts w:hint="eastAsia"/>
          <w:color w:val="auto"/>
          <w:sz w:val="22"/>
          <w:szCs w:val="22"/>
          <w:u w:val="none"/>
          <w:lang w:val="en-US" w:eastAsia="zh-CN"/>
        </w:rPr>
        <w:t>名    称</w:t>
      </w:r>
      <w:r>
        <w:rPr>
          <w:rFonts w:hint="eastAsia"/>
          <w:color w:val="auto"/>
          <w:sz w:val="22"/>
          <w:szCs w:val="22"/>
          <w:highlight w:val="none"/>
          <w:u w:val="none"/>
          <w:lang w:val="en-US" w:eastAsia="zh-CN"/>
        </w:rPr>
        <w:t>：温州市财政局（浙江</w:t>
      </w:r>
      <w:r>
        <w:rPr>
          <w:rFonts w:hint="eastAsia"/>
          <w:color w:val="auto"/>
          <w:sz w:val="22"/>
          <w:szCs w:val="22"/>
          <w:u w:val="none"/>
          <w:lang w:val="en-US" w:eastAsia="zh-CN"/>
        </w:rPr>
        <w:t>省政府采购行政裁决服务中心（温州））</w:t>
      </w:r>
    </w:p>
    <w:p w14:paraId="3601D86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lang w:val="en-US" w:eastAsia="zh-CN"/>
        </w:rPr>
      </w:pPr>
      <w:r>
        <w:rPr>
          <w:rFonts w:hint="eastAsia"/>
          <w:color w:val="auto"/>
          <w:sz w:val="22"/>
          <w:szCs w:val="22"/>
          <w:u w:val="none"/>
          <w:lang w:val="en-US" w:eastAsia="zh-CN"/>
        </w:rPr>
        <w:t>地    址：温州市鹿城区滨江街道瓯江路展银大厦1606室</w:t>
      </w:r>
    </w:p>
    <w:p w14:paraId="21A7A3E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lang w:val="en-US" w:eastAsia="zh-CN"/>
        </w:rPr>
      </w:pPr>
      <w:r>
        <w:rPr>
          <w:rFonts w:hint="eastAsia"/>
          <w:color w:val="auto"/>
          <w:sz w:val="22"/>
          <w:szCs w:val="22"/>
          <w:u w:val="none"/>
          <w:lang w:val="en-US" w:eastAsia="zh-CN"/>
        </w:rPr>
        <w:t>传    真：/</w:t>
      </w:r>
    </w:p>
    <w:p w14:paraId="719E62E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lang w:val="en-US" w:eastAsia="zh-CN"/>
        </w:rPr>
      </w:pPr>
      <w:r>
        <w:rPr>
          <w:rFonts w:hint="eastAsia"/>
          <w:color w:val="auto"/>
          <w:sz w:val="22"/>
          <w:szCs w:val="22"/>
          <w:u w:val="none"/>
          <w:lang w:val="en-US" w:eastAsia="zh-CN"/>
        </w:rPr>
        <w:t>联 系 人：李老师、王老师</w:t>
      </w:r>
    </w:p>
    <w:p w14:paraId="638D6BA1">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auto"/>
          <w:sz w:val="22"/>
          <w:szCs w:val="22"/>
          <w:u w:val="none"/>
          <w:lang w:val="en-US" w:eastAsia="zh-CN"/>
        </w:rPr>
      </w:pPr>
      <w:r>
        <w:rPr>
          <w:rFonts w:hint="eastAsia"/>
          <w:color w:val="auto"/>
          <w:sz w:val="22"/>
          <w:szCs w:val="22"/>
          <w:u w:val="none"/>
          <w:lang w:val="en-US" w:eastAsia="zh-CN"/>
        </w:rPr>
        <w:t>监督投诉电话：0577-88501561、0577-85501562</w:t>
      </w:r>
    </w:p>
    <w:p w14:paraId="39E91549">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sz w:val="22"/>
          <w:szCs w:val="22"/>
          <w:u w:val="none"/>
        </w:rPr>
      </w:pPr>
      <w:r>
        <w:rPr>
          <w:rFonts w:hint="eastAsia"/>
          <w:sz w:val="22"/>
          <w:szCs w:val="22"/>
          <w:u w:val="none"/>
        </w:rPr>
        <w:t>　</w:t>
      </w:r>
    </w:p>
    <w:p w14:paraId="339800FF">
      <w:pPr>
        <w:pStyle w:val="2"/>
        <w:bidi w:val="0"/>
        <w:rPr>
          <w:rFonts w:hint="eastAsia" w:ascii="宋体" w:hAnsi="宋体" w:eastAsia="宋体" w:cs="宋体"/>
        </w:rPr>
      </w:pPr>
      <w:bookmarkStart w:id="2" w:name="_Toc10401"/>
      <w:bookmarkStart w:id="3" w:name="_Toc5772"/>
      <w:r>
        <w:rPr>
          <w:rFonts w:hint="eastAsia" w:ascii="宋体" w:hAnsi="宋体" w:eastAsia="宋体" w:cs="宋体"/>
        </w:rPr>
        <w:t>第一部分    投标人须知</w:t>
      </w:r>
      <w:bookmarkEnd w:id="2"/>
      <w:bookmarkEnd w:id="3"/>
    </w:p>
    <w:p w14:paraId="5F9A5173">
      <w:pPr>
        <w:keepNext/>
        <w:keepLines/>
        <w:shd w:val="clear" w:color="auto" w:fill="FFFFFF"/>
        <w:tabs>
          <w:tab w:val="left" w:pos="706"/>
        </w:tabs>
        <w:snapToGrid w:val="0"/>
        <w:spacing w:line="360" w:lineRule="auto"/>
        <w:jc w:val="center"/>
        <w:outlineLvl w:val="1"/>
        <w:rPr>
          <w:rFonts w:hint="eastAsia" w:ascii="宋体" w:hAnsi="宋体" w:eastAsia="宋体" w:cs="宋体"/>
          <w:b/>
          <w:bCs/>
          <w:color w:val="auto"/>
          <w:sz w:val="24"/>
          <w:highlight w:val="none"/>
        </w:rPr>
      </w:pPr>
      <w:bookmarkStart w:id="4" w:name="_Toc233618971"/>
      <w:bookmarkStart w:id="5" w:name="_Toc33194387"/>
      <w:bookmarkStart w:id="6" w:name="_Toc6224"/>
      <w:bookmarkStart w:id="7" w:name="_Toc354996695"/>
      <w:bookmarkStart w:id="8" w:name="_Toc1839"/>
      <w:r>
        <w:rPr>
          <w:rFonts w:hint="eastAsia" w:ascii="宋体" w:hAnsi="宋体" w:eastAsia="宋体" w:cs="宋体"/>
          <w:b/>
          <w:bCs/>
          <w:color w:val="auto"/>
          <w:sz w:val="24"/>
          <w:highlight w:val="none"/>
        </w:rPr>
        <w:t>前 附 表</w:t>
      </w:r>
      <w:bookmarkEnd w:id="4"/>
      <w:bookmarkEnd w:id="5"/>
      <w:bookmarkEnd w:id="6"/>
      <w:bookmarkEnd w:id="7"/>
      <w:bookmarkEnd w:id="8"/>
    </w:p>
    <w:tbl>
      <w:tblPr>
        <w:tblStyle w:val="52"/>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7D439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26ECDC2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17ECBE88">
            <w:pPr>
              <w:snapToGrid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内容规定</w:t>
            </w:r>
          </w:p>
        </w:tc>
      </w:tr>
      <w:tr w14:paraId="27C63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81611B0">
            <w:pPr>
              <w:snapToGrid w:val="0"/>
              <w:spacing w:line="4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p>
        </w:tc>
        <w:tc>
          <w:tcPr>
            <w:tcW w:w="9590" w:type="dxa"/>
            <w:tcBorders>
              <w:top w:val="single" w:color="000000" w:sz="2" w:space="0"/>
              <w:left w:val="single" w:color="000000" w:sz="2" w:space="0"/>
              <w:bottom w:val="single" w:color="000000" w:sz="2" w:space="0"/>
              <w:right w:val="single" w:color="000000" w:sz="8" w:space="0"/>
            </w:tcBorders>
          </w:tcPr>
          <w:p w14:paraId="5A51D79E">
            <w:pPr>
              <w:tabs>
                <w:tab w:val="left" w:pos="3780"/>
              </w:tabs>
              <w:snapToGrid w:val="0"/>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rPr>
              <w:t>一、项目名称</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育龄期女性多囊卵巢综合征课题医学检测外送服务</w:t>
            </w:r>
          </w:p>
          <w:p w14:paraId="6EC19DB8">
            <w:pPr>
              <w:spacing w:line="460" w:lineRule="exact"/>
              <w:rPr>
                <w:rFonts w:hint="eastAsia" w:ascii="宋体" w:hAnsi="宋体" w:eastAsia="宋体" w:cs="宋体"/>
                <w:b/>
                <w:bCs/>
                <w:color w:val="auto"/>
                <w:sz w:val="22"/>
                <w:szCs w:val="22"/>
                <w:highlight w:val="none"/>
              </w:rPr>
            </w:pPr>
            <w:bookmarkStart w:id="9" w:name="_Hlt75139851"/>
            <w:bookmarkEnd w:id="9"/>
            <w:r>
              <w:rPr>
                <w:rFonts w:hint="eastAsia" w:ascii="宋体" w:hAnsi="宋体" w:eastAsia="宋体" w:cs="宋体"/>
                <w:b/>
                <w:bCs/>
                <w:color w:val="auto"/>
                <w:sz w:val="22"/>
                <w:szCs w:val="22"/>
                <w:highlight w:val="none"/>
              </w:rPr>
              <w:t>二、采购内容：</w:t>
            </w:r>
          </w:p>
          <w:tbl>
            <w:tblPr>
              <w:tblStyle w:val="52"/>
              <w:tblW w:w="89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7"/>
              <w:gridCol w:w="2968"/>
              <w:gridCol w:w="945"/>
              <w:gridCol w:w="1560"/>
              <w:gridCol w:w="2842"/>
            </w:tblGrid>
            <w:tr w14:paraId="0E9BE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4254FAE">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rPr>
                    <w:t>序号</w:t>
                  </w:r>
                </w:p>
              </w:tc>
              <w:tc>
                <w:tcPr>
                  <w:tcW w:w="2968" w:type="dxa"/>
                  <w:tcBorders>
                    <w:top w:val="single" w:color="auto" w:sz="4" w:space="0"/>
                    <w:left w:val="single" w:color="auto" w:sz="4" w:space="0"/>
                    <w:bottom w:val="single" w:color="auto" w:sz="4" w:space="0"/>
                    <w:right w:val="single" w:color="auto" w:sz="4" w:space="0"/>
                  </w:tcBorders>
                  <w:vAlign w:val="center"/>
                </w:tcPr>
                <w:p w14:paraId="399934A2">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945" w:type="dxa"/>
                  <w:tcBorders>
                    <w:top w:val="single" w:color="auto" w:sz="4" w:space="0"/>
                    <w:left w:val="single" w:color="auto" w:sz="4" w:space="0"/>
                    <w:bottom w:val="single" w:color="auto" w:sz="4" w:space="0"/>
                    <w:right w:val="single" w:color="auto" w:sz="4" w:space="0"/>
                  </w:tcBorders>
                  <w:vAlign w:val="center"/>
                </w:tcPr>
                <w:p w14:paraId="1C3396C5">
                  <w:pPr>
                    <w:tabs>
                      <w:tab w:val="left" w:pos="360"/>
                    </w:tabs>
                    <w:spacing w:line="460" w:lineRule="exact"/>
                    <w:jc w:val="center"/>
                    <w:rPr>
                      <w:rFonts w:hint="eastAsia" w:ascii="宋体" w:hAnsi="宋体" w:eastAsia="宋体" w:cs="宋体"/>
                      <w:color w:val="auto"/>
                      <w:sz w:val="22"/>
                      <w:szCs w:val="22"/>
                      <w:highlight w:val="none"/>
                      <w:shd w:val="clear" w:color="auto" w:fill="FFFFFF"/>
                      <w:lang w:eastAsia="zh-CN"/>
                    </w:rPr>
                  </w:pPr>
                  <w:r>
                    <w:rPr>
                      <w:rFonts w:hint="eastAsia" w:ascii="宋体" w:hAnsi="宋体" w:cs="宋体"/>
                      <w:color w:val="auto"/>
                      <w:sz w:val="22"/>
                      <w:szCs w:val="22"/>
                      <w:highlight w:val="none"/>
                      <w:lang w:val="en-US" w:eastAsia="zh-CN"/>
                    </w:rPr>
                    <w:t>服务期</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25057B">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highlight w:val="none"/>
                    </w:rPr>
                    <w:t>预算金额</w:t>
                  </w:r>
                </w:p>
              </w:tc>
              <w:tc>
                <w:tcPr>
                  <w:tcW w:w="2842" w:type="dxa"/>
                  <w:tcBorders>
                    <w:top w:val="single" w:color="auto" w:sz="4" w:space="0"/>
                    <w:left w:val="single" w:color="auto" w:sz="4" w:space="0"/>
                    <w:bottom w:val="single" w:color="auto" w:sz="4" w:space="0"/>
                    <w:right w:val="single" w:color="auto" w:sz="4" w:space="0"/>
                  </w:tcBorders>
                  <w:vAlign w:val="center"/>
                </w:tcPr>
                <w:p w14:paraId="4F61AB1D">
                  <w:pPr>
                    <w:widowControl/>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简要技术要求、用途</w:t>
                  </w:r>
                </w:p>
              </w:tc>
            </w:tr>
            <w:tr w14:paraId="7E19C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00A34561">
                  <w:pPr>
                    <w:tabs>
                      <w:tab w:val="left" w:pos="360"/>
                    </w:tabs>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968" w:type="dxa"/>
                  <w:tcBorders>
                    <w:top w:val="single" w:color="auto" w:sz="4" w:space="0"/>
                    <w:left w:val="single" w:color="auto" w:sz="4" w:space="0"/>
                    <w:bottom w:val="single" w:color="auto" w:sz="4" w:space="0"/>
                    <w:right w:val="single" w:color="auto" w:sz="4" w:space="0"/>
                  </w:tcBorders>
                  <w:vAlign w:val="center"/>
                </w:tcPr>
                <w:p w14:paraId="605E66CC">
                  <w:pPr>
                    <w:spacing w:line="46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育龄期女性多囊卵巢综合征课题医学检测外送服务</w:t>
                  </w:r>
                </w:p>
              </w:tc>
              <w:tc>
                <w:tcPr>
                  <w:tcW w:w="945" w:type="dxa"/>
                  <w:tcBorders>
                    <w:top w:val="single" w:color="auto" w:sz="4" w:space="0"/>
                    <w:left w:val="single" w:color="auto" w:sz="4" w:space="0"/>
                    <w:bottom w:val="single" w:color="auto" w:sz="4" w:space="0"/>
                    <w:right w:val="single" w:color="auto" w:sz="4" w:space="0"/>
                  </w:tcBorders>
                  <w:vAlign w:val="center"/>
                </w:tcPr>
                <w:p w14:paraId="75BA8224">
                  <w:pPr>
                    <w:tabs>
                      <w:tab w:val="left" w:pos="360"/>
                    </w:tabs>
                    <w:spacing w:line="460" w:lineRule="exact"/>
                    <w:jc w:val="center"/>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2年</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DD251E">
                  <w:pPr>
                    <w:tabs>
                      <w:tab w:val="left" w:pos="360"/>
                    </w:tabs>
                    <w:spacing w:line="460" w:lineRule="exact"/>
                    <w:jc w:val="center"/>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lang w:val="en-US" w:eastAsia="zh-CN"/>
                    </w:rPr>
                    <w:t>3000</w:t>
                  </w:r>
                  <w:r>
                    <w:rPr>
                      <w:rFonts w:hint="eastAsia" w:ascii="宋体" w:hAnsi="宋体" w:cs="宋体"/>
                      <w:color w:val="auto"/>
                      <w:sz w:val="22"/>
                      <w:szCs w:val="22"/>
                      <w:highlight w:val="none"/>
                      <w:shd w:val="clear" w:color="auto" w:fill="FFFFFF"/>
                    </w:rPr>
                    <w:t>000</w:t>
                  </w:r>
                  <w:r>
                    <w:rPr>
                      <w:rFonts w:hint="eastAsia" w:ascii="宋体" w:hAnsi="宋体" w:cs="宋体"/>
                      <w:color w:val="auto"/>
                      <w:sz w:val="22"/>
                      <w:highlight w:val="none"/>
                    </w:rPr>
                    <w:t>元</w:t>
                  </w:r>
                </w:p>
              </w:tc>
              <w:tc>
                <w:tcPr>
                  <w:tcW w:w="2842" w:type="dxa"/>
                  <w:tcBorders>
                    <w:top w:val="single" w:color="auto" w:sz="4" w:space="0"/>
                    <w:left w:val="single" w:color="auto" w:sz="4" w:space="0"/>
                    <w:bottom w:val="single" w:color="auto" w:sz="4" w:space="0"/>
                    <w:right w:val="single" w:color="auto" w:sz="4" w:space="0"/>
                  </w:tcBorders>
                  <w:vAlign w:val="center"/>
                </w:tcPr>
                <w:p w14:paraId="41771CED">
                  <w:pPr>
                    <w:shd w:val="clear" w:color="auto" w:fill="FFFFFF"/>
                    <w:snapToGrid w:val="0"/>
                    <w:spacing w:line="4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详见招标文件第四部分“项目技术规范和服务要求”</w:t>
                  </w:r>
                </w:p>
              </w:tc>
            </w:tr>
            <w:tr w14:paraId="5610F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8972" w:type="dxa"/>
                  <w:gridSpan w:val="5"/>
                  <w:tcBorders>
                    <w:top w:val="single" w:color="auto" w:sz="4" w:space="0"/>
                    <w:left w:val="single" w:color="auto" w:sz="4" w:space="0"/>
                    <w:right w:val="single" w:color="auto" w:sz="4" w:space="0"/>
                  </w:tcBorders>
                  <w:vAlign w:val="center"/>
                </w:tcPr>
                <w:p w14:paraId="6FEF3934">
                  <w:pPr>
                    <w:shd w:val="clear" w:color="auto" w:fill="FFFFFF"/>
                    <w:snapToGrid w:val="0"/>
                    <w:spacing w:line="460" w:lineRule="exact"/>
                    <w:jc w:val="both"/>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注：1年预算金额为1500000元，2年预算金额为3000000元。</w:t>
                  </w:r>
                </w:p>
              </w:tc>
            </w:tr>
          </w:tbl>
          <w:p w14:paraId="7433593B">
            <w:pPr>
              <w:tabs>
                <w:tab w:val="left" w:pos="360"/>
              </w:tabs>
              <w:spacing w:line="460" w:lineRule="exact"/>
              <w:ind w:firstLine="221" w:firstLineChars="100"/>
              <w:rPr>
                <w:rFonts w:hint="eastAsia" w:ascii="宋体" w:hAnsi="宋体" w:eastAsia="宋体" w:cs="宋体"/>
                <w:color w:val="auto"/>
                <w:highlight w:val="none"/>
              </w:rPr>
            </w:pPr>
            <w:r>
              <w:rPr>
                <w:rFonts w:hint="eastAsia" w:ascii="宋体" w:hAnsi="宋体" w:eastAsia="宋体" w:cs="宋体"/>
                <w:b/>
                <w:color w:val="auto"/>
                <w:sz w:val="22"/>
                <w:szCs w:val="22"/>
                <w:highlight w:val="none"/>
              </w:rPr>
              <w:t>如投标人报价超过</w:t>
            </w:r>
            <w:r>
              <w:rPr>
                <w:rFonts w:hint="eastAsia" w:ascii="宋体" w:hAnsi="宋体" w:cs="宋体"/>
                <w:b/>
                <w:color w:val="auto"/>
                <w:sz w:val="22"/>
                <w:szCs w:val="22"/>
                <w:highlight w:val="none"/>
                <w:lang w:val="en-US" w:eastAsia="zh-CN"/>
              </w:rPr>
              <w:t>各项</w:t>
            </w:r>
            <w:r>
              <w:rPr>
                <w:rFonts w:hint="eastAsia" w:ascii="宋体" w:hAnsi="宋体" w:eastAsia="宋体" w:cs="宋体"/>
                <w:b/>
                <w:color w:val="auto"/>
                <w:sz w:val="22"/>
                <w:szCs w:val="22"/>
                <w:highlight w:val="none"/>
              </w:rPr>
              <w:t>预算金额按无效标处理。</w:t>
            </w:r>
          </w:p>
        </w:tc>
      </w:tr>
      <w:tr w14:paraId="51C84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5EC7B20">
            <w:pPr>
              <w:snapToGrid w:val="0"/>
              <w:spacing w:line="460" w:lineRule="exact"/>
              <w:jc w:val="center"/>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p>
        </w:tc>
        <w:tc>
          <w:tcPr>
            <w:tcW w:w="9590" w:type="dxa"/>
            <w:tcBorders>
              <w:top w:val="single" w:color="000000" w:sz="2" w:space="0"/>
              <w:left w:val="single" w:color="000000" w:sz="2" w:space="0"/>
              <w:bottom w:val="single" w:color="000000" w:sz="2" w:space="0"/>
              <w:right w:val="single" w:color="000000" w:sz="8" w:space="0"/>
            </w:tcBorders>
            <w:vAlign w:val="center"/>
          </w:tcPr>
          <w:p w14:paraId="6B1D1E0F">
            <w:pPr>
              <w:snapToGrid w:val="0"/>
              <w:spacing w:line="460" w:lineRule="exact"/>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资金来源：</w:t>
            </w:r>
            <w:r>
              <w:rPr>
                <w:rFonts w:hint="eastAsia" w:ascii="仿宋" w:hAnsi="仿宋" w:eastAsia="仿宋" w:cs="仿宋"/>
                <w:b/>
                <w:bCs w:val="0"/>
                <w:color w:val="000000" w:themeColor="text1"/>
                <w:kern w:val="0"/>
                <w:sz w:val="22"/>
                <w:szCs w:val="22"/>
                <w:highlight w:val="none"/>
                <w14:textFill>
                  <w14:solidFill>
                    <w14:schemeClr w14:val="tx1"/>
                  </w14:solidFill>
                </w14:textFill>
              </w:rPr>
              <w:sym w:font="Wingdings" w:char="00FE"/>
            </w:r>
            <w:r>
              <w:rPr>
                <w:rFonts w:hint="eastAsia" w:ascii="仿宋" w:hAnsi="仿宋" w:eastAsia="仿宋" w:cs="仿宋"/>
                <w:b/>
                <w:bCs w:val="0"/>
                <w:color w:val="000000" w:themeColor="text1"/>
                <w:kern w:val="0"/>
                <w:sz w:val="22"/>
                <w:szCs w:val="22"/>
                <w:highlight w:val="none"/>
                <w14:textFill>
                  <w14:solidFill>
                    <w14:schemeClr w14:val="tx1"/>
                  </w14:solidFill>
                </w14:textFill>
              </w:rPr>
              <w:t xml:space="preserve"> </w:t>
            </w:r>
            <w:r>
              <w:rPr>
                <w:rFonts w:hint="eastAsia" w:ascii="宋体" w:hAnsi="宋体" w:cs="宋体"/>
                <w:b/>
                <w:bCs w:val="0"/>
                <w:color w:val="auto"/>
                <w:sz w:val="22"/>
                <w:szCs w:val="22"/>
                <w:highlight w:val="none"/>
                <w:lang w:val="en-US" w:eastAsia="zh-CN"/>
              </w:rPr>
              <w:t xml:space="preserve">自筹资金 </w:t>
            </w:r>
            <w:r>
              <w:rPr>
                <w:rFonts w:hint="eastAsia" w:ascii="仿宋" w:hAnsi="仿宋" w:eastAsia="仿宋" w:cs="仿宋"/>
                <w:b/>
                <w:bCs w:val="0"/>
                <w:color w:val="000000" w:themeColor="text1"/>
                <w:kern w:val="0"/>
                <w:sz w:val="22"/>
                <w:szCs w:val="22"/>
                <w:highlight w:val="none"/>
                <w14:textFill>
                  <w14:solidFill>
                    <w14:schemeClr w14:val="tx1"/>
                  </w14:solidFill>
                </w14:textFill>
              </w:rPr>
              <w:sym w:font="Wingdings" w:char="00A8"/>
            </w:r>
            <w:r>
              <w:rPr>
                <w:rFonts w:hint="eastAsia" w:ascii="仿宋" w:hAnsi="仿宋" w:eastAsia="仿宋" w:cs="仿宋"/>
                <w:b/>
                <w:bCs w:val="0"/>
                <w:color w:val="000000" w:themeColor="text1"/>
                <w:kern w:val="0"/>
                <w:sz w:val="22"/>
                <w:szCs w:val="22"/>
                <w:highlight w:val="none"/>
                <w14:textFill>
                  <w14:solidFill>
                    <w14:schemeClr w14:val="tx1"/>
                  </w14:solidFill>
                </w14:textFill>
              </w:rPr>
              <w:t xml:space="preserve"> </w:t>
            </w:r>
            <w:r>
              <w:rPr>
                <w:rFonts w:hint="eastAsia" w:ascii="宋体" w:hAnsi="宋体" w:cs="宋体"/>
                <w:b/>
                <w:bCs w:val="0"/>
                <w:color w:val="auto"/>
                <w:sz w:val="22"/>
                <w:szCs w:val="22"/>
                <w:highlight w:val="none"/>
                <w:lang w:val="en-US" w:eastAsia="zh-CN"/>
              </w:rPr>
              <w:t>财政资金</w:t>
            </w:r>
          </w:p>
        </w:tc>
      </w:tr>
      <w:tr w14:paraId="0539D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B01C4F3">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1ADA008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zh-CN"/>
              </w:rPr>
              <w:t>投标</w:t>
            </w:r>
            <w:r>
              <w:rPr>
                <w:rFonts w:hint="eastAsia" w:ascii="宋体" w:hAnsi="宋体" w:eastAsia="宋体" w:cs="宋体"/>
                <w:b/>
                <w:bCs/>
                <w:color w:val="auto"/>
                <w:sz w:val="22"/>
                <w:szCs w:val="22"/>
                <w:highlight w:val="none"/>
              </w:rPr>
              <w:t>有效期：</w:t>
            </w:r>
            <w:r>
              <w:rPr>
                <w:rFonts w:hint="eastAsia" w:ascii="宋体" w:hAnsi="宋体" w:eastAsia="宋体" w:cs="宋体"/>
                <w:color w:val="auto"/>
                <w:sz w:val="22"/>
                <w:szCs w:val="22"/>
                <w:highlight w:val="none"/>
              </w:rPr>
              <w:t>自投标截止日起</w:t>
            </w:r>
            <w:r>
              <w:rPr>
                <w:rFonts w:hint="eastAsia" w:ascii="宋体" w:hAnsi="宋体" w:cs="宋体"/>
                <w:color w:val="auto"/>
                <w:sz w:val="22"/>
                <w:szCs w:val="22"/>
                <w:highlight w:val="none"/>
                <w:lang w:val="en-US" w:eastAsia="zh-CN"/>
              </w:rPr>
              <w:t>90</w:t>
            </w:r>
            <w:r>
              <w:rPr>
                <w:rFonts w:hint="eastAsia" w:ascii="宋体" w:hAnsi="宋体" w:eastAsia="宋体" w:cs="宋体"/>
                <w:color w:val="auto"/>
                <w:sz w:val="22"/>
                <w:szCs w:val="22"/>
                <w:highlight w:val="none"/>
              </w:rPr>
              <w:t>天。</w:t>
            </w:r>
          </w:p>
        </w:tc>
      </w:tr>
      <w:tr w14:paraId="5B935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BF222E">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21F985BE">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投标保证金数额：</w:t>
            </w:r>
            <w:r>
              <w:rPr>
                <w:rFonts w:hint="eastAsia" w:ascii="宋体" w:hAnsi="宋体" w:eastAsia="宋体" w:cs="宋体"/>
                <w:b w:val="0"/>
                <w:bCs w:val="0"/>
                <w:color w:val="auto"/>
                <w:sz w:val="22"/>
                <w:szCs w:val="22"/>
                <w:highlight w:val="none"/>
              </w:rPr>
              <w:t>无</w:t>
            </w:r>
            <w:r>
              <w:rPr>
                <w:rFonts w:hint="eastAsia" w:ascii="宋体" w:hAnsi="宋体" w:eastAsia="宋体" w:cs="宋体"/>
                <w:color w:val="auto"/>
                <w:sz w:val="22"/>
                <w:szCs w:val="22"/>
                <w:highlight w:val="none"/>
              </w:rPr>
              <w:t>。</w:t>
            </w:r>
          </w:p>
        </w:tc>
      </w:tr>
      <w:tr w14:paraId="77821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3A4CEDB">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200C542C">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招标服务费：</w:t>
            </w:r>
            <w:r>
              <w:rPr>
                <w:rFonts w:hint="eastAsia" w:ascii="宋体" w:hAnsi="宋体" w:cs="宋体"/>
                <w:color w:val="auto"/>
                <w:sz w:val="22"/>
                <w:szCs w:val="22"/>
                <w:highlight w:val="none"/>
              </w:rPr>
              <w:t>根据国家计委计价格【2002】1980号《招标代理服务收费管理暂行办法》规定</w:t>
            </w:r>
            <w:r>
              <w:rPr>
                <w:rFonts w:hint="eastAsia" w:ascii="宋体" w:hAnsi="宋体" w:cs="宋体"/>
                <w:color w:val="auto"/>
                <w:sz w:val="22"/>
                <w:szCs w:val="22"/>
                <w:highlight w:val="none"/>
                <w:lang w:val="en-US" w:eastAsia="zh-CN"/>
              </w:rPr>
              <w:t>按总预算金额</w:t>
            </w:r>
            <w:r>
              <w:rPr>
                <w:rFonts w:hint="eastAsia" w:ascii="宋体" w:hAnsi="宋体" w:cs="宋体"/>
                <w:color w:val="auto"/>
                <w:sz w:val="22"/>
                <w:szCs w:val="22"/>
                <w:highlight w:val="none"/>
              </w:rPr>
              <w:t>标准的75%收取,由中标人在领取中标通知书时支付。</w:t>
            </w:r>
          </w:p>
          <w:p w14:paraId="786BBB87">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户 名：温州历程招标有限公司乐清分公司</w:t>
            </w:r>
          </w:p>
          <w:p w14:paraId="2BDFDDB4">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账 号：33050162870400000619</w:t>
            </w:r>
          </w:p>
          <w:p w14:paraId="381F5757">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开户银行：中国建设银行股份有限公司温州新城支行</w:t>
            </w:r>
          </w:p>
          <w:p w14:paraId="62C7FD20">
            <w:pPr>
              <w:spacing w:line="460" w:lineRule="exact"/>
              <w:ind w:firstLine="539" w:firstLineChars="245"/>
              <w:rPr>
                <w:rFonts w:hint="eastAsia" w:ascii="宋体" w:hAnsi="宋体" w:eastAsia="宋体" w:cs="宋体"/>
                <w:color w:val="auto"/>
                <w:highlight w:val="none"/>
              </w:rPr>
            </w:pPr>
            <w:r>
              <w:rPr>
                <w:rFonts w:hint="eastAsia" w:ascii="宋体" w:hAnsi="宋体" w:cs="宋体"/>
                <w:color w:val="auto"/>
                <w:sz w:val="22"/>
                <w:szCs w:val="22"/>
                <w:highlight w:val="none"/>
              </w:rPr>
              <w:t>行号：105333000038</w:t>
            </w:r>
          </w:p>
        </w:tc>
      </w:tr>
      <w:tr w14:paraId="16560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4EBAF52">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498240A2">
            <w:pPr>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投标文件的组成：</w:t>
            </w:r>
            <w:r>
              <w:rPr>
                <w:rFonts w:hint="eastAsia" w:ascii="宋体" w:hAnsi="宋体" w:eastAsia="宋体" w:cs="宋体"/>
                <w:color w:val="auto"/>
                <w:sz w:val="22"/>
                <w:szCs w:val="22"/>
                <w:highlight w:val="none"/>
              </w:rPr>
              <w:t>完整的《投标文件》由“资格文件”、“报价文件”和“商务技术文件”三个部分组成。</w:t>
            </w:r>
          </w:p>
        </w:tc>
      </w:tr>
      <w:tr w14:paraId="6C84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4C8345">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5679851E">
            <w:pPr>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投标文件的编制：</w:t>
            </w:r>
            <w:r>
              <w:rPr>
                <w:rFonts w:hint="eastAsia" w:ascii="宋体" w:hAnsi="宋体" w:eastAsia="宋体" w:cs="宋体"/>
                <w:color w:val="auto"/>
                <w:sz w:val="22"/>
                <w:szCs w:val="22"/>
                <w:highlight w:val="none"/>
              </w:rPr>
              <w:t>供应商应先安装“政采云电子交易客户端”，并按照本招标文件和“政府采购云平台”的要求，通过“政采云电子交易客户端”编制并加密投标文件。</w:t>
            </w:r>
          </w:p>
        </w:tc>
      </w:tr>
      <w:tr w14:paraId="59C56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550B11B">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721D9F99">
            <w:pPr>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投标文件的签章：</w:t>
            </w:r>
            <w:r>
              <w:rPr>
                <w:rFonts w:hint="eastAsia" w:ascii="宋体" w:hAnsi="宋体" w:eastAsia="宋体" w:cs="宋体"/>
                <w:color w:val="auto"/>
                <w:sz w:val="22"/>
                <w:szCs w:val="22"/>
                <w:highlight w:val="none"/>
              </w:rPr>
              <w:t>电子签章。</w:t>
            </w:r>
          </w:p>
        </w:tc>
      </w:tr>
      <w:tr w14:paraId="5CC34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562EB84">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1017A7DF">
            <w:pPr>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投标文件的形式：</w:t>
            </w: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50E82BC5">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（1）“电子加密投标文件”是指通过“政采云电子交易客户端”完成投标文件编制后生成并加密的数据电文形式的投标文件。</w:t>
            </w:r>
          </w:p>
          <w:p w14:paraId="3EEF8D78">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3051B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6C6F83A">
            <w:pPr>
              <w:snapToGrid w:val="0"/>
              <w:spacing w:line="460" w:lineRule="exact"/>
              <w:jc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72AA97F7">
            <w:pPr>
              <w:spacing w:line="460" w:lineRule="exact"/>
              <w:rPr>
                <w:rFonts w:hint="eastAsia"/>
                <w:sz w:val="22"/>
                <w:szCs w:val="28"/>
              </w:rPr>
            </w:pPr>
            <w:r>
              <w:rPr>
                <w:rFonts w:hint="eastAsia"/>
                <w:sz w:val="22"/>
                <w:szCs w:val="28"/>
              </w:rPr>
              <w:t>投标文件份数：</w:t>
            </w:r>
          </w:p>
          <w:p w14:paraId="6025A5B3">
            <w:pPr>
              <w:numPr>
                <w:ilvl w:val="0"/>
                <w:numId w:val="1"/>
              </w:numPr>
              <w:spacing w:line="460" w:lineRule="exact"/>
              <w:rPr>
                <w:rFonts w:hint="eastAsia"/>
                <w:sz w:val="22"/>
                <w:szCs w:val="28"/>
              </w:rPr>
            </w:pPr>
            <w:r>
              <w:rPr>
                <w:rFonts w:hint="eastAsia"/>
                <w:sz w:val="22"/>
                <w:szCs w:val="28"/>
              </w:rPr>
              <w:t>“电子加密投标文件”：在线上传、递交一份。</w:t>
            </w:r>
          </w:p>
          <w:p w14:paraId="3D8ED315">
            <w:pPr>
              <w:numPr>
                <w:ilvl w:val="0"/>
                <w:numId w:val="1"/>
              </w:numPr>
              <w:spacing w:line="460" w:lineRule="exact"/>
              <w:rPr>
                <w:rFonts w:hint="eastAsia"/>
                <w:sz w:val="22"/>
                <w:szCs w:val="28"/>
              </w:rPr>
            </w:pPr>
            <w:r>
              <w:rPr>
                <w:rFonts w:hint="eastAsia"/>
                <w:sz w:val="22"/>
                <w:szCs w:val="28"/>
              </w:rPr>
              <w:t>“备份投标文件”：密封包装后投标截止时间前递交一份</w:t>
            </w:r>
          </w:p>
          <w:p w14:paraId="02DE46E9">
            <w:pPr>
              <w:spacing w:line="460" w:lineRule="exact"/>
              <w:rPr>
                <w:rFonts w:hint="eastAsia"/>
                <w:sz w:val="22"/>
                <w:szCs w:val="28"/>
              </w:rPr>
            </w:pPr>
            <w:r>
              <w:rPr>
                <w:rFonts w:hint="eastAsia"/>
                <w:sz w:val="22"/>
                <w:szCs w:val="28"/>
              </w:rPr>
              <w:t>（若不提供备份投标文件，开标当天电子加密投标文件解密失败，投标人自行负责。）</w:t>
            </w:r>
          </w:p>
          <w:p w14:paraId="42C34E7C">
            <w:pPr>
              <w:tabs>
                <w:tab w:val="left" w:pos="360"/>
              </w:tabs>
              <w:spacing w:line="460" w:lineRule="exact"/>
              <w:rPr>
                <w:rFonts w:hint="eastAsia" w:eastAsia="宋体"/>
                <w:sz w:val="22"/>
                <w:szCs w:val="28"/>
                <w:lang w:eastAsia="zh-CN"/>
              </w:rPr>
            </w:pPr>
            <w:r>
              <w:rPr>
                <w:rFonts w:hint="eastAsia"/>
                <w:sz w:val="22"/>
                <w:szCs w:val="28"/>
              </w:rPr>
              <w:t>可以</w:t>
            </w:r>
            <w:r>
              <w:rPr>
                <w:rFonts w:hint="eastAsia"/>
                <w:sz w:val="22"/>
                <w:szCs w:val="28"/>
                <w:lang w:val="en-US" w:eastAsia="zh-CN"/>
              </w:rPr>
              <w:t>以</w:t>
            </w:r>
            <w:r>
              <w:rPr>
                <w:rFonts w:hint="eastAsia"/>
                <w:sz w:val="22"/>
                <w:szCs w:val="28"/>
              </w:rPr>
              <w:t>邮寄形式（建议顺丰）在投标截止时间前递交，并需</w:t>
            </w:r>
            <w:r>
              <w:rPr>
                <w:rFonts w:hint="eastAsia"/>
                <w:sz w:val="22"/>
                <w:szCs w:val="28"/>
                <w:lang w:val="en-US" w:eastAsia="zh-CN"/>
              </w:rPr>
              <w:t>及时与</w:t>
            </w:r>
            <w:r>
              <w:rPr>
                <w:rFonts w:hint="eastAsia"/>
                <w:sz w:val="22"/>
                <w:szCs w:val="28"/>
              </w:rPr>
              <w:t>采购代理机构确认是否收到</w:t>
            </w:r>
            <w:r>
              <w:rPr>
                <w:rFonts w:hint="eastAsia"/>
                <w:sz w:val="22"/>
                <w:szCs w:val="28"/>
                <w:lang w:eastAsia="zh-CN"/>
              </w:rPr>
              <w:t>：</w:t>
            </w:r>
          </w:p>
          <w:p w14:paraId="5319C12D">
            <w:pPr>
              <w:spacing w:line="460" w:lineRule="exact"/>
              <w:rPr>
                <w:rFonts w:hint="eastAsia"/>
                <w:sz w:val="22"/>
                <w:szCs w:val="28"/>
                <w:highlight w:val="none"/>
                <w:lang w:eastAsia="zh-CN"/>
              </w:rPr>
            </w:pPr>
            <w:r>
              <w:rPr>
                <w:rFonts w:hint="eastAsia"/>
                <w:sz w:val="22"/>
                <w:szCs w:val="28"/>
                <w:highlight w:val="none"/>
              </w:rPr>
              <w:t>邮寄地址：</w:t>
            </w:r>
            <w:r>
              <w:rPr>
                <w:rFonts w:hint="eastAsia"/>
                <w:sz w:val="22"/>
                <w:szCs w:val="28"/>
                <w:highlight w:val="none"/>
                <w:lang w:eastAsia="zh-CN"/>
              </w:rPr>
              <w:t>温州市鹿城区南汇街道勤民路鹿城壹号18幢803室</w:t>
            </w:r>
          </w:p>
          <w:p w14:paraId="70D26CD5">
            <w:pPr>
              <w:spacing w:line="460" w:lineRule="exact"/>
              <w:rPr>
                <w:rFonts w:hint="default" w:eastAsia="宋体"/>
                <w:lang w:val="en-US" w:eastAsia="zh-CN"/>
              </w:rPr>
            </w:pPr>
            <w:r>
              <w:rPr>
                <w:rFonts w:hint="eastAsia"/>
                <w:sz w:val="22"/>
                <w:szCs w:val="28"/>
                <w:highlight w:val="none"/>
                <w:lang w:val="en-US" w:eastAsia="zh-CN"/>
              </w:rPr>
              <w:t>联系人：温先生    联系电话</w:t>
            </w:r>
            <w:r>
              <w:rPr>
                <w:rFonts w:hint="eastAsia"/>
                <w:b w:val="0"/>
                <w:bCs w:val="0"/>
                <w:sz w:val="22"/>
                <w:szCs w:val="28"/>
                <w:highlight w:val="none"/>
                <w:lang w:val="en-US" w:eastAsia="zh-CN"/>
              </w:rPr>
              <w:t>：13757727199</w:t>
            </w:r>
          </w:p>
        </w:tc>
      </w:tr>
      <w:tr w14:paraId="076E7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8DAA0BF">
            <w:pPr>
              <w:snapToGrid w:val="0"/>
              <w:spacing w:line="460" w:lineRule="exact"/>
              <w:jc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785B2116">
            <w:pP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投标文件的上传和递交：</w:t>
            </w:r>
          </w:p>
          <w:p w14:paraId="138145F9">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（1）“电子加密投标文件”的上传、递交：</w:t>
            </w:r>
          </w:p>
          <w:p w14:paraId="02B720ED">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a.投标人应在投标截止时间前将“电子加密投标文件”成功上传递交至“政府采购云平台”，否则投标无效。</w:t>
            </w:r>
          </w:p>
          <w:p w14:paraId="37C85CCD">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递交后，供应商可自行打印投标文件接收回执。</w:t>
            </w:r>
          </w:p>
          <w:p w14:paraId="38D92782">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（2）“备份投标文件”的密封包装、递交：</w:t>
            </w:r>
          </w:p>
          <w:p w14:paraId="48750536">
            <w:pPr>
              <w:tabs>
                <w:tab w:val="left" w:pos="360"/>
              </w:tabs>
              <w:spacing w:line="460" w:lineRule="exact"/>
              <w:ind w:firstLine="220" w:firstLineChars="1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a.投标人在“政府采购云平台”完成“电子加密投标文件”的上传递交后，</w:t>
            </w:r>
            <w:r>
              <w:rPr>
                <w:rFonts w:hint="eastAsia" w:ascii="宋体" w:hAnsi="宋体" w:eastAsia="宋体" w:cs="宋体"/>
                <w:b/>
                <w:bCs/>
                <w:color w:val="auto"/>
                <w:sz w:val="22"/>
                <w:szCs w:val="22"/>
                <w:highlight w:val="none"/>
              </w:rPr>
              <w:t>还可以在投标截止时间前递交以介质（U盘）存储的数据电文形式的“备份投标文件”，（可以</w:t>
            </w:r>
            <w:r>
              <w:rPr>
                <w:rFonts w:hint="eastAsia" w:ascii="宋体" w:hAnsi="宋体" w:eastAsia="宋体" w:cs="宋体"/>
                <w:b/>
                <w:color w:val="auto"/>
                <w:sz w:val="22"/>
                <w:szCs w:val="22"/>
                <w:highlight w:val="none"/>
                <w:u w:val="single"/>
              </w:rPr>
              <w:t>（邮寄形式，建议顺丰）在投标截止时间前递交，并需</w:t>
            </w:r>
            <w:r>
              <w:rPr>
                <w:rFonts w:hint="eastAsia" w:ascii="宋体" w:hAnsi="宋体" w:cs="宋体"/>
                <w:b/>
                <w:color w:val="auto"/>
                <w:sz w:val="22"/>
                <w:szCs w:val="22"/>
                <w:highlight w:val="none"/>
                <w:u w:val="single"/>
                <w:lang w:val="en-US" w:eastAsia="zh-CN"/>
              </w:rPr>
              <w:t>及时与</w:t>
            </w:r>
            <w:r>
              <w:rPr>
                <w:rFonts w:hint="eastAsia" w:ascii="宋体" w:hAnsi="宋体" w:eastAsia="宋体" w:cs="宋体"/>
                <w:b/>
                <w:color w:val="auto"/>
                <w:sz w:val="22"/>
                <w:szCs w:val="22"/>
                <w:highlight w:val="none"/>
                <w:u w:val="single"/>
              </w:rPr>
              <w:t>采购代理机构确认是否收到</w:t>
            </w:r>
            <w:r>
              <w:rPr>
                <w:rFonts w:hint="eastAsia" w:ascii="宋体" w:hAnsi="宋体" w:eastAsia="宋体" w:cs="宋体"/>
                <w:b/>
                <w:bCs/>
                <w:color w:val="auto"/>
                <w:sz w:val="22"/>
                <w:szCs w:val="22"/>
                <w:highlight w:val="none"/>
              </w:rPr>
              <w:t>）</w:t>
            </w:r>
          </w:p>
          <w:p w14:paraId="08C086AB">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b.“备份投标文件”应当密封包装，并在包装上标注投标项目名称、投标人名称并加盖公章。没有密封包装或者逾期（邮寄）送达至投标地点的“备份投标文件”将不予接收；</w:t>
            </w:r>
          </w:p>
          <w:p w14:paraId="6E92AB32">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政府采购云平台”成功上传递交的“电子加密投标文件”已按时解密的，“备份投标文件”自动失效。投标截止时间前，投标人仅递交了“备份投标文件”而未将“电子加密投标文件”成功上传至“政府采购云平台”的，投标无效。</w:t>
            </w:r>
          </w:p>
        </w:tc>
      </w:tr>
      <w:tr w14:paraId="5FED6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AB6C0AA">
            <w:pPr>
              <w:snapToGrid w:val="0"/>
              <w:spacing w:line="460" w:lineRule="exact"/>
              <w:jc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12</w:t>
            </w:r>
          </w:p>
        </w:tc>
        <w:tc>
          <w:tcPr>
            <w:tcW w:w="9590" w:type="dxa"/>
            <w:tcBorders>
              <w:top w:val="single" w:color="000000" w:sz="2" w:space="0"/>
              <w:left w:val="single" w:color="000000" w:sz="2" w:space="0"/>
              <w:bottom w:val="single" w:color="000000" w:sz="2" w:space="0"/>
              <w:right w:val="single" w:color="000000" w:sz="8" w:space="0"/>
            </w:tcBorders>
            <w:vAlign w:val="center"/>
          </w:tcPr>
          <w:p w14:paraId="49E24C44">
            <w:pP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电子加密投标文件的解密和异常情况处理：</w:t>
            </w:r>
          </w:p>
          <w:p w14:paraId="75880A27">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（1）开标后，采购组织机构将向各投标人发出“电子加密投标文件”的解密通知，各投标人代表应当在接到解密通知后在系统规定的时间自行完成“电子加密投标文件”的在线解密。</w:t>
            </w:r>
          </w:p>
          <w:p w14:paraId="58890B56">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7739FD03">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（3）投标截止时间前，投标人仅递交了“备份投标文件”而未将电子加密投标文件上传至“政府采购云平台”的，投标无效。</w:t>
            </w:r>
          </w:p>
        </w:tc>
      </w:tr>
      <w:tr w14:paraId="1A40F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F0BF113">
            <w:pPr>
              <w:snapToGrid w:val="0"/>
              <w:spacing w:line="460" w:lineRule="exact"/>
              <w:jc w:val="center"/>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13</w:t>
            </w:r>
          </w:p>
        </w:tc>
        <w:tc>
          <w:tcPr>
            <w:tcW w:w="9590" w:type="dxa"/>
            <w:tcBorders>
              <w:top w:val="single" w:color="000000" w:sz="2" w:space="0"/>
              <w:left w:val="single" w:color="000000" w:sz="2" w:space="0"/>
              <w:bottom w:val="single" w:color="000000" w:sz="2" w:space="0"/>
              <w:right w:val="single" w:color="000000" w:sz="8" w:space="0"/>
            </w:tcBorders>
            <w:vAlign w:val="center"/>
          </w:tcPr>
          <w:p w14:paraId="08509183">
            <w:pPr>
              <w:widowControl/>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提交投标文件截止时间：</w:t>
            </w:r>
            <w:r>
              <w:rPr>
                <w:rFonts w:hint="eastAsia" w:ascii="宋体" w:hAnsi="宋体" w:cs="宋体"/>
                <w:b w:val="0"/>
                <w:bCs w:val="0"/>
                <w:color w:val="auto"/>
                <w:sz w:val="22"/>
                <w:szCs w:val="22"/>
                <w:highlight w:val="none"/>
                <w:lang w:val="en-US" w:eastAsia="zh-CN"/>
              </w:rPr>
              <w:t>详见招标公告</w:t>
            </w:r>
            <w:r>
              <w:rPr>
                <w:rFonts w:hint="eastAsia" w:ascii="宋体" w:hAnsi="宋体" w:eastAsia="宋体" w:cs="宋体"/>
                <w:color w:val="auto"/>
                <w:sz w:val="22"/>
                <w:szCs w:val="22"/>
                <w:highlight w:val="none"/>
              </w:rPr>
              <w:t> </w:t>
            </w:r>
          </w:p>
          <w:p w14:paraId="420F96B1">
            <w:pPr>
              <w:widowControl/>
              <w:snapToGrid w:val="0"/>
              <w:spacing w:line="460" w:lineRule="exact"/>
              <w:jc w:val="left"/>
              <w:rPr>
                <w:rFonts w:hint="eastAsia"/>
                <w:color w:val="auto"/>
              </w:rPr>
            </w:pPr>
            <w:r>
              <w:rPr>
                <w:rFonts w:hint="eastAsia" w:ascii="宋体" w:hAnsi="宋体" w:eastAsia="宋体" w:cs="宋体"/>
                <w:color w:val="auto"/>
                <w:sz w:val="22"/>
                <w:szCs w:val="22"/>
                <w:highlight w:val="none"/>
              </w:rPr>
              <w:t>投标地点（网址）：</w:t>
            </w:r>
            <w:r>
              <w:rPr>
                <w:rFonts w:hint="eastAsia" w:ascii="宋体" w:hAnsi="宋体" w:cs="宋体"/>
                <w:b w:val="0"/>
                <w:bCs w:val="0"/>
                <w:color w:val="auto"/>
                <w:sz w:val="22"/>
                <w:szCs w:val="22"/>
                <w:highlight w:val="none"/>
                <w:lang w:val="en-US" w:eastAsia="zh-CN"/>
              </w:rPr>
              <w:t>详见招标公告</w:t>
            </w:r>
            <w:r>
              <w:rPr>
                <w:rFonts w:hint="eastAsia" w:ascii="宋体" w:hAnsi="宋体" w:eastAsia="宋体" w:cs="宋体"/>
                <w:color w:val="auto"/>
                <w:sz w:val="22"/>
                <w:szCs w:val="22"/>
                <w:highlight w:val="none"/>
              </w:rPr>
              <w:t> </w:t>
            </w:r>
          </w:p>
        </w:tc>
      </w:tr>
      <w:tr w14:paraId="227EF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379B55BE">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1</w:t>
            </w:r>
            <w:r>
              <w:rPr>
                <w:rFonts w:hint="eastAsia" w:ascii="宋体" w:hAnsi="宋体" w:cs="宋体"/>
                <w:b w:val="0"/>
                <w:bCs w:val="0"/>
                <w:color w:val="auto"/>
                <w:sz w:val="22"/>
                <w:szCs w:val="22"/>
                <w:highlight w:val="none"/>
                <w:lang w:val="en-US" w:eastAsia="zh-CN"/>
              </w:rPr>
              <w:t>4</w:t>
            </w:r>
          </w:p>
        </w:tc>
        <w:tc>
          <w:tcPr>
            <w:tcW w:w="9590" w:type="dxa"/>
            <w:tcBorders>
              <w:top w:val="single" w:color="000000" w:sz="2" w:space="0"/>
              <w:left w:val="single" w:color="000000" w:sz="2" w:space="0"/>
              <w:bottom w:val="single" w:color="auto" w:sz="4" w:space="0"/>
              <w:right w:val="single" w:color="000000" w:sz="8" w:space="0"/>
            </w:tcBorders>
            <w:vAlign w:val="center"/>
          </w:tcPr>
          <w:p w14:paraId="7FD781FB">
            <w:pPr>
              <w:widowControl/>
              <w:snapToGrid w:val="0"/>
              <w:spacing w:line="460" w:lineRule="exact"/>
              <w:jc w:val="left"/>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开标时间</w:t>
            </w:r>
            <w:r>
              <w:rPr>
                <w:rFonts w:hint="eastAsia" w:ascii="宋体" w:hAnsi="宋体" w:eastAsia="宋体" w:cs="宋体"/>
                <w:b w:val="0"/>
                <w:bCs w:val="0"/>
                <w:color w:val="auto"/>
                <w:sz w:val="22"/>
                <w:szCs w:val="22"/>
                <w:highlight w:val="none"/>
                <w:lang w:eastAsia="zh-CN"/>
              </w:rPr>
              <w:t>：</w:t>
            </w:r>
            <w:r>
              <w:rPr>
                <w:rFonts w:hint="eastAsia" w:ascii="宋体" w:hAnsi="宋体" w:cs="宋体"/>
                <w:b w:val="0"/>
                <w:bCs w:val="0"/>
                <w:color w:val="auto"/>
                <w:sz w:val="22"/>
                <w:szCs w:val="22"/>
                <w:highlight w:val="none"/>
                <w:lang w:val="en-US" w:eastAsia="zh-CN"/>
              </w:rPr>
              <w:t>详见招标公告</w:t>
            </w:r>
          </w:p>
          <w:p w14:paraId="787B5AAD">
            <w:pPr>
              <w:widowControl/>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开标地点（网址）：</w:t>
            </w:r>
            <w:r>
              <w:rPr>
                <w:rFonts w:hint="eastAsia" w:ascii="宋体" w:hAnsi="宋体" w:cs="宋体"/>
                <w:b w:val="0"/>
                <w:bCs w:val="0"/>
                <w:color w:val="auto"/>
                <w:sz w:val="22"/>
                <w:szCs w:val="22"/>
                <w:highlight w:val="none"/>
                <w:lang w:val="en-US" w:eastAsia="zh-CN"/>
              </w:rPr>
              <w:t>详见招标公告</w:t>
            </w:r>
          </w:p>
        </w:tc>
      </w:tr>
      <w:tr w14:paraId="3CB50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78AC54F4">
            <w:pPr>
              <w:snapToGrid w:val="0"/>
              <w:spacing w:line="460" w:lineRule="exact"/>
              <w:jc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1</w:t>
            </w:r>
            <w:r>
              <w:rPr>
                <w:rFonts w:hint="eastAsia" w:ascii="宋体" w:hAnsi="宋体" w:cs="宋体"/>
                <w:b w:val="0"/>
                <w:bCs w:val="0"/>
                <w:color w:val="auto"/>
                <w:sz w:val="22"/>
                <w:szCs w:val="22"/>
                <w:highlight w:val="none"/>
                <w:lang w:val="en-US" w:eastAsia="zh-CN"/>
              </w:rPr>
              <w:t>5</w:t>
            </w:r>
          </w:p>
        </w:tc>
        <w:tc>
          <w:tcPr>
            <w:tcW w:w="9590" w:type="dxa"/>
            <w:tcBorders>
              <w:top w:val="single" w:color="auto" w:sz="4" w:space="0"/>
              <w:left w:val="single" w:color="000000" w:sz="2" w:space="0"/>
              <w:bottom w:val="single" w:color="auto" w:sz="4" w:space="0"/>
              <w:right w:val="single" w:color="000000" w:sz="8" w:space="0"/>
            </w:tcBorders>
            <w:vAlign w:val="center"/>
          </w:tcPr>
          <w:p w14:paraId="0DBFE541">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带“▲”条款系指实质性要求条款。“★”是关键技术参数及要求。</w:t>
            </w:r>
          </w:p>
        </w:tc>
      </w:tr>
      <w:tr w14:paraId="5CA1D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6CCB53F0">
            <w:pPr>
              <w:widowControl/>
              <w:snapToGrid w:val="0"/>
              <w:spacing w:line="460" w:lineRule="exact"/>
              <w:jc w:val="center"/>
              <w:textAlignment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0"/>
                <w:sz w:val="22"/>
                <w:szCs w:val="22"/>
                <w:highlight w:val="none"/>
              </w:rPr>
              <w:t>1</w:t>
            </w:r>
            <w:r>
              <w:rPr>
                <w:rFonts w:hint="eastAsia" w:ascii="宋体" w:hAnsi="宋体" w:cs="宋体"/>
                <w:b w:val="0"/>
                <w:bCs w:val="0"/>
                <w:color w:val="auto"/>
                <w:kern w:val="0"/>
                <w:sz w:val="22"/>
                <w:szCs w:val="22"/>
                <w:highlight w:val="none"/>
                <w:lang w:val="en-US" w:eastAsia="zh-CN"/>
              </w:rPr>
              <w:t>6</w:t>
            </w:r>
          </w:p>
        </w:tc>
        <w:tc>
          <w:tcPr>
            <w:tcW w:w="9590" w:type="dxa"/>
            <w:tcBorders>
              <w:top w:val="single" w:color="auto" w:sz="4" w:space="0"/>
              <w:left w:val="single" w:color="000000" w:sz="2" w:space="0"/>
              <w:bottom w:val="single" w:color="auto" w:sz="4" w:space="0"/>
              <w:right w:val="single" w:color="000000" w:sz="8" w:space="0"/>
            </w:tcBorders>
            <w:vAlign w:val="center"/>
          </w:tcPr>
          <w:p w14:paraId="21DBE4C9">
            <w:pPr>
              <w:widowControl/>
              <w:snapToGrid w:val="0"/>
              <w:spacing w:line="460" w:lineRule="exact"/>
              <w:jc w:val="lef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14:paraId="56BF5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547855A">
            <w:pPr>
              <w:widowControl/>
              <w:snapToGrid w:val="0"/>
              <w:spacing w:line="460" w:lineRule="exact"/>
              <w:jc w:val="center"/>
              <w:textAlignment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0"/>
                <w:sz w:val="22"/>
                <w:szCs w:val="22"/>
                <w:highlight w:val="none"/>
              </w:rPr>
              <w:t>1</w:t>
            </w:r>
            <w:r>
              <w:rPr>
                <w:rFonts w:hint="eastAsia" w:ascii="宋体" w:hAnsi="宋体" w:cs="宋体"/>
                <w:b w:val="0"/>
                <w:bCs w:val="0"/>
                <w:color w:val="auto"/>
                <w:kern w:val="0"/>
                <w:sz w:val="22"/>
                <w:szCs w:val="22"/>
                <w:highlight w:val="none"/>
                <w:lang w:val="en-US" w:eastAsia="zh-CN"/>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6A615C5F">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val="0"/>
                <w:bCs/>
                <w:color w:val="auto"/>
                <w:kern w:val="10"/>
                <w:sz w:val="22"/>
                <w:szCs w:val="22"/>
                <w:highlight w:val="none"/>
              </w:rPr>
              <w:t>潜在供应商需在浙江政府采购网http://http://zfcg.czt.zj.gov.cn/进行免费注册，具体详见浙江政府采购网供应商注册要求。</w:t>
            </w:r>
          </w:p>
        </w:tc>
      </w:tr>
      <w:tr w14:paraId="6060D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BC88F72">
            <w:pPr>
              <w:widowControl/>
              <w:snapToGrid w:val="0"/>
              <w:spacing w:line="460" w:lineRule="exact"/>
              <w:jc w:val="center"/>
              <w:textAlignment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0"/>
                <w:sz w:val="22"/>
                <w:szCs w:val="22"/>
                <w:highlight w:val="none"/>
              </w:rPr>
              <w:t>1</w:t>
            </w:r>
            <w:r>
              <w:rPr>
                <w:rFonts w:hint="eastAsia" w:ascii="宋体" w:hAnsi="宋体" w:cs="宋体"/>
                <w:b w:val="0"/>
                <w:bCs w:val="0"/>
                <w:color w:val="auto"/>
                <w:kern w:val="0"/>
                <w:sz w:val="22"/>
                <w:szCs w:val="22"/>
                <w:highlight w:val="none"/>
                <w:lang w:val="en-US" w:eastAsia="zh-CN"/>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494166F3">
            <w:pPr>
              <w:shd w:val="clear"/>
              <w:adjustRightInd w:val="0"/>
              <w:snapToGrid w:val="0"/>
              <w:spacing w:line="460" w:lineRule="exact"/>
              <w:ind w:firstLine="442" w:firstLineChars="200"/>
              <w:rPr>
                <w:rFonts w:hint="eastAsia" w:ascii="新宋体" w:hAnsi="新宋体" w:eastAsia="新宋体" w:cs="新宋体"/>
                <w:b/>
                <w:bCs/>
                <w:color w:val="auto"/>
                <w:sz w:val="22"/>
                <w:szCs w:val="28"/>
                <w:highlight w:val="none"/>
              </w:rPr>
            </w:pPr>
            <w:r>
              <w:rPr>
                <w:rFonts w:hint="eastAsia" w:ascii="新宋体" w:hAnsi="新宋体" w:eastAsia="新宋体" w:cs="新宋体"/>
                <w:b/>
                <w:bCs/>
                <w:color w:val="auto"/>
                <w:sz w:val="22"/>
                <w:szCs w:val="28"/>
                <w:highlight w:val="none"/>
              </w:rPr>
              <w:t>1、扶持中小企业（监狱企业、残疾人福利性单位）：</w:t>
            </w:r>
          </w:p>
          <w:p w14:paraId="2D2B4E5F">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44174CC5">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1</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项目预算：</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300 </w:t>
            </w:r>
            <w:r>
              <w:rPr>
                <w:rFonts w:hint="eastAsia" w:ascii="新宋体" w:hAnsi="新宋体" w:eastAsia="新宋体" w:cs="新宋体"/>
                <w:color w:val="000000" w:themeColor="text1"/>
                <w:sz w:val="22"/>
                <w:szCs w:val="28"/>
                <w:highlight w:val="none"/>
                <w14:textFill>
                  <w14:solidFill>
                    <w14:schemeClr w14:val="tx1"/>
                  </w14:solidFill>
                </w14:textFill>
              </w:rPr>
              <w:t>万元</w:t>
            </w:r>
          </w:p>
          <w:p w14:paraId="307A55F1">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2</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项目属性：</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②服务类 </w:t>
            </w:r>
            <w:r>
              <w:rPr>
                <w:rFonts w:hint="eastAsia" w:ascii="新宋体" w:hAnsi="新宋体" w:eastAsia="新宋体" w:cs="新宋体"/>
                <w:color w:val="000000" w:themeColor="text1"/>
                <w:sz w:val="22"/>
                <w:szCs w:val="28"/>
                <w:highlight w:val="none"/>
                <w14:textFill>
                  <w14:solidFill>
                    <w14:schemeClr w14:val="tx1"/>
                  </w14:solidFill>
                </w14:textFill>
              </w:rPr>
              <w:t xml:space="preserve"> （①货物类/②服务类/③工程类）</w:t>
            </w:r>
          </w:p>
          <w:p w14:paraId="45080EAC">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3</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项目对应的中小企业划分标准所属行业：</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其他未列明行业 </w:t>
            </w:r>
            <w:r>
              <w:rPr>
                <w:rFonts w:hint="eastAsia" w:ascii="新宋体" w:hAnsi="新宋体" w:eastAsia="新宋体" w:cs="新宋体"/>
                <w:color w:val="000000" w:themeColor="text1"/>
                <w:sz w:val="22"/>
                <w:szCs w:val="28"/>
                <w:highlight w:val="none"/>
                <w14:textFill>
                  <w14:solidFill>
                    <w14:schemeClr w14:val="tx1"/>
                  </w14:solidFill>
                </w14:textFill>
              </w:rPr>
              <w:t>（具体根据《中小企业划型标准规定》执行）</w:t>
            </w:r>
          </w:p>
          <w:p w14:paraId="71A2C7A3">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备注：现行中小企业划分标准行业包括农、林、牧、渔业，工业，建筑业，批发业，零售业，交通运输业，仓储业，邮政业，住宿业，餐饮业，信息传输业，软件和信息技术服务业，房地产开发经营，物业管理，租赁和商</w:t>
            </w:r>
            <w:r>
              <w:rPr>
                <w:rFonts w:hint="eastAsia" w:ascii="新宋体" w:hAnsi="新宋体" w:eastAsia="新宋体" w:cs="新宋体"/>
                <w:color w:val="000000" w:themeColor="text1"/>
                <w:sz w:val="22"/>
                <w:szCs w:val="28"/>
                <w:highlight w:val="none"/>
                <w:lang w:val="en-US" w:eastAsia="zh-CN"/>
                <w14:textFill>
                  <w14:solidFill>
                    <w14:schemeClr w14:val="tx1"/>
                  </w14:solidFill>
                </w14:textFill>
              </w:rPr>
              <w:t>务</w:t>
            </w:r>
            <w:r>
              <w:rPr>
                <w:rFonts w:hint="eastAsia" w:ascii="新宋体" w:hAnsi="新宋体" w:eastAsia="新宋体" w:cs="新宋体"/>
                <w:color w:val="000000" w:themeColor="text1"/>
                <w:sz w:val="22"/>
                <w:szCs w:val="28"/>
                <w:highlight w:val="none"/>
                <w14:textFill>
                  <w14:solidFill>
                    <w14:schemeClr w14:val="tx1"/>
                  </w14:solidFill>
                </w14:textFill>
              </w:rPr>
              <w:t>服务业和其他未列明行业等十六类。）</w:t>
            </w:r>
          </w:p>
          <w:p w14:paraId="4598791A">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4</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本项目</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14:textFill>
                  <w14:solidFill>
                    <w14:schemeClr w14:val="tx1"/>
                  </w14:solidFill>
                </w14:textFill>
              </w:rPr>
              <w:t>（</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是</w:t>
            </w:r>
            <w:r>
              <w:rPr>
                <w:rFonts w:hint="eastAsia" w:ascii="新宋体" w:hAnsi="新宋体" w:eastAsia="新宋体" w:cs="新宋体"/>
                <w:color w:val="000000" w:themeColor="text1"/>
                <w:sz w:val="22"/>
                <w:szCs w:val="28"/>
                <w:highlight w:val="none"/>
                <w:u w:val="single"/>
                <w14:textFill>
                  <w14:solidFill>
                    <w14:schemeClr w14:val="tx1"/>
                  </w14:solidFill>
                </w14:textFill>
              </w:rPr>
              <w:t>）</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属于预留份额专门面向中小企业采购的项目。</w:t>
            </w:r>
          </w:p>
          <w:p w14:paraId="3601913B">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5</w:t>
            </w: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上述第4项中确定为“是”的采购项目，预留份额通过（①）措施进行：</w:t>
            </w:r>
          </w:p>
          <w:p w14:paraId="4DFD2A4D">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 xml:space="preserve">①将采购项目整体或者设置采购包专门面向中小企业采购； </w:t>
            </w:r>
          </w:p>
          <w:p w14:paraId="0F190679">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②要求供应商以联合体形式参加采购活动，且联合体中中小企业承担的部分达到</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 xml:space="preserve"> (比例)； </w:t>
            </w:r>
          </w:p>
          <w:p w14:paraId="0379974D">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 xml:space="preserve">③要求获得采购合同的供应商将采购项目中的 </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(比例)分包给一家或者多家中小企业。</w:t>
            </w:r>
          </w:p>
          <w:p w14:paraId="517C5D3C">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6</w:t>
            </w:r>
            <w:r>
              <w:rPr>
                <w:rFonts w:hint="eastAsia" w:ascii="新宋体" w:hAnsi="新宋体" w:eastAsia="新宋体" w:cs="新宋体"/>
                <w:color w:val="auto"/>
                <w:sz w:val="22"/>
                <w:szCs w:val="28"/>
                <w:highlight w:val="none"/>
                <w:lang w:eastAsia="zh-CN"/>
              </w:rPr>
              <w:t>）</w:t>
            </w:r>
            <w:r>
              <w:rPr>
                <w:rFonts w:hint="eastAsia" w:ascii="新宋体" w:hAnsi="新宋体" w:eastAsia="新宋体" w:cs="新宋体"/>
                <w:color w:val="auto"/>
                <w:sz w:val="22"/>
                <w:szCs w:val="28"/>
                <w:highlight w:val="none"/>
              </w:rPr>
              <w:t>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u w:val="single"/>
                <w:lang w:val="en-US" w:eastAsia="zh-CN"/>
              </w:rPr>
              <w:t>10%</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 xml:space="preserve">（工程项目为5%）的扣除，用扣除后的价格参加评审。 </w:t>
            </w:r>
          </w:p>
          <w:p w14:paraId="600595D1">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u w:val="single"/>
                <w:lang w:val="en-US" w:eastAsia="zh-CN"/>
              </w:rPr>
              <w:t>6%</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（工程项目为 2%）的扣除，用扣除后的价格参加评审。</w:t>
            </w:r>
          </w:p>
          <w:p w14:paraId="43B7DE66">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专门面向中小企业采购的项目或者标项，不再执行价格评审优惠的扶持政策。</w:t>
            </w:r>
          </w:p>
          <w:p w14:paraId="1A7C92F9">
            <w:pPr>
              <w:widowControl/>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、节能产品、环境标志产品的强制采购政策</w:t>
            </w:r>
          </w:p>
          <w:p w14:paraId="42713FB6">
            <w:pPr>
              <w:widowControl/>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强制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p w14:paraId="0C68A0FA">
            <w:pPr>
              <w:widowControl/>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、节能产品、环境标志产品的优先采购政策</w:t>
            </w:r>
          </w:p>
          <w:p w14:paraId="53134DFC">
            <w:pPr>
              <w:widowControl/>
              <w:snapToGrid w:val="0"/>
              <w:spacing w:line="460" w:lineRule="exact"/>
              <w:ind w:firstLine="440" w:firstLineChars="200"/>
              <w:jc w:val="left"/>
              <w:rPr>
                <w:rFonts w:hint="eastAsia" w:ascii="宋体" w:hAnsi="宋体" w:eastAsia="宋体" w:cs="宋体"/>
                <w:b/>
                <w:color w:val="auto"/>
                <w:kern w:val="10"/>
                <w:sz w:val="22"/>
                <w:szCs w:val="22"/>
                <w:highlight w:val="none"/>
              </w:rPr>
            </w:pPr>
            <w:r>
              <w:rPr>
                <w:rFonts w:hint="eastAsia" w:ascii="宋体" w:hAnsi="宋体" w:eastAsia="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优先采购品目的，供应商提供的产品应具有国家确定的认证机构出具的、处于有效期之内的节能产品、环境标志产品认证证书，并在响应文件中提供该产品节能产品、环境标志产品认证证书</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（注：本项目执行最新政府采购节能产品、环境标志产品品目清单。）</w:t>
            </w:r>
          </w:p>
        </w:tc>
      </w:tr>
      <w:tr w14:paraId="71A2A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55D086B">
            <w:pPr>
              <w:widowControl/>
              <w:snapToGrid w:val="0"/>
              <w:spacing w:line="460" w:lineRule="exact"/>
              <w:jc w:val="center"/>
              <w:textAlignment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0"/>
                <w:sz w:val="22"/>
                <w:szCs w:val="22"/>
                <w:highlight w:val="none"/>
              </w:rPr>
              <w:t>1</w:t>
            </w:r>
            <w:r>
              <w:rPr>
                <w:rFonts w:hint="eastAsia" w:ascii="宋体" w:hAnsi="宋体" w:cs="宋体"/>
                <w:b w:val="0"/>
                <w:bCs w:val="0"/>
                <w:color w:val="auto"/>
                <w:kern w:val="0"/>
                <w:sz w:val="22"/>
                <w:szCs w:val="22"/>
                <w:highlight w:val="none"/>
                <w:lang w:val="en-US" w:eastAsia="zh-CN"/>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05A27352">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根据《关于在政府采购活动中查询及使用信用记录有关问题的通知》财库[2016]125号的规定：</w:t>
            </w:r>
          </w:p>
          <w:p w14:paraId="7C40795A">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1）招标人或采购代理机构将对本项目供应商的信用记录进行查询。查询渠道为信用中国网站（www.creditchina.gov.cn）、中国政府采购网（www.ccgp.gov.cn）；</w:t>
            </w:r>
          </w:p>
          <w:p w14:paraId="6D493005">
            <w:pPr>
              <w:snapToGrid w:val="0"/>
              <w:spacing w:line="460" w:lineRule="exact"/>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2）截止时点：</w:t>
            </w:r>
            <w:r>
              <w:rPr>
                <w:rFonts w:hint="eastAsia" w:ascii="宋体" w:hAnsi="宋体" w:eastAsia="宋体" w:cs="宋体"/>
                <w:color w:val="auto"/>
                <w:sz w:val="22"/>
                <w:highlight w:val="none"/>
              </w:rPr>
              <w:t>招标公告发布之日至投标截止时间前</w:t>
            </w:r>
            <w:r>
              <w:rPr>
                <w:rFonts w:hint="eastAsia" w:ascii="宋体" w:hAnsi="宋体" w:eastAsia="宋体" w:cs="宋体"/>
                <w:color w:val="auto"/>
                <w:sz w:val="22"/>
                <w:szCs w:val="22"/>
                <w:highlight w:val="none"/>
              </w:rPr>
              <w:t>；</w:t>
            </w:r>
          </w:p>
          <w:p w14:paraId="4FB9BDDD">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3）查询记录和证据的留存：信用信息查询记录和证据以网页截图等方式留存。</w:t>
            </w:r>
          </w:p>
          <w:p w14:paraId="51CF3693">
            <w:pPr>
              <w:snapToGrid w:val="0"/>
              <w:spacing w:line="460" w:lineRule="exact"/>
              <w:ind w:left="105" w:leftChars="5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48C6ED3E">
            <w:pPr>
              <w:snapToGrid w:val="0"/>
              <w:spacing w:line="460" w:lineRule="exact"/>
              <w:rPr>
                <w:rFonts w:hint="eastAsia" w:ascii="宋体" w:hAnsi="宋体" w:eastAsia="宋体" w:cs="宋体"/>
                <w:b/>
                <w:color w:val="auto"/>
                <w:kern w:val="1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5）联合体成员任意一方存在不良信用记录的，视同联合体存在不良信用记录。</w:t>
            </w:r>
          </w:p>
        </w:tc>
      </w:tr>
      <w:tr w14:paraId="0E30F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10375" w:type="dxa"/>
            <w:gridSpan w:val="2"/>
            <w:tcBorders>
              <w:top w:val="single" w:color="000000" w:sz="2" w:space="0"/>
              <w:left w:val="single" w:color="000000" w:sz="8" w:space="0"/>
              <w:bottom w:val="single" w:color="000000" w:sz="2" w:space="0"/>
              <w:right w:val="single" w:color="000000" w:sz="8" w:space="0"/>
            </w:tcBorders>
            <w:vAlign w:val="center"/>
          </w:tcPr>
          <w:p w14:paraId="0274FD68">
            <w:pPr>
              <w:snapToGrid w:val="0"/>
              <w:spacing w:line="460" w:lineRule="exact"/>
              <w:ind w:left="105" w:leftChars="50"/>
              <w:rPr>
                <w:rFonts w:hint="eastAsia" w:ascii="宋体" w:hAnsi="宋体" w:eastAsia="宋体" w:cs="宋体"/>
                <w:b/>
                <w:bCs/>
                <w:color w:val="auto"/>
                <w:kern w:val="0"/>
                <w:sz w:val="22"/>
                <w:szCs w:val="22"/>
                <w:highlight w:val="none"/>
              </w:rPr>
            </w:pPr>
            <w:r>
              <w:rPr>
                <w:rFonts w:hint="eastAsia" w:ascii="宋体" w:hAnsi="宋体" w:eastAsia="宋体" w:cs="宋体"/>
                <w:b/>
                <w:bCs/>
                <w:color w:val="auto"/>
                <w:sz w:val="22"/>
                <w:szCs w:val="22"/>
                <w:highlight w:val="none"/>
                <w:lang w:val="en-US" w:eastAsia="zh-CN"/>
              </w:rPr>
              <w:t>注：招标文件其他组成部分涉及与前附表相同内容，如有不明确或不一致，以前附表规定为准。</w:t>
            </w:r>
          </w:p>
        </w:tc>
      </w:tr>
    </w:tbl>
    <w:p w14:paraId="1EEEB254">
      <w:pPr>
        <w:rPr>
          <w:rFonts w:hint="eastAsia" w:ascii="宋体" w:hAnsi="宋体" w:eastAsia="宋体" w:cs="宋体"/>
          <w:b/>
          <w:bCs/>
          <w:color w:val="auto"/>
          <w:sz w:val="26"/>
          <w:szCs w:val="26"/>
          <w:highlight w:val="none"/>
        </w:rPr>
      </w:pPr>
      <w:bookmarkStart w:id="10" w:name="_Toc19070"/>
      <w:bookmarkStart w:id="11" w:name="_Toc20846"/>
      <w:r>
        <w:rPr>
          <w:rFonts w:hint="eastAsia" w:ascii="宋体" w:hAnsi="宋体" w:eastAsia="宋体" w:cs="宋体"/>
          <w:b/>
          <w:bCs/>
          <w:color w:val="auto"/>
          <w:sz w:val="26"/>
          <w:szCs w:val="26"/>
          <w:highlight w:val="none"/>
        </w:rPr>
        <w:br w:type="page"/>
      </w:r>
    </w:p>
    <w:p w14:paraId="1BCD6488">
      <w:pPr>
        <w:spacing w:before="100" w:beforeAutospacing="1" w:after="100" w:afterAutospacing="1" w:line="46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26"/>
          <w:szCs w:val="26"/>
          <w:highlight w:val="none"/>
        </w:rPr>
        <w:t>一、 说   明</w:t>
      </w:r>
      <w:bookmarkEnd w:id="10"/>
      <w:bookmarkEnd w:id="11"/>
    </w:p>
    <w:p w14:paraId="3A08B233">
      <w:pPr>
        <w:tabs>
          <w:tab w:val="left" w:pos="360"/>
        </w:tabs>
        <w:spacing w:line="460" w:lineRule="exact"/>
        <w:ind w:firstLine="550" w:firstLineChars="2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本次招标是按照《中华人民共和国政府采购法》、《政府采购货物和服务招标投标管理办法》、《中华人民共和国政府采购法实施条例》和《关于进一步规范政府采购活动的若干意见》等法律及有关法规组织和实施的。</w:t>
      </w:r>
    </w:p>
    <w:p w14:paraId="23CAF6D7">
      <w:pPr>
        <w:tabs>
          <w:tab w:val="left" w:pos="360"/>
        </w:tabs>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2、定义</w:t>
      </w:r>
    </w:p>
    <w:p w14:paraId="48D8D41B">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招标人：是指依法进行政府采购的国家机关、事业单位、团体组织</w:t>
      </w:r>
    </w:p>
    <w:p w14:paraId="0AB7F815">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招标代理机构：受招标人委托，在委托的范围内办理政府采购事宜的机构；</w:t>
      </w:r>
    </w:p>
    <w:p w14:paraId="1F42396C">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投标人：是指参加本政府采购项目投标的供应商；</w:t>
      </w:r>
    </w:p>
    <w:p w14:paraId="3892DC95">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投标人代表：是指参加本项目投标活动的供应商法定代表人或法定代表人授权代表；</w:t>
      </w:r>
    </w:p>
    <w:p w14:paraId="599C4CEB">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投标联合体：是指两个以上供应商组成联合体，以一个供应商的身份参加投标；</w:t>
      </w:r>
    </w:p>
    <w:p w14:paraId="71556A6F">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甲方：是指合同签订的一方，一般与招标人、用户相同；</w:t>
      </w:r>
    </w:p>
    <w:p w14:paraId="7AD01BB7">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乙方：是指合同签订的另一方，与中标人相同；</w:t>
      </w:r>
    </w:p>
    <w:p w14:paraId="360382B3">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制造商：是指拥有投标产品自主知识产权的单位；</w:t>
      </w:r>
    </w:p>
    <w:p w14:paraId="59E7C16D">
      <w:pPr>
        <w:tabs>
          <w:tab w:val="left" w:pos="360"/>
        </w:tabs>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原件备查：要求携带原件备查的，供应商应按要求携带备查，如评标委员会发现投标文件资料复印件存有瑕疵，致使内容模糊、关键信息难以辨认、材料真实性存疑等情形的，有权核对原件或评标委员会认为有必有核对原件，若供应商未能提交原件，将会导致评标委员会作出对其不利的评定，一切后果由供应商自行承担。</w:t>
      </w:r>
    </w:p>
    <w:p w14:paraId="25A798CF">
      <w:pPr>
        <w:tabs>
          <w:tab w:val="left" w:pos="360"/>
        </w:tabs>
        <w:spacing w:line="460" w:lineRule="exact"/>
        <w:ind w:firstLine="552" w:firstLineChars="2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带“▲”条款系指实质性要求条款。“★”是关键技术参数及要求。</w:t>
      </w:r>
    </w:p>
    <w:p w14:paraId="0E61D3EA">
      <w:pPr>
        <w:tabs>
          <w:tab w:val="left" w:pos="360"/>
        </w:tabs>
        <w:spacing w:line="460" w:lineRule="exact"/>
        <w:ind w:firstLine="541" w:firstLineChars="245"/>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3、投标人代表</w:t>
      </w:r>
    </w:p>
    <w:p w14:paraId="5D468132">
      <w:pPr>
        <w:tabs>
          <w:tab w:val="left" w:pos="360"/>
        </w:tabs>
        <w:spacing w:line="460" w:lineRule="exact"/>
        <w:ind w:firstLine="539" w:firstLineChars="245"/>
        <w:rPr>
          <w:rFonts w:hint="eastAsia" w:ascii="宋体" w:hAnsi="宋体" w:eastAsia="宋体" w:cs="宋体"/>
          <w:b w:val="0"/>
          <w:bCs/>
          <w:color w:val="auto"/>
          <w:sz w:val="22"/>
          <w:highlight w:val="none"/>
        </w:rPr>
      </w:pPr>
      <w:r>
        <w:rPr>
          <w:rFonts w:hint="eastAsia" w:ascii="宋体" w:hAnsi="宋体" w:eastAsia="宋体" w:cs="宋体"/>
          <w:b w:val="0"/>
          <w:bCs/>
          <w:color w:val="auto"/>
          <w:sz w:val="22"/>
          <w:szCs w:val="22"/>
          <w:highlight w:val="none"/>
        </w:rPr>
        <w:t>3.1</w:t>
      </w:r>
      <w:r>
        <w:rPr>
          <w:rFonts w:hint="eastAsia" w:ascii="宋体" w:hAnsi="宋体" w:eastAsia="宋体" w:cs="宋体"/>
          <w:b w:val="0"/>
          <w:bCs/>
          <w:color w:val="auto"/>
          <w:sz w:val="22"/>
          <w:highlight w:val="none"/>
        </w:rPr>
        <w:t>指全权代表投标人参加投标活动并签署投标文件的人。如果投标人代表不是法定代表人，须持有《法定代表人授权书》（见附件）</w:t>
      </w:r>
    </w:p>
    <w:p w14:paraId="5098694B">
      <w:pPr>
        <w:tabs>
          <w:tab w:val="left" w:pos="360"/>
        </w:tabs>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宋体" w:hAnsi="宋体" w:eastAsia="宋体" w:cs="宋体"/>
          <w:b/>
          <w:color w:val="auto"/>
          <w:sz w:val="22"/>
          <w:szCs w:val="22"/>
          <w:highlight w:val="none"/>
        </w:rPr>
        <w:t>。</w:t>
      </w:r>
    </w:p>
    <w:p w14:paraId="79831B1D">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4、投标费用</w:t>
      </w:r>
    </w:p>
    <w:p w14:paraId="6E9C634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4.1投</w:t>
      </w:r>
      <w:r>
        <w:rPr>
          <w:rFonts w:hint="eastAsia" w:ascii="宋体" w:hAnsi="宋体" w:eastAsia="宋体" w:cs="宋体"/>
          <w:color w:val="auto"/>
          <w:sz w:val="22"/>
          <w:szCs w:val="22"/>
          <w:highlight w:val="none"/>
        </w:rPr>
        <w:t>标人应承担所有与准备和参加投标有关费用，不论投标的结果如何，招标人或招标代理机构均无义务和责任承担这些费用。</w:t>
      </w:r>
    </w:p>
    <w:p w14:paraId="51B0E1C7">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rPr>
      </w:pPr>
      <w:bookmarkStart w:id="12" w:name="_Toc28278"/>
      <w:bookmarkStart w:id="13" w:name="_Toc9899"/>
      <w:r>
        <w:rPr>
          <w:rFonts w:hint="eastAsia" w:ascii="宋体" w:hAnsi="宋体" w:eastAsia="宋体" w:cs="宋体"/>
          <w:b/>
          <w:bCs/>
          <w:color w:val="auto"/>
          <w:sz w:val="26"/>
          <w:szCs w:val="26"/>
          <w:highlight w:val="none"/>
        </w:rPr>
        <w:t>二、 招标文件</w:t>
      </w:r>
      <w:bookmarkEnd w:id="12"/>
      <w:bookmarkEnd w:id="13"/>
    </w:p>
    <w:p w14:paraId="0D0449BB">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1、招标文件由招标文件目录所列内容及相关资料组成。</w:t>
      </w:r>
    </w:p>
    <w:p w14:paraId="3AC3B5AE">
      <w:pPr>
        <w:tabs>
          <w:tab w:val="left" w:pos="360"/>
        </w:tabs>
        <w:spacing w:line="460" w:lineRule="exact"/>
        <w:ind w:firstLine="552" w:firstLineChars="25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2、招标文件的澄清</w:t>
      </w:r>
    </w:p>
    <w:p w14:paraId="673C0DA3">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2.1 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有必要，可将不说明问题来源的答复发给各投标文件收受人或召开答疑会。如果招标文件澄清期内未收到有关澄清要求，视为投标人完全同意招标文件所有条款，且对于招标文件有关表述以及未尽事宜如有异议，以招标人或招标代理机构解释为准。</w:t>
      </w:r>
    </w:p>
    <w:p w14:paraId="38307614">
      <w:pPr>
        <w:tabs>
          <w:tab w:val="left" w:pos="360"/>
        </w:tabs>
        <w:spacing w:line="460" w:lineRule="exact"/>
        <w:ind w:firstLine="552" w:firstLineChars="25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3、招标文件的修改</w:t>
      </w:r>
    </w:p>
    <w:p w14:paraId="40505B7C">
      <w:pPr>
        <w:tabs>
          <w:tab w:val="left" w:pos="360"/>
        </w:tabs>
        <w:spacing w:line="4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3.1招标人或招标代理机构对已发出的招标文件进行必要的澄清或者修改的，应当在招标文件要求递交投标文件截止时间十五日前，在财政部门指定的政府采购信息发布媒体上发布更正公告。该澄清或修改内容为招标文件的组成部分。</w:t>
      </w:r>
    </w:p>
    <w:p w14:paraId="07207B05">
      <w:pPr>
        <w:spacing w:line="460" w:lineRule="exact"/>
        <w:ind w:firstLine="539" w:firstLineChars="245"/>
        <w:rPr>
          <w:rFonts w:ascii="宋体" w:hAnsi="宋体" w:cs="宋体"/>
          <w:b/>
          <w:color w:val="auto"/>
          <w:sz w:val="22"/>
          <w:szCs w:val="22"/>
          <w:highlight w:val="none"/>
        </w:rPr>
      </w:pPr>
      <w:r>
        <w:rPr>
          <w:rFonts w:hint="eastAsia" w:ascii="宋体" w:hAnsi="宋体" w:cs="宋体"/>
          <w:color w:val="auto"/>
          <w:sz w:val="22"/>
          <w:highlight w:val="none"/>
        </w:rPr>
        <w:t>3.2招标人、招标代理机构可以视采购的具体情况决定是否延长投标截止时间和开标时间，并在招标文件要求递交投标文件的截止时间前，在财政部门指定的政府采购信息发布媒体上发布变更公告。</w:t>
      </w:r>
    </w:p>
    <w:p w14:paraId="4738ACFB">
      <w:pPr>
        <w:spacing w:line="460" w:lineRule="exact"/>
        <w:ind w:firstLine="539" w:firstLineChars="245"/>
        <w:rPr>
          <w:rFonts w:hint="eastAsia" w:ascii="宋体" w:hAnsi="宋体" w:eastAsia="宋体" w:cs="宋体"/>
          <w:b/>
          <w:color w:val="auto"/>
          <w:sz w:val="22"/>
          <w:szCs w:val="22"/>
          <w:highlight w:val="yellow"/>
        </w:rPr>
      </w:pPr>
      <w:r>
        <w:rPr>
          <w:rFonts w:hint="eastAsia" w:ascii="宋体" w:hAnsi="宋体" w:eastAsia="宋体" w:cs="宋体"/>
          <w:color w:val="auto"/>
          <w:sz w:val="22"/>
          <w:highlight w:val="none"/>
          <w:lang w:val="en-US" w:eastAsia="zh-CN"/>
        </w:rPr>
        <w:t>注：</w:t>
      </w:r>
      <w:r>
        <w:rPr>
          <w:rFonts w:hint="eastAsia" w:ascii="宋体" w:hAnsi="宋体" w:eastAsia="宋体" w:cs="宋体"/>
          <w:color w:val="auto"/>
          <w:sz w:val="22"/>
          <w:highlight w:val="none"/>
        </w:rPr>
        <w:t>潜在投标人应自行关注网站公告，</w:t>
      </w:r>
      <w:r>
        <w:rPr>
          <w:rFonts w:hint="eastAsia" w:ascii="宋体" w:hAnsi="宋体" w:cs="宋体"/>
          <w:color w:val="auto"/>
          <w:sz w:val="22"/>
          <w:highlight w:val="none"/>
        </w:rPr>
        <w:t>招标人、招标代理机构</w:t>
      </w:r>
      <w:r>
        <w:rPr>
          <w:rFonts w:hint="eastAsia" w:ascii="宋体" w:hAnsi="宋体" w:eastAsia="宋体" w:cs="宋体"/>
          <w:color w:val="auto"/>
          <w:sz w:val="22"/>
          <w:highlight w:val="none"/>
        </w:rPr>
        <w:t>不再一一通知。投标人因自身贻误行为导致投标失败的，责任自负。</w:t>
      </w:r>
    </w:p>
    <w:p w14:paraId="10726FF6">
      <w:pPr>
        <w:spacing w:line="460" w:lineRule="exact"/>
        <w:ind w:firstLine="541" w:firstLineChars="245"/>
        <w:rPr>
          <w:rFonts w:hint="eastAsia" w:ascii="宋体" w:hAnsi="宋体" w:eastAsia="宋体" w:cs="宋体"/>
          <w:b/>
          <w:color w:val="auto"/>
          <w:sz w:val="22"/>
          <w:szCs w:val="22"/>
          <w:highlight w:val="yellow"/>
        </w:rPr>
      </w:pPr>
    </w:p>
    <w:p w14:paraId="6A3CB9B7">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rPr>
      </w:pPr>
      <w:bookmarkStart w:id="14" w:name="_Toc12726"/>
      <w:bookmarkStart w:id="15" w:name="_Toc22646"/>
      <w:r>
        <w:rPr>
          <w:rFonts w:hint="eastAsia" w:ascii="宋体" w:hAnsi="宋体" w:eastAsia="宋体" w:cs="宋体"/>
          <w:b/>
          <w:bCs/>
          <w:color w:val="auto"/>
          <w:sz w:val="26"/>
          <w:szCs w:val="26"/>
          <w:highlight w:val="none"/>
        </w:rPr>
        <w:t>三、 投标文件的编制</w:t>
      </w:r>
      <w:bookmarkEnd w:id="14"/>
      <w:bookmarkEnd w:id="15"/>
    </w:p>
    <w:p w14:paraId="67CCAA1E">
      <w:pPr>
        <w:tabs>
          <w:tab w:val="left" w:pos="360"/>
        </w:tabs>
        <w:spacing w:line="460" w:lineRule="exact"/>
        <w:ind w:firstLine="550" w:firstLineChars="250"/>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1、投标人应认真阅读招标文件中所有事项、格式、条款和技术规范等。投标人没有按照招标文件要求提交全部资料，或者没有对招标文件各个方面做出实质性响应，导致投标被否决的风险由投标人自行承担。</w:t>
      </w:r>
    </w:p>
    <w:p w14:paraId="42FB6E82">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highlight w:val="none"/>
        </w:rPr>
        <w:t>2、投标人应保证所提供文件资料的真实性，所有文件资料必须是针对本次投标的。如发现投标人提供了虚假文件资料，其投标将被否决，并自行承担相应的法律责任。</w:t>
      </w:r>
    </w:p>
    <w:p w14:paraId="2635913E">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bCs/>
          <w:color w:val="auto"/>
          <w:sz w:val="22"/>
          <w:szCs w:val="22"/>
          <w:highlight w:val="none"/>
        </w:rPr>
        <w:t>投标文件的构成：</w:t>
      </w:r>
    </w:p>
    <w:p w14:paraId="3CADF224">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rPr>
        <w:t>投标</w:t>
      </w:r>
      <w:r>
        <w:rPr>
          <w:rFonts w:hint="eastAsia" w:ascii="宋体" w:hAnsi="宋体" w:eastAsia="宋体" w:cs="宋体"/>
          <w:b w:val="0"/>
          <w:bCs w:val="0"/>
          <w:color w:val="auto"/>
          <w:kern w:val="0"/>
          <w:sz w:val="22"/>
          <w:szCs w:val="22"/>
          <w:highlight w:val="none"/>
          <w:lang w:val="zh-CN"/>
        </w:rPr>
        <w:t>文件应当包括以下主要内容：资格文件、报价文件、商务技术文件。</w:t>
      </w:r>
    </w:p>
    <w:p w14:paraId="4C93A234">
      <w:pPr>
        <w:spacing w:line="460" w:lineRule="exact"/>
        <w:ind w:firstLine="541" w:firstLineChars="245"/>
        <w:rPr>
          <w:rFonts w:hint="eastAsia" w:ascii="宋体" w:hAnsi="宋体" w:eastAsia="宋体" w:cs="宋体"/>
          <w:b/>
          <w:bCs/>
          <w:color w:val="auto"/>
          <w:kern w:val="0"/>
          <w:sz w:val="22"/>
          <w:szCs w:val="22"/>
          <w:highlight w:val="none"/>
          <w:u w:val="none"/>
          <w:lang w:val="zh-CN"/>
        </w:rPr>
      </w:pPr>
      <w:r>
        <w:rPr>
          <w:rFonts w:hint="eastAsia" w:ascii="宋体" w:hAnsi="宋体" w:eastAsia="宋体" w:cs="宋体"/>
          <w:b/>
          <w:bCs/>
          <w:color w:val="auto"/>
          <w:kern w:val="0"/>
          <w:sz w:val="22"/>
          <w:szCs w:val="22"/>
          <w:highlight w:val="none"/>
          <w:u w:val="none"/>
        </w:rPr>
        <w:t>3.1</w:t>
      </w:r>
      <w:r>
        <w:rPr>
          <w:rFonts w:hint="eastAsia" w:ascii="宋体" w:hAnsi="宋体" w:eastAsia="宋体" w:cs="宋体"/>
          <w:b/>
          <w:bCs/>
          <w:color w:val="auto"/>
          <w:kern w:val="0"/>
          <w:sz w:val="22"/>
          <w:szCs w:val="22"/>
          <w:highlight w:val="none"/>
          <w:u w:val="none"/>
          <w:lang w:val="zh-CN"/>
        </w:rPr>
        <w:t xml:space="preserve">投标人的资格文件至少应包括以下内容： </w:t>
      </w:r>
    </w:p>
    <w:p w14:paraId="559AD397">
      <w:pPr>
        <w:spacing w:line="460" w:lineRule="exact"/>
        <w:ind w:firstLine="539" w:firstLineChars="245"/>
        <w:rPr>
          <w:rFonts w:hint="eastAsia" w:ascii="宋体" w:hAnsi="宋体" w:eastAsia="宋体" w:cs="宋体"/>
          <w:color w:val="auto"/>
          <w:kern w:val="0"/>
          <w:sz w:val="22"/>
          <w:szCs w:val="22"/>
          <w:highlight w:val="none"/>
          <w:u w:val="none"/>
          <w:lang w:val="en-US" w:eastAsia="zh-CN"/>
        </w:rPr>
      </w:pPr>
      <w:r>
        <w:rPr>
          <w:rFonts w:hint="eastAsia" w:ascii="宋体" w:hAnsi="宋体" w:eastAsia="宋体" w:cs="宋体"/>
          <w:color w:val="auto"/>
          <w:kern w:val="0"/>
          <w:sz w:val="22"/>
          <w:szCs w:val="22"/>
          <w:highlight w:val="none"/>
          <w:u w:val="none"/>
          <w:lang w:val="zh-CN"/>
        </w:rPr>
        <w:t>基本资格条件审查材料：</w:t>
      </w:r>
      <w:r>
        <w:rPr>
          <w:rFonts w:hint="eastAsia" w:ascii="宋体" w:hAnsi="宋体" w:eastAsia="宋体" w:cs="宋体"/>
          <w:color w:val="auto"/>
          <w:kern w:val="0"/>
          <w:sz w:val="22"/>
          <w:szCs w:val="22"/>
          <w:highlight w:val="none"/>
          <w:u w:val="none"/>
          <w:lang w:val="en-US" w:eastAsia="zh-CN"/>
        </w:rPr>
        <w:t>即证明供应商</w:t>
      </w:r>
      <w:r>
        <w:rPr>
          <w:rFonts w:hint="eastAsia" w:ascii="宋体" w:hAnsi="宋体" w:eastAsia="宋体" w:cs="宋体"/>
          <w:color w:val="auto"/>
          <w:kern w:val="0"/>
          <w:sz w:val="22"/>
          <w:szCs w:val="22"/>
          <w:highlight w:val="none"/>
          <w:u w:val="none"/>
          <w:lang w:val="zh-CN"/>
        </w:rPr>
        <w:t>参加本次政府采购活动前3年内</w:t>
      </w:r>
      <w:r>
        <w:rPr>
          <w:rFonts w:hint="eastAsia"/>
          <w:color w:val="auto"/>
          <w:sz w:val="22"/>
          <w:szCs w:val="22"/>
          <w:highlight w:val="none"/>
          <w:u w:val="none"/>
          <w:lang w:val="en-US" w:eastAsia="zh-CN"/>
        </w:rPr>
        <w:t>满足《中华人民共和国政府采购法》</w:t>
      </w:r>
      <w:r>
        <w:rPr>
          <w:rFonts w:hint="eastAsia" w:ascii="宋体" w:hAnsi="宋体" w:eastAsia="宋体" w:cs="宋体"/>
          <w:color w:val="auto"/>
          <w:kern w:val="0"/>
          <w:sz w:val="22"/>
          <w:szCs w:val="22"/>
          <w:highlight w:val="none"/>
          <w:u w:val="none"/>
          <w:lang w:val="zh-CN"/>
        </w:rPr>
        <w:t>的有关资格证明文件。</w:t>
      </w:r>
      <w:r>
        <w:rPr>
          <w:rFonts w:hint="eastAsia" w:ascii="宋体" w:hAnsi="宋体" w:eastAsia="宋体" w:cs="宋体"/>
          <w:color w:val="auto"/>
          <w:kern w:val="0"/>
          <w:sz w:val="22"/>
          <w:szCs w:val="22"/>
          <w:highlight w:val="none"/>
          <w:u w:val="none"/>
          <w:lang w:val="en-US" w:eastAsia="zh-CN"/>
        </w:rPr>
        <w:t>包括：</w:t>
      </w:r>
    </w:p>
    <w:p w14:paraId="0C589E95">
      <w:pPr>
        <w:snapToGrid w:val="0"/>
        <w:spacing w:line="460" w:lineRule="exact"/>
        <w:ind w:left="105" w:leftChars="50" w:firstLine="440" w:firstLineChars="200"/>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资格条件承诺函</w:t>
      </w:r>
      <w:r>
        <w:rPr>
          <w:rFonts w:hint="eastAsia" w:ascii="宋体" w:hAnsi="宋体" w:eastAsia="宋体" w:cs="宋体"/>
          <w:color w:val="auto"/>
          <w:sz w:val="22"/>
          <w:szCs w:val="22"/>
          <w:highlight w:val="none"/>
          <w:u w:val="none"/>
          <w:lang w:eastAsia="zh-CN"/>
        </w:rPr>
        <w:t>；</w:t>
      </w:r>
    </w:p>
    <w:p w14:paraId="09251FDF">
      <w:pPr>
        <w:snapToGrid w:val="0"/>
        <w:spacing w:line="460" w:lineRule="exact"/>
        <w:ind w:left="105" w:leftChars="5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 xml:space="preserve">）营业执照(或事业法人登记证书或其它工商等登记证明材料；自然人参与政府采购，提供身份证)复印件； </w:t>
      </w:r>
    </w:p>
    <w:p w14:paraId="0B425BC6">
      <w:pPr>
        <w:numPr>
          <w:ilvl w:val="0"/>
          <w:numId w:val="0"/>
        </w:numPr>
        <w:snapToGrid w:val="0"/>
        <w:spacing w:line="460" w:lineRule="exact"/>
        <w:ind w:leftChars="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6B7E3B42">
      <w:pPr>
        <w:numPr>
          <w:ilvl w:val="0"/>
          <w:numId w:val="0"/>
        </w:numPr>
        <w:snapToGrid w:val="0"/>
        <w:spacing w:line="460" w:lineRule="exact"/>
        <w:ind w:leftChars="0" w:firstLine="440" w:firstLineChars="200"/>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en-US" w:eastAsia="zh-CN"/>
        </w:rPr>
        <w:t>（3）投标人信用查询；</w:t>
      </w:r>
    </w:p>
    <w:p w14:paraId="5D612A81">
      <w:pPr>
        <w:numPr>
          <w:ilvl w:val="0"/>
          <w:numId w:val="0"/>
        </w:numPr>
        <w:snapToGrid w:val="0"/>
        <w:spacing w:line="460" w:lineRule="exact"/>
        <w:ind w:leftChars="0" w:firstLine="440" w:firstLineChars="200"/>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eastAsia="zh-CN"/>
        </w:rPr>
        <w:t>）政府采购活动现场确认声明书；</w:t>
      </w:r>
    </w:p>
    <w:p w14:paraId="08FF204C">
      <w:pPr>
        <w:numPr>
          <w:ilvl w:val="0"/>
          <w:numId w:val="0"/>
        </w:numPr>
        <w:snapToGrid w:val="0"/>
        <w:spacing w:line="460" w:lineRule="exact"/>
        <w:ind w:leftChars="0" w:firstLine="440" w:firstLineChars="200"/>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lang w:eastAsia="zh-CN"/>
        </w:rPr>
        <w:t>）落实政府采购政策需满足的资格要求证明材料；</w:t>
      </w:r>
    </w:p>
    <w:p w14:paraId="4640BBE5">
      <w:pPr>
        <w:numPr>
          <w:ilvl w:val="0"/>
          <w:numId w:val="0"/>
        </w:numPr>
        <w:snapToGrid w:val="0"/>
        <w:spacing w:line="460" w:lineRule="exact"/>
        <w:ind w:leftChars="0" w:firstLine="440" w:firstLineChars="200"/>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lang w:eastAsia="zh-CN"/>
        </w:rPr>
        <w:t>）投标人须具有医疗机构执业许可证；</w:t>
      </w:r>
    </w:p>
    <w:p w14:paraId="1E26A019">
      <w:pPr>
        <w:numPr>
          <w:ilvl w:val="0"/>
          <w:numId w:val="0"/>
        </w:numPr>
        <w:snapToGrid w:val="0"/>
        <w:spacing w:line="460" w:lineRule="exact"/>
        <w:ind w:leftChars="0" w:firstLine="440" w:firstLineChars="200"/>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zh-CN" w:eastAsia="zh-CN"/>
        </w:rPr>
        <w:t>（</w:t>
      </w: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lang w:val="zh-CN" w:eastAsia="zh-CN"/>
        </w:rPr>
        <w:t>）联合体协议书（</w:t>
      </w:r>
      <w:r>
        <w:rPr>
          <w:rFonts w:hint="eastAsia" w:ascii="宋体" w:hAnsi="宋体" w:eastAsia="宋体" w:cs="宋体"/>
          <w:color w:val="auto"/>
          <w:sz w:val="22"/>
          <w:szCs w:val="22"/>
          <w:highlight w:val="none"/>
          <w:u w:val="none"/>
          <w:lang w:val="en-US" w:eastAsia="zh-CN"/>
        </w:rPr>
        <w:t>如有</w:t>
      </w:r>
      <w:r>
        <w:rPr>
          <w:rFonts w:hint="eastAsia" w:ascii="宋体" w:hAnsi="宋体" w:eastAsia="宋体" w:cs="宋体"/>
          <w:color w:val="auto"/>
          <w:sz w:val="22"/>
          <w:szCs w:val="22"/>
          <w:highlight w:val="none"/>
          <w:u w:val="none"/>
          <w:lang w:val="zh-CN" w:eastAsia="zh-CN"/>
        </w:rPr>
        <w:t>）。</w:t>
      </w:r>
      <w:bookmarkStart w:id="62" w:name="_GoBack"/>
      <w:bookmarkEnd w:id="62"/>
    </w:p>
    <w:p w14:paraId="7E33F9E2">
      <w:pPr>
        <w:snapToGrid w:val="0"/>
        <w:spacing w:line="460" w:lineRule="exact"/>
        <w:ind w:left="525" w:leftChars="25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上述资格条件审查材料有一项不提供的，视为资格审查不通过。</w:t>
      </w:r>
    </w:p>
    <w:p w14:paraId="554BC154">
      <w:pPr>
        <w:snapToGrid w:val="0"/>
        <w:spacing w:line="460" w:lineRule="exact"/>
        <w:ind w:left="105" w:leftChars="50" w:firstLine="442" w:firstLineChars="200"/>
        <w:rPr>
          <w:rFonts w:hint="eastAsia" w:ascii="宋体" w:hAnsi="宋体" w:eastAsia="宋体" w:cs="宋体"/>
          <w:color w:val="auto"/>
          <w:sz w:val="22"/>
          <w:szCs w:val="22"/>
          <w:highlight w:val="none"/>
          <w:u w:val="single"/>
          <w:lang w:val="zh-CN"/>
        </w:rPr>
      </w:pPr>
      <w:r>
        <w:rPr>
          <w:rFonts w:hint="eastAsia" w:ascii="宋体" w:hAnsi="宋体" w:eastAsia="宋体" w:cs="宋体"/>
          <w:b/>
          <w:bCs/>
          <w:color w:val="auto"/>
          <w:sz w:val="22"/>
          <w:szCs w:val="22"/>
          <w:highlight w:val="none"/>
        </w:rPr>
        <w:t xml:space="preserve">3.2投标人的报价文件至少应包括以下内容： </w:t>
      </w:r>
    </w:p>
    <w:p w14:paraId="43A5D2B3">
      <w:pPr>
        <w:snapToGrid w:val="0"/>
        <w:spacing w:line="460" w:lineRule="exact"/>
        <w:ind w:left="105" w:leftChars="5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（1）投标函；</w:t>
      </w:r>
    </w:p>
    <w:p w14:paraId="20A24F98">
      <w:pPr>
        <w:snapToGrid w:val="0"/>
        <w:spacing w:line="460" w:lineRule="exact"/>
        <w:ind w:left="105" w:leftChars="50" w:firstLine="440" w:firstLineChars="200"/>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（2）投标报价一览表</w:t>
      </w:r>
      <w:r>
        <w:rPr>
          <w:rFonts w:hint="eastAsia" w:ascii="宋体" w:hAnsi="宋体" w:cs="宋体"/>
          <w:color w:val="auto"/>
          <w:sz w:val="22"/>
          <w:szCs w:val="22"/>
          <w:highlight w:val="none"/>
          <w:u w:val="none"/>
          <w:lang w:eastAsia="zh-CN"/>
        </w:rPr>
        <w:t>。</w:t>
      </w:r>
    </w:p>
    <w:p w14:paraId="65E895BD">
      <w:pPr>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3.3</w:t>
      </w:r>
      <w:r>
        <w:rPr>
          <w:rFonts w:hint="eastAsia" w:ascii="宋体" w:hAnsi="宋体" w:eastAsia="宋体" w:cs="宋体"/>
          <w:b/>
          <w:bCs/>
          <w:color w:val="auto"/>
          <w:kern w:val="0"/>
          <w:sz w:val="22"/>
          <w:szCs w:val="22"/>
          <w:highlight w:val="none"/>
          <w:lang w:val="zh-CN"/>
        </w:rPr>
        <w:t xml:space="preserve">投标人的商务技术文件应包括以下内容： </w:t>
      </w:r>
    </w:p>
    <w:p w14:paraId="360410FE">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（1）法定代表人授权委托书（需提供法定代表人及授权委托人的身份证复印件加盖公章）；</w:t>
      </w:r>
    </w:p>
    <w:p w14:paraId="7FE30AD4">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（2）投标人情况表</w:t>
      </w:r>
    </w:p>
    <w:p w14:paraId="284E4091">
      <w:pPr>
        <w:snapToGrid w:val="0"/>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偏离表（</w:t>
      </w:r>
      <w:r>
        <w:rPr>
          <w:rFonts w:hint="eastAsia" w:ascii="宋体" w:hAnsi="宋体" w:eastAsia="宋体" w:cs="宋体"/>
          <w:color w:val="auto"/>
          <w:sz w:val="22"/>
          <w:szCs w:val="22"/>
          <w:highlight w:val="none"/>
        </w:rPr>
        <w:t>商务、技术偏离</w:t>
      </w:r>
      <w:r>
        <w:rPr>
          <w:rFonts w:hint="eastAsia" w:ascii="宋体" w:hAnsi="宋体" w:eastAsia="宋体" w:cs="宋体"/>
          <w:color w:val="auto"/>
          <w:sz w:val="22"/>
          <w:szCs w:val="22"/>
          <w:highlight w:val="none"/>
          <w:lang w:val="zh-CN"/>
        </w:rPr>
        <w:t>）</w:t>
      </w:r>
    </w:p>
    <w:p w14:paraId="56A8DEA4">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项目响应</w:t>
      </w:r>
    </w:p>
    <w:p w14:paraId="0CB87207">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投标人情况</w:t>
      </w:r>
    </w:p>
    <w:p w14:paraId="1EBC4F1D">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实施方案评价</w:t>
      </w:r>
    </w:p>
    <w:p w14:paraId="429F6EC9">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服务团队</w:t>
      </w:r>
    </w:p>
    <w:p w14:paraId="67113467">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实验室仪器</w:t>
      </w:r>
    </w:p>
    <w:p w14:paraId="1AC0EE05">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质量控制</w:t>
      </w:r>
    </w:p>
    <w:p w14:paraId="3BDE1133">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应急能力</w:t>
      </w:r>
    </w:p>
    <w:p w14:paraId="5A498D44">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增值服务</w:t>
      </w:r>
    </w:p>
    <w:p w14:paraId="198BD4A1">
      <w:pPr>
        <w:spacing w:line="460" w:lineRule="exact"/>
        <w:ind w:firstLine="440" w:firstLineChars="200"/>
        <w:rPr>
          <w:rFonts w:hint="eastAsia" w:ascii="宋体" w:hAnsi="宋体" w:eastAsia="宋体" w:cs="宋体"/>
          <w:b w:val="0"/>
          <w:bCs/>
          <w:color w:val="auto"/>
          <w:sz w:val="22"/>
          <w:szCs w:val="22"/>
          <w:highlight w:val="none"/>
          <w:lang w:val="zh-CN"/>
        </w:rPr>
      </w:pPr>
      <w:r>
        <w:rPr>
          <w:rFonts w:hint="eastAsia" w:ascii="宋体" w:hAnsi="宋体" w:eastAsia="宋体" w:cs="宋体"/>
          <w:color w:val="auto"/>
          <w:sz w:val="22"/>
          <w:szCs w:val="22"/>
          <w:highlight w:val="none"/>
          <w:lang w:eastAsia="zh-CN"/>
        </w:rPr>
        <w:t>业绩</w:t>
      </w:r>
      <w:r>
        <w:rPr>
          <w:rFonts w:hint="eastAsia" w:ascii="宋体" w:hAnsi="宋体" w:eastAsia="宋体" w:cs="宋体"/>
          <w:b w:val="0"/>
          <w:bCs/>
          <w:color w:val="auto"/>
          <w:sz w:val="22"/>
          <w:szCs w:val="22"/>
          <w:highlight w:val="none"/>
          <w:lang w:val="zh-CN"/>
        </w:rPr>
        <w:t>投标文件中所需的各种证书、证件、证明资料如是复印件，须在复印件上加盖有效公章。</w:t>
      </w:r>
    </w:p>
    <w:p w14:paraId="3522616A">
      <w:pPr>
        <w:pStyle w:val="29"/>
        <w:snapToGrid w:val="0"/>
        <w:spacing w:line="46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zh-CN"/>
        </w:rPr>
        <w:t>投标人的</w:t>
      </w:r>
      <w:r>
        <w:rPr>
          <w:rFonts w:hint="eastAsia" w:ascii="宋体" w:hAnsi="宋体" w:eastAsia="宋体" w:cs="宋体"/>
          <w:b w:val="0"/>
          <w:bCs/>
          <w:color w:val="auto"/>
          <w:sz w:val="22"/>
          <w:szCs w:val="22"/>
          <w:highlight w:val="none"/>
        </w:rPr>
        <w:t>投标文件必须按照招标文件要求制作。</w:t>
      </w:r>
    </w:p>
    <w:p w14:paraId="1556B5DD">
      <w:pPr>
        <w:pStyle w:val="29"/>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 w:val="0"/>
          <w:bCs/>
          <w:color w:val="auto"/>
          <w:sz w:val="22"/>
          <w:szCs w:val="22"/>
          <w:highlight w:val="none"/>
        </w:rPr>
        <w:t>投标人可在招标文件中对招标货物的技术规格和要求选用替代标准，但这些替代标准必须相当于或优于招标文件中提出的相应要求，并使招标人满意，同时在技术偏离表中作出详细说明。</w:t>
      </w:r>
    </w:p>
    <w:p w14:paraId="249146DB">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4、投标报价</w:t>
      </w:r>
    </w:p>
    <w:p w14:paraId="2DCCDCDA">
      <w:pPr>
        <w:spacing w:line="460" w:lineRule="exact"/>
        <w:ind w:firstLine="539" w:firstLineChars="245"/>
        <w:rPr>
          <w:rFonts w:hint="eastAsia" w:ascii="宋体" w:hAnsi="宋体" w:eastAsia="宋体" w:cs="宋体"/>
          <w:b w:val="0"/>
          <w:bCs/>
          <w:color w:val="auto"/>
          <w:sz w:val="22"/>
          <w:szCs w:val="22"/>
          <w:highlight w:val="yellow"/>
        </w:rPr>
      </w:pPr>
      <w:r>
        <w:rPr>
          <w:rFonts w:hint="eastAsia" w:ascii="宋体" w:hAnsi="宋体" w:eastAsia="宋体" w:cs="宋体"/>
          <w:b w:val="0"/>
          <w:bCs/>
          <w:color w:val="auto"/>
          <w:sz w:val="22"/>
          <w:highlight w:val="none"/>
        </w:rPr>
        <w:t>4.1</w:t>
      </w:r>
      <w:r>
        <w:rPr>
          <w:rFonts w:hint="eastAsia" w:ascii="宋体" w:hAnsi="宋体" w:cs="宋体"/>
          <w:bCs/>
          <w:color w:val="auto"/>
          <w:sz w:val="22"/>
          <w:highlight w:val="none"/>
        </w:rPr>
        <w:t>投标报价以人民币为结算货币，承包报价必须包括完成本项目所提供相关服务所需的一切人员工资、奖金、各种加班费、高温补贴费、各种社会保险、食宿与交通、设备及工具、器材、消耗材料、管理费用、税费、利润、完成合同所需的一切本身和不可或缺的所有工作开支、政策性文件规定及合同包含的所有风险、责任等各项全部费用并承担一切风险责任。在合同服务期间内不得违反国家相关政策规定。</w:t>
      </w:r>
    </w:p>
    <w:p w14:paraId="4685A0FA">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4.2投标人必须按附件中的投标报价一览表、投标分项报价表内容填写价格，并由投标人代表签署。</w:t>
      </w:r>
    </w:p>
    <w:p w14:paraId="4732AA51">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4.3</w:t>
      </w:r>
      <w:r>
        <w:rPr>
          <w:rFonts w:hint="eastAsia" w:ascii="宋体" w:hAnsi="宋体" w:eastAsia="宋体" w:cs="宋体"/>
          <w:b w:val="0"/>
          <w:bCs w:val="0"/>
          <w:color w:val="auto"/>
          <w:sz w:val="22"/>
          <w:highlight w:val="none"/>
        </w:rPr>
        <w:t>投标货币以人民币进行投标</w:t>
      </w:r>
      <w:r>
        <w:rPr>
          <w:rFonts w:hint="eastAsia" w:ascii="宋体" w:hAnsi="宋体" w:eastAsia="宋体" w:cs="宋体"/>
          <w:b w:val="0"/>
          <w:bCs w:val="0"/>
          <w:color w:val="auto"/>
          <w:sz w:val="22"/>
          <w:szCs w:val="22"/>
          <w:highlight w:val="none"/>
        </w:rPr>
        <w:t>。</w:t>
      </w:r>
    </w:p>
    <w:p w14:paraId="2C37739D">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4.4</w:t>
      </w:r>
      <w:r>
        <w:rPr>
          <w:rFonts w:hint="eastAsia" w:ascii="宋体" w:hAnsi="宋体" w:eastAsia="宋体" w:cs="宋体"/>
          <w:b w:val="0"/>
          <w:bCs w:val="0"/>
          <w:color w:val="auto"/>
          <w:sz w:val="22"/>
          <w:highlight w:val="none"/>
        </w:rPr>
        <w:t>招标人和招标代理机构不接受任何选择投标，对任何服务只允许一个价格。</w:t>
      </w:r>
    </w:p>
    <w:p w14:paraId="6F714CB7">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4.5招标人和</w:t>
      </w:r>
      <w:r>
        <w:rPr>
          <w:rFonts w:hint="eastAsia" w:ascii="宋体" w:hAnsi="宋体" w:eastAsia="宋体" w:cs="宋体"/>
          <w:color w:val="auto"/>
          <w:sz w:val="22"/>
          <w:highlight w:val="none"/>
        </w:rPr>
        <w:t>招标代理机构</w:t>
      </w:r>
      <w:r>
        <w:rPr>
          <w:rFonts w:hint="eastAsia" w:ascii="宋体" w:hAnsi="宋体" w:eastAsia="宋体" w:cs="宋体"/>
          <w:color w:val="auto"/>
          <w:sz w:val="22"/>
          <w:szCs w:val="22"/>
          <w:highlight w:val="none"/>
        </w:rPr>
        <w:t>要求分类报价是为了方便评标，但在任何情况下不限制招标人以其认为最合适的条款、条件签订合同的权利。</w:t>
      </w:r>
    </w:p>
    <w:p w14:paraId="034AC50C">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4.6投标报价报出后，投标人不得以任何理由予以变更。任何包含价格调整的要求，将被认为是非实质性响应投标而予以否决。</w:t>
      </w:r>
    </w:p>
    <w:p w14:paraId="007318E5">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b w:val="0"/>
          <w:bCs/>
          <w:color w:val="auto"/>
          <w:sz w:val="22"/>
          <w:szCs w:val="22"/>
          <w:highlight w:val="none"/>
        </w:rPr>
        <w:t>4.7最低报价不能作为中标的保证。</w:t>
      </w:r>
    </w:p>
    <w:p w14:paraId="6E30D82C">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5、投标有效期</w:t>
      </w:r>
    </w:p>
    <w:p w14:paraId="2DF5E526">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5.1自开标之日起 </w:t>
      </w:r>
      <w:r>
        <w:rPr>
          <w:rFonts w:hint="eastAsia" w:ascii="宋体" w:hAnsi="宋体" w:cs="宋体"/>
          <w:b w:val="0"/>
          <w:bCs/>
          <w:color w:val="auto"/>
          <w:sz w:val="22"/>
          <w:szCs w:val="22"/>
          <w:highlight w:val="none"/>
          <w:lang w:val="en-US" w:eastAsia="zh-CN"/>
        </w:rPr>
        <w:t>90</w:t>
      </w:r>
      <w:r>
        <w:rPr>
          <w:rFonts w:hint="eastAsia" w:ascii="宋体" w:hAnsi="宋体" w:eastAsia="宋体" w:cs="宋体"/>
          <w:b w:val="0"/>
          <w:bCs/>
          <w:color w:val="auto"/>
          <w:sz w:val="22"/>
          <w:szCs w:val="22"/>
          <w:highlight w:val="none"/>
        </w:rPr>
        <w:t xml:space="preserve"> 天内投标应保持有效。</w:t>
      </w:r>
    </w:p>
    <w:p w14:paraId="2E79847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536EEA13">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6、投标保证金</w:t>
      </w:r>
    </w:p>
    <w:p w14:paraId="309AE88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p w14:paraId="691BA164">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7、投标文件编制</w:t>
      </w:r>
    </w:p>
    <w:p w14:paraId="0DB43EAB">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7.1本项目通过“政府采购云平台（http://zfcg.czt.zj.gov.cn）”实行在线投标响应（电子投标）。供应商应通过“政采云电子交易客户端”，并按照本招标文件和“政府采购云平台”的要求编制并加密投标文件。</w:t>
      </w:r>
    </w:p>
    <w:p w14:paraId="551BE6CC">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7.2投标人应当按照本章节 “投标文件的构成”规定的内容及顺序在“政采云电子交易客户端”编制投标文件。其中《资格文件》和《商务技术文件》中不得出现本项目投标报价。</w:t>
      </w:r>
    </w:p>
    <w:p w14:paraId="0E5DD570">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7.3本文件《第三部分  附件》中有提供格式的，投标人须参照格式进行编制（格式中要求提供相关证明材料的还需后附相关证明材料），并按格式要求在指定位置根据要求进行签章，否则视为未提供；本文件《第三部分  附件》未提供格式的，请各投标人自行拟定格式，并加盖单位公章并由法定代表人或其授权代表签署（签字或盖章），否则视为未提供。</w:t>
      </w:r>
    </w:p>
    <w:p w14:paraId="73A71865">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7.4《投标文件》内容不完整、编排混乱导致《投标文件》被误读、漏读或者查找不到相关内容的，投标人自行负责。</w:t>
      </w:r>
    </w:p>
    <w:p w14:paraId="4998F2AF">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7.5《投标文件》因字迹潦草或表达不清所引起的后果由投标人负责。</w:t>
      </w:r>
    </w:p>
    <w:p w14:paraId="736DD490">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687E0274">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8、投标文件的签章</w:t>
      </w:r>
    </w:p>
    <w:p w14:paraId="1EEE1D51">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8.1《投标文件》的签章：见《前附表》；</w:t>
      </w:r>
    </w:p>
    <w:p w14:paraId="110F7AA4">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8.2《投标文件》应由投标人法定代表人或其授权代表签字（或盖章），并加盖投标人公章。</w:t>
      </w:r>
    </w:p>
    <w:p w14:paraId="131C5EE1">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8.3电子签章操作指南详见采购公告附件《供应商项目采购-电子招投标操作指南》。</w:t>
      </w:r>
    </w:p>
    <w:p w14:paraId="6EDD80A2">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9、投标文件的形式</w:t>
      </w:r>
    </w:p>
    <w:p w14:paraId="0FD0C344">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9.1投标文件的形式：见《前附表》；</w:t>
      </w:r>
    </w:p>
    <w:p w14:paraId="179CF893">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9.2“电子加密投标文件”：“电子加密投标文件”是指通过“政采云电子交易客户端”完成投标文件编制后生成并加密的数据电文形式的投标文件。</w:t>
      </w:r>
    </w:p>
    <w:p w14:paraId="2B0437C4">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9.3“备份投标文件”：“备份投标文件”是指与“电子加密投标文件”同时生成的数据电文形式的电子文件（备份标书），其他方式编制的“备份投标文件”视为无效的“备份投标文件”。</w:t>
      </w:r>
    </w:p>
    <w:p w14:paraId="0E70274B">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10、投标文件的份数</w:t>
      </w:r>
    </w:p>
    <w:p w14:paraId="34124490">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rPr>
        <w:t>10.1投标文件的份数：见《前附表》。</w:t>
      </w:r>
    </w:p>
    <w:p w14:paraId="69766CFB">
      <w:pPr>
        <w:spacing w:before="100" w:beforeAutospacing="1" w:after="100" w:afterAutospacing="1" w:line="440" w:lineRule="exact"/>
        <w:jc w:val="center"/>
        <w:outlineLvl w:val="1"/>
        <w:rPr>
          <w:rFonts w:hint="eastAsia" w:ascii="宋体" w:hAnsi="宋体" w:eastAsia="宋体" w:cs="宋体"/>
          <w:b/>
          <w:bCs/>
          <w:color w:val="auto"/>
          <w:sz w:val="22"/>
          <w:szCs w:val="22"/>
          <w:highlight w:val="none"/>
        </w:rPr>
      </w:pPr>
      <w:bookmarkStart w:id="16" w:name="_Toc15422"/>
      <w:bookmarkStart w:id="17" w:name="_Toc18542"/>
      <w:r>
        <w:rPr>
          <w:rFonts w:hint="eastAsia" w:ascii="宋体" w:hAnsi="宋体" w:eastAsia="宋体" w:cs="宋体"/>
          <w:b/>
          <w:bCs/>
          <w:color w:val="auto"/>
          <w:sz w:val="22"/>
          <w:szCs w:val="22"/>
          <w:highlight w:val="none"/>
        </w:rPr>
        <w:t>四、 投标文件的递交</w:t>
      </w:r>
      <w:bookmarkEnd w:id="16"/>
      <w:bookmarkEnd w:id="17"/>
    </w:p>
    <w:p w14:paraId="5F22D4AA">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1、投标文件的上传和递交</w:t>
      </w:r>
    </w:p>
    <w:p w14:paraId="440ADC76">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1.1“投标文件”的上传、递交：见《前附表》。</w:t>
      </w:r>
    </w:p>
    <w:p w14:paraId="678E6B07">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2、“电子加密投标文件”解密和异常情况处理</w:t>
      </w:r>
    </w:p>
    <w:p w14:paraId="259AC9B6">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2.1“电子加密投标文件”解密：见《前附表》。</w:t>
      </w:r>
    </w:p>
    <w:p w14:paraId="0E400DC3">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7A62FD12">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76475EC">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3.2投标截止时间后，投标人不得撤回、修改《投标文件》。</w:t>
      </w:r>
    </w:p>
    <w:p w14:paraId="6E2F4554">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7FE4AA6E">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4.1投标人不得递交任何的投标备选（替代）方案，否则其投标文件将作无效标处理。与“电子加密投标文件”同时生成的“备份投标文件”不是投标备选（替代）方案。</w:t>
      </w:r>
    </w:p>
    <w:p w14:paraId="69192B1A">
      <w:pPr>
        <w:spacing w:before="100" w:beforeAutospacing="1" w:after="100" w:afterAutospacing="1" w:line="460" w:lineRule="exact"/>
        <w:jc w:val="center"/>
        <w:outlineLvl w:val="1"/>
        <w:rPr>
          <w:rFonts w:hint="eastAsia" w:ascii="宋体" w:hAnsi="宋体" w:eastAsia="宋体" w:cs="宋体"/>
          <w:b/>
          <w:bCs/>
          <w:color w:val="auto"/>
          <w:sz w:val="22"/>
          <w:szCs w:val="22"/>
          <w:highlight w:val="none"/>
        </w:rPr>
      </w:pPr>
      <w:bookmarkStart w:id="18" w:name="_Toc30172"/>
      <w:bookmarkStart w:id="19" w:name="_Toc8079"/>
      <w:r>
        <w:rPr>
          <w:rFonts w:hint="eastAsia" w:ascii="宋体" w:hAnsi="宋体" w:eastAsia="宋体" w:cs="宋体"/>
          <w:b/>
          <w:bCs/>
          <w:color w:val="auto"/>
          <w:sz w:val="22"/>
          <w:szCs w:val="22"/>
          <w:highlight w:val="none"/>
        </w:rPr>
        <w:t>五、 开标和评标</w:t>
      </w:r>
      <w:bookmarkEnd w:id="18"/>
      <w:bookmarkEnd w:id="19"/>
    </w:p>
    <w:p w14:paraId="59FDDF70">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1、评标委员会</w:t>
      </w:r>
    </w:p>
    <w:p w14:paraId="1A9209AC">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招标人和招标代理机构组建评标委员会。评标委员会的成员在评标过程中必须严格遵守《政府采购法》等有关法律、法规的规定。</w:t>
      </w:r>
    </w:p>
    <w:p w14:paraId="7063F115">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2、评标过程的保密性</w:t>
      </w:r>
    </w:p>
    <w:p w14:paraId="384A1A48">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开标后直至向中标人授予合同时止，凡与评审有关的资料均不得向投标人及与评标无关人员透露。如果投标人在评标过程中试图向招标人和招标代理机构施加影响，其投标将被拒绝。</w:t>
      </w:r>
    </w:p>
    <w:p w14:paraId="7643A457">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3、开标形式</w:t>
      </w:r>
    </w:p>
    <w:p w14:paraId="5A64BE82">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 采购组织机构将按照招标文件规定的时间通过“政府采购云平台”组织开标、开启投标文件，所有供应商均应当准时(在线)参加。</w:t>
      </w:r>
    </w:p>
    <w:p w14:paraId="022DFC10">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4、开标准备</w:t>
      </w:r>
    </w:p>
    <w:p w14:paraId="00AC3D8E">
      <w:pPr>
        <w:spacing w:line="460" w:lineRule="exact"/>
        <w:ind w:firstLine="539" w:firstLineChars="24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4.1开标的准备工作由采购组织机构负责落实；</w:t>
      </w:r>
    </w:p>
    <w:p w14:paraId="3049658E">
      <w:pPr>
        <w:spacing w:line="460" w:lineRule="exact"/>
        <w:ind w:firstLine="539" w:firstLineChars="245"/>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4.2</w:t>
      </w:r>
      <w:r>
        <w:rPr>
          <w:rFonts w:hint="eastAsia" w:ascii="宋体" w:hAnsi="宋体" w:eastAsia="宋体" w:cs="宋体"/>
          <w:b w:val="0"/>
          <w:bCs w:val="0"/>
          <w:color w:val="auto"/>
          <w:sz w:val="22"/>
          <w:szCs w:val="22"/>
          <w:highlight w:val="none"/>
        </w:rPr>
        <w:t>采购组织机构将按照招标文件规定的时间通过“政府采购云平台”组织开标、开启投标文件，所有供应商均应当准时(在线)参加。</w:t>
      </w:r>
      <w:r>
        <w:rPr>
          <w:rFonts w:hint="eastAsia" w:ascii="宋体" w:hAnsi="宋体" w:eastAsia="宋体" w:cs="宋体"/>
          <w:b w:val="0"/>
          <w:bCs w:val="0"/>
          <w:color w:val="auto"/>
          <w:kern w:val="0"/>
          <w:sz w:val="22"/>
          <w:szCs w:val="22"/>
          <w:highlight w:val="none"/>
        </w:rPr>
        <w:t>投标人如不参加开标大会的，视同认可开标结果，事后不得对采购相关人员、开标过程和开标结果提出异议，同时投标人因未在线参加开标而导致投标文件无法按时解密等一切后果由供应商自己承担。</w:t>
      </w:r>
    </w:p>
    <w:p w14:paraId="6D04B0F3">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5、开标流程</w:t>
      </w:r>
    </w:p>
    <w:p w14:paraId="62C860BF">
      <w:pPr>
        <w:spacing w:line="460" w:lineRule="exact"/>
        <w:ind w:firstLine="539" w:firstLineChars="245"/>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5.1开标、评标</w:t>
      </w:r>
    </w:p>
    <w:p w14:paraId="2756EAA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定递交了备份投标文件的，将由采购组织机构按“政府采购云平台”操作规范将备份投标文件上传至“政府采购云平台”，上传成功后，“电子加密投标文件”自动失效；</w:t>
      </w:r>
    </w:p>
    <w:p w14:paraId="41590B3E">
      <w:pPr>
        <w:spacing w:line="460" w:lineRule="exact"/>
        <w:ind w:firstLine="539" w:firstLineChars="245"/>
        <w:rPr>
          <w:rFonts w:hint="eastAsia" w:ascii="宋体" w:hAnsi="宋体" w:eastAsia="宋体" w:cs="宋体"/>
          <w:color w:val="auto"/>
          <w:highlight w:val="none"/>
        </w:rPr>
      </w:pPr>
      <w:r>
        <w:rPr>
          <w:rFonts w:hint="eastAsia" w:ascii="宋体" w:hAnsi="宋体" w:eastAsia="宋体" w:cs="宋体"/>
          <w:bCs/>
          <w:color w:val="auto"/>
          <w:sz w:val="22"/>
          <w:szCs w:val="22"/>
          <w:highlight w:val="none"/>
        </w:rPr>
        <w:t>投标人不足3家的，不得开标。</w:t>
      </w:r>
    </w:p>
    <w:p w14:paraId="64665D21">
      <w:pPr>
        <w:spacing w:line="460" w:lineRule="exact"/>
        <w:ind w:firstLine="539" w:firstLineChars="24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（2）解密成功后，开启投标人的《报价文件》，由供应商对自己报价文件相关内容进行签字确认，（不予确认的应说明理由，否则视为无异议）。</w:t>
      </w:r>
    </w:p>
    <w:p w14:paraId="594335AE">
      <w:pPr>
        <w:spacing w:line="460" w:lineRule="exact"/>
        <w:ind w:firstLine="539" w:firstLineChars="24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（3）开启《投标文件》，进入资格审查；</w:t>
      </w:r>
      <w:r>
        <w:rPr>
          <w:rFonts w:hint="eastAsia" w:ascii="宋体" w:hAnsi="宋体" w:eastAsia="宋体" w:cs="宋体"/>
          <w:bCs/>
          <w:color w:val="auto"/>
          <w:sz w:val="22"/>
          <w:szCs w:val="22"/>
          <w:highlight w:val="none"/>
        </w:rPr>
        <w:t>合格投标人不足3家的，不得评标。</w:t>
      </w:r>
    </w:p>
    <w:p w14:paraId="269ADA17">
      <w:pPr>
        <w:spacing w:line="460" w:lineRule="exact"/>
        <w:ind w:firstLine="539" w:firstLineChars="245"/>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备注：开标大会的结束后，招标人或采购代理机构将对依法对投标人的资格进行审查，资格审查结束后进入符合性审查和商务技术的评审工作，具体见本章节“投标人资格审查”相关规定。</w:t>
      </w:r>
    </w:p>
    <w:p w14:paraId="69A93AC5">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（4）开启资格审查通过的投标人的商务技术文件进入符合性审查，</w:t>
      </w:r>
      <w:r>
        <w:rPr>
          <w:rFonts w:hint="eastAsia" w:ascii="宋体" w:hAnsi="宋体" w:eastAsia="宋体" w:cs="宋体"/>
          <w:bCs/>
          <w:color w:val="auto"/>
          <w:sz w:val="22"/>
          <w:szCs w:val="22"/>
          <w:highlight w:val="none"/>
        </w:rPr>
        <w:t>以确定其是否满足招标文件的实质性要求，合格投标人不足3家的，不得评标。</w:t>
      </w:r>
    </w:p>
    <w:p w14:paraId="0ACBA3B8">
      <w:pPr>
        <w:spacing w:line="460" w:lineRule="exact"/>
        <w:ind w:firstLine="541" w:firstLineChars="245"/>
        <w:rPr>
          <w:rFonts w:hint="eastAsia" w:ascii="宋体" w:hAnsi="宋体" w:eastAsia="宋体" w:cs="宋体"/>
          <w:bCs/>
          <w:color w:val="auto"/>
          <w:sz w:val="22"/>
          <w:szCs w:val="22"/>
          <w:highlight w:val="none"/>
        </w:rPr>
      </w:pPr>
      <w:r>
        <w:rPr>
          <w:rFonts w:hint="eastAsia" w:ascii="宋体" w:hAnsi="宋体" w:eastAsia="宋体" w:cs="宋体"/>
          <w:b/>
          <w:bCs w:val="0"/>
          <w:color w:val="auto"/>
          <w:sz w:val="22"/>
          <w:szCs w:val="22"/>
          <w:highlight w:val="none"/>
        </w:rPr>
        <w:t>没有满足招标文件的实质性要求的投标作无效标处理。</w:t>
      </w:r>
      <w:r>
        <w:rPr>
          <w:rFonts w:hint="eastAsia" w:ascii="宋体" w:hAnsi="宋体" w:eastAsia="宋体" w:cs="宋体"/>
          <w:bCs/>
          <w:color w:val="auto"/>
          <w:sz w:val="22"/>
          <w:szCs w:val="22"/>
          <w:highlight w:val="none"/>
        </w:rPr>
        <w:t>评标委员会决定投标的实质性要求只根据投标文件本身的内容，而不寻求外部的证据。投标人不得通过修正或撤消不合要求的偏离或保留从而使其投标成为实质上响应的投标。</w:t>
      </w:r>
    </w:p>
    <w:p w14:paraId="6A59561A">
      <w:pPr>
        <w:spacing w:line="460" w:lineRule="exact"/>
        <w:ind w:firstLine="539" w:firstLineChars="245"/>
        <w:rPr>
          <w:rFonts w:hint="eastAsia" w:ascii="宋体" w:hAnsi="宋体" w:eastAsia="宋体" w:cs="宋体"/>
          <w:color w:val="auto"/>
          <w:highlight w:val="none"/>
        </w:rPr>
      </w:pPr>
      <w:r>
        <w:rPr>
          <w:rFonts w:hint="eastAsia" w:ascii="宋体" w:hAnsi="宋体" w:eastAsia="宋体" w:cs="宋体"/>
          <w:bCs/>
          <w:color w:val="auto"/>
          <w:sz w:val="22"/>
          <w:szCs w:val="22"/>
          <w:highlight w:val="none"/>
        </w:rPr>
        <w:t>（5）对通过资格审查、符合性审查的合格供应商进行商务技术部分的评审。</w:t>
      </w:r>
    </w:p>
    <w:p w14:paraId="5982D54E">
      <w:pPr>
        <w:spacing w:line="460" w:lineRule="exact"/>
        <w:ind w:firstLine="539" w:firstLineChars="24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（6）评标委员会对报价的合理性、准确性等进行审查核实。</w:t>
      </w:r>
    </w:p>
    <w:p w14:paraId="1B0A9BAD">
      <w:pPr>
        <w:spacing w:line="460" w:lineRule="exact"/>
        <w:ind w:firstLine="539" w:firstLineChars="24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（7）评审结束后，公布中标（成交）候选供应商名单及招标人最终确定中标或成交供应商名单的时间和公告方式等，未在场的投标人通过发送邮件形式通知。</w:t>
      </w:r>
    </w:p>
    <w:p w14:paraId="36B9ED07">
      <w:pPr>
        <w:spacing w:line="460" w:lineRule="exact"/>
        <w:ind w:firstLine="541" w:firstLineChars="245"/>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特别说明：如遇“政府采购云平台”电子化开标或评审程序调整的，按调整后程序执行。</w:t>
      </w:r>
    </w:p>
    <w:p w14:paraId="7BE2E86E">
      <w:pPr>
        <w:spacing w:line="460" w:lineRule="exact"/>
        <w:ind w:firstLine="539" w:firstLineChars="245"/>
        <w:rPr>
          <w:rFonts w:hint="eastAsia" w:ascii="宋体" w:hAnsi="宋体" w:eastAsia="宋体" w:cs="宋体"/>
          <w:color w:val="auto"/>
          <w:sz w:val="22"/>
          <w:szCs w:val="22"/>
          <w:highlight w:val="none"/>
        </w:rPr>
      </w:pPr>
      <w:bookmarkStart w:id="20" w:name="_Toc33194393"/>
      <w:bookmarkStart w:id="21" w:name="_Toc24550037"/>
      <w:r>
        <w:rPr>
          <w:rFonts w:hint="eastAsia" w:ascii="宋体" w:hAnsi="宋体" w:eastAsia="宋体" w:cs="宋体"/>
          <w:color w:val="auto"/>
          <w:sz w:val="22"/>
          <w:szCs w:val="22"/>
          <w:highlight w:val="none"/>
        </w:rPr>
        <w:t>6、投标人资格审查</w:t>
      </w:r>
      <w:bookmarkEnd w:id="20"/>
      <w:bookmarkEnd w:id="21"/>
    </w:p>
    <w:p w14:paraId="3C3BD25C">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6.1开标大会结束后，招标人或采购代理机构首先依法对各投标人的资格进行审查，审查各投标人的资格是否满足招标文件的要求。招</w:t>
      </w:r>
      <w:r>
        <w:rPr>
          <w:rFonts w:hint="eastAsia" w:ascii="宋体" w:hAnsi="宋体" w:eastAsia="宋体" w:cs="宋体"/>
          <w:color w:val="auto"/>
          <w:sz w:val="22"/>
          <w:szCs w:val="22"/>
          <w:highlight w:val="none"/>
        </w:rPr>
        <w:t>标人或采购代理机构对投标人所提交的资格证明材料仅负审核的责任。如发现投标人所提交的资格证明材料不合法或与事实不符，招标人可取消其中标资格并追究投标人的法律责任。</w:t>
      </w:r>
    </w:p>
    <w:p w14:paraId="4DC88147">
      <w:pPr>
        <w:spacing w:line="460" w:lineRule="exact"/>
        <w:ind w:firstLine="539" w:firstLineChars="245"/>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6.2投标人提交的资格证明材料无法证明其符合招标文件规定的“投标人资格要求”的，招标人或采购代理机构</w:t>
      </w:r>
      <w:r>
        <w:rPr>
          <w:rFonts w:hint="eastAsia" w:ascii="宋体" w:hAnsi="宋体" w:eastAsia="宋体" w:cs="宋体"/>
          <w:b w:val="0"/>
          <w:bCs/>
          <w:color w:val="auto"/>
          <w:kern w:val="0"/>
          <w:sz w:val="22"/>
          <w:szCs w:val="22"/>
          <w:highlight w:val="none"/>
        </w:rPr>
        <w:t>将对其作资格审查不通过处理（无效投标），并不再将其投标提交评标委员会进行后续评审。</w:t>
      </w:r>
    </w:p>
    <w:p w14:paraId="738C7B81">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w:t>
      </w:r>
      <w:r>
        <w:rPr>
          <w:rFonts w:hint="eastAsia" w:ascii="宋体" w:hAnsi="宋体" w:eastAsia="宋体" w:cs="宋体"/>
          <w:b w:val="0"/>
          <w:bCs/>
          <w:color w:val="auto"/>
          <w:kern w:val="0"/>
          <w:sz w:val="22"/>
          <w:szCs w:val="22"/>
          <w:highlight w:val="none"/>
        </w:rPr>
        <w:t>.3单位负责人为同一人或者存在直接控股、管理关系的不同供应商参加同一合同项下的政府采购活动的，相关投标人均作资格无效处理。</w:t>
      </w:r>
    </w:p>
    <w:p w14:paraId="2A952F64">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7、评标委员按照招标文件中规定的评标方法和标准，对投标文件进行商务和技术评估，综合比较与评价。</w:t>
      </w:r>
    </w:p>
    <w:p w14:paraId="7FA7F56D">
      <w:pPr>
        <w:spacing w:line="460" w:lineRule="exact"/>
        <w:ind w:firstLine="541" w:firstLineChars="245"/>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8、投标人存在下列情况之一的，投标无效：</w:t>
      </w:r>
    </w:p>
    <w:p w14:paraId="51042700">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（1）投标文件未按招标文件要求签署、盖章的；</w:t>
      </w:r>
    </w:p>
    <w:p w14:paraId="70EAE527">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（2）不具备招标文件中规定的资格要求的； </w:t>
      </w:r>
    </w:p>
    <w:p w14:paraId="63AD7231">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（3）明显不符合招标文件中主要技术规格、技术标准的；</w:t>
      </w:r>
    </w:p>
    <w:p w14:paraId="611AB7D1">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（4）投标文件内容不全或关键字迹模糊无法辨认的；</w:t>
      </w:r>
    </w:p>
    <w:p w14:paraId="0A184982">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（5）报价超过招标文件中规定的预算金额的；</w:t>
      </w:r>
    </w:p>
    <w:p w14:paraId="2FD00F3F">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（6）投标人代表没有法定代表人合法、有效委托的；</w:t>
      </w:r>
    </w:p>
    <w:p w14:paraId="51333451">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（7）投标文件存在一个或一个以上备选（替代）投标方案的；</w:t>
      </w:r>
    </w:p>
    <w:p w14:paraId="633F9E94">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（8）仅提交“备份投标文件”的；</w:t>
      </w:r>
    </w:p>
    <w:p w14:paraId="5E1EB551">
      <w:pPr>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（9）投标文件含有招标人不能接受的附加条件的；</w:t>
      </w:r>
    </w:p>
    <w:p w14:paraId="5AEC399B">
      <w:pPr>
        <w:spacing w:line="460" w:lineRule="exact"/>
        <w:ind w:firstLine="539" w:firstLineChars="245"/>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（10）法律、法规和招标文件规定的其他无效情形</w:t>
      </w:r>
      <w:r>
        <w:rPr>
          <w:rFonts w:hint="eastAsia" w:ascii="宋体" w:hAnsi="宋体" w:eastAsia="宋体" w:cs="宋体"/>
          <w:bCs/>
          <w:color w:val="auto"/>
          <w:sz w:val="22"/>
          <w:szCs w:val="22"/>
          <w:highlight w:val="none"/>
          <w:lang w:eastAsia="zh-CN"/>
        </w:rPr>
        <w:t>；</w:t>
      </w:r>
    </w:p>
    <w:p w14:paraId="51ECCBE9">
      <w:pPr>
        <w:spacing w:line="460" w:lineRule="exact"/>
        <w:ind w:firstLine="541" w:firstLineChars="245"/>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9、有下列情形之一的，视为投标人串通投标，其投标无效</w:t>
      </w:r>
    </w:p>
    <w:p w14:paraId="4706C4D0">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（1）不同投标人的投标文件由同一单位或者个人编制；</w:t>
      </w:r>
    </w:p>
    <w:p w14:paraId="1BF6FE0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（2）不同投标人委托同一单位或者个人办理投标事宜；</w:t>
      </w:r>
    </w:p>
    <w:p w14:paraId="5B445A6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（3）不同投标人的投标文件载明的项目管理成员或者联系人员为同一人；</w:t>
      </w:r>
    </w:p>
    <w:p w14:paraId="1A84DE3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（4）不同投标人的投标文件异常一致或者投标报价呈规律性差异；</w:t>
      </w:r>
    </w:p>
    <w:p w14:paraId="5963DE68">
      <w:pPr>
        <w:spacing w:line="460" w:lineRule="exact"/>
        <w:ind w:firstLine="539" w:firstLineChars="245"/>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（5）不同投标人的投标文件相互混装</w:t>
      </w:r>
      <w:r>
        <w:rPr>
          <w:rFonts w:hint="eastAsia" w:ascii="宋体" w:hAnsi="宋体" w:cs="宋体"/>
          <w:color w:val="auto"/>
          <w:sz w:val="22"/>
          <w:szCs w:val="22"/>
          <w:highlight w:val="none"/>
          <w:lang w:eastAsia="zh-CN"/>
        </w:rPr>
        <w:t>；</w:t>
      </w:r>
    </w:p>
    <w:p w14:paraId="38032F75">
      <w:pPr>
        <w:spacing w:line="460" w:lineRule="exact"/>
        <w:ind w:firstLine="539" w:firstLineChars="245"/>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不同供应商的电子投标（响应）文件上传计算机的网卡MAC地址或硬盘序列号等硬件信息相同的；</w:t>
      </w:r>
    </w:p>
    <w:p w14:paraId="2402DA5D">
      <w:pPr>
        <w:spacing w:line="460" w:lineRule="exact"/>
        <w:ind w:firstLine="539" w:firstLineChars="245"/>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上传的电子投标（响应）文件若出现使用本项目其他投标（响应）供应商的数字证书加密的，或者加盖本项目其他投标（响应）供应商的电子印章的；</w:t>
      </w:r>
    </w:p>
    <w:p w14:paraId="6301F00B">
      <w:pPr>
        <w:spacing w:line="460" w:lineRule="exact"/>
        <w:ind w:firstLine="539" w:firstLineChars="245"/>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不同供应商的投标（响应）文件的内容存在3处（含）以上错误一致的；</w:t>
      </w:r>
    </w:p>
    <w:p w14:paraId="4B8C303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不同供应商联系人为同一人或不同联系人的联系电话一致的。</w:t>
      </w:r>
    </w:p>
    <w:p w14:paraId="36FCC5A0">
      <w:pPr>
        <w:spacing w:line="460" w:lineRule="exact"/>
        <w:ind w:firstLine="541" w:firstLineChars="245"/>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10、投标文件报价出现前后不一致的，按照下列规定修正：</w:t>
      </w:r>
    </w:p>
    <w:p w14:paraId="08ACB006">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（1）系统上传的投标文件中开标一览表（报价表）（加盖公章）内容与投标文件中相应内容不一致的，以系统上传的投标文件中开标一览表（报价表）（加盖公章）为准；</w:t>
      </w:r>
    </w:p>
    <w:p w14:paraId="5B36BBED">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（2）大写金额和小写金额不一致的，以大写金额为准；</w:t>
      </w:r>
    </w:p>
    <w:p w14:paraId="632E9DAF">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（3）单价金额小数点或者百分比有明显错位的，以开标一览表的总价为准，并修改单价；</w:t>
      </w:r>
    </w:p>
    <w:p w14:paraId="5E75F470">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（4）总价金额与按单价汇总金额不一致的，以单价金额计算结果为准。</w:t>
      </w:r>
    </w:p>
    <w:p w14:paraId="0310BF3A">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同时出现两种以上不一致的，按照前款规定的顺序修正。修正后的报价按照本小节第12条第12.2款的规定经投标人确认后产生约束力，投标人不确认的，其投标无效。</w:t>
      </w:r>
    </w:p>
    <w:p w14:paraId="7C56EF60">
      <w:pPr>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11、标委员会成员对需要共同认定的事项存在争议的，应当按照少数服从多数的原则作出结论。持不同意见的评标委员会成员应当在评标报告上签署不同意见及理由，否则视为同意评标报告。</w:t>
      </w:r>
    </w:p>
    <w:p w14:paraId="4E4049B1">
      <w:pPr>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12、投标文件的澄清</w:t>
      </w:r>
    </w:p>
    <w:p w14:paraId="70BC9B1F">
      <w:pPr>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12.1在评标期间，评标委员会可要求投标人对于投标文件中含义不明确、同类问题表述不一致或者有明显文字和计算错误的内容，评标委员会应当以书面形式（或通过“政府采购云平台”在线询标）要求投标人在规定的时间内作出必要的澄清、说明或者补正。投标人澄清、说明或补正时间为30分钟。</w:t>
      </w:r>
    </w:p>
    <w:p w14:paraId="7E18C8D0">
      <w:pPr>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12.2投标人的澄清、说明或者补正应当采用书面形式（或通过“政府采购云平台”在线答复），并加盖公章，或者由法定代表人或其授权的代表签字。投标人的澄清、说明或者补正不得超出投标文件的范围或者改变投标文件的实质性内容。</w:t>
      </w:r>
    </w:p>
    <w:p w14:paraId="52BA8C9C">
      <w:pPr>
        <w:spacing w:line="460" w:lineRule="exact"/>
        <w:ind w:firstLine="759" w:firstLineChars="3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拒不按要求对其投标文件进行澄清，说明或补正的投标人，评标委员会可以否决其投标。</w:t>
      </w:r>
    </w:p>
    <w:p w14:paraId="219AFF12">
      <w:pPr>
        <w:spacing w:line="460" w:lineRule="exact"/>
        <w:ind w:firstLine="759" w:firstLineChars="3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12.2经澄清后，若偏差仍存在，且不可接受，投标人则被认为是“没有实质性响应招标文件要求”，其投标将被拒绝。</w:t>
      </w:r>
    </w:p>
    <w:p w14:paraId="4579739D">
      <w:pPr>
        <w:spacing w:line="460" w:lineRule="exact"/>
        <w:ind w:firstLine="759" w:firstLineChars="3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13、评审结果的修改</w:t>
      </w:r>
    </w:p>
    <w:p w14:paraId="06C15D62">
      <w:pPr>
        <w:spacing w:line="460" w:lineRule="exact"/>
        <w:ind w:firstLine="759" w:firstLineChars="3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13.1评标结果汇总完成后，除下列情形外，任何人不得修改评标结果：</w:t>
      </w:r>
    </w:p>
    <w:p w14:paraId="2BF3866F">
      <w:pPr>
        <w:spacing w:line="460" w:lineRule="exact"/>
        <w:ind w:firstLine="759" w:firstLineChars="3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（1）分值汇总计算错误的；</w:t>
      </w:r>
    </w:p>
    <w:p w14:paraId="3B7C9BA4">
      <w:pPr>
        <w:spacing w:line="460" w:lineRule="exact"/>
        <w:ind w:firstLine="759" w:firstLineChars="3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（2）分项评分超出评分标准范围的；</w:t>
      </w:r>
    </w:p>
    <w:p w14:paraId="2AA0E2B8">
      <w:pPr>
        <w:spacing w:line="460" w:lineRule="exact"/>
        <w:ind w:firstLine="759" w:firstLineChars="3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（3）评标委员会成员对客观评审因素评分不一致的；</w:t>
      </w:r>
    </w:p>
    <w:p w14:paraId="4C8882C6">
      <w:pPr>
        <w:spacing w:line="460" w:lineRule="exact"/>
        <w:ind w:firstLine="759" w:firstLineChars="3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（4）经评标委员会认定评分畸高、畸低的。</w:t>
      </w:r>
    </w:p>
    <w:p w14:paraId="582E965D">
      <w:pPr>
        <w:spacing w:line="460" w:lineRule="exact"/>
        <w:ind w:firstLine="759" w:firstLineChars="345"/>
        <w:rPr>
          <w:rFonts w:hint="eastAsia" w:ascii="宋体" w:hAnsi="宋体" w:eastAsia="宋体" w:cs="宋体"/>
          <w:b w:val="0"/>
          <w:bCs/>
          <w:color w:val="auto"/>
          <w:highlight w:val="none"/>
        </w:rPr>
      </w:pPr>
      <w:r>
        <w:rPr>
          <w:rFonts w:hint="eastAsia" w:ascii="宋体" w:hAnsi="宋体" w:eastAsia="宋体" w:cs="宋体"/>
          <w:bCs/>
          <w:color w:val="auto"/>
          <w:sz w:val="22"/>
          <w:szCs w:val="22"/>
          <w:highlight w:val="none"/>
        </w:rPr>
        <w:t>13.2书面评标报告签署前，经复核发现存在以上情形之一的，评标委员会将当场修改评标结果，并</w:t>
      </w:r>
      <w:r>
        <w:rPr>
          <w:rFonts w:hint="eastAsia" w:ascii="宋体" w:hAnsi="宋体" w:eastAsia="宋体" w:cs="宋体"/>
          <w:b w:val="0"/>
          <w:bCs/>
          <w:color w:val="auto"/>
          <w:sz w:val="22"/>
          <w:szCs w:val="22"/>
          <w:highlight w:val="none"/>
        </w:rPr>
        <w:t>在评标报告中记载。</w:t>
      </w:r>
    </w:p>
    <w:p w14:paraId="6D1EDC6B">
      <w:pPr>
        <w:spacing w:line="460" w:lineRule="exact"/>
        <w:ind w:firstLine="759" w:firstLineChars="3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14</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确定中标候选人</w:t>
      </w:r>
    </w:p>
    <w:p w14:paraId="21A0E228">
      <w:pPr>
        <w:spacing w:line="460" w:lineRule="exact"/>
        <w:ind w:firstLine="759" w:firstLineChars="3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14.1由评标委员会确定中标候选人。</w:t>
      </w:r>
    </w:p>
    <w:p w14:paraId="29E0AC36">
      <w:pPr>
        <w:spacing w:line="460" w:lineRule="exact"/>
        <w:ind w:firstLine="759" w:firstLineChars="3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4427CC8A">
      <w:pPr>
        <w:spacing w:line="460" w:lineRule="exact"/>
        <w:ind w:firstLine="759" w:firstLineChars="3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15、确定中标人</w:t>
      </w:r>
    </w:p>
    <w:p w14:paraId="3DB4CB90">
      <w:pPr>
        <w:spacing w:line="460" w:lineRule="exact"/>
        <w:ind w:firstLine="759" w:firstLineChars="3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15.1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7FF1BBA4">
      <w:pPr>
        <w:spacing w:line="460" w:lineRule="exact"/>
        <w:ind w:firstLine="759" w:firstLineChars="3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4189AD8A">
      <w:pPr>
        <w:spacing w:line="460" w:lineRule="exact"/>
        <w:ind w:firstLine="759" w:firstLineChars="3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16、起草、签署评审报告</w:t>
      </w:r>
    </w:p>
    <w:p w14:paraId="3C237486">
      <w:pPr>
        <w:spacing w:line="460" w:lineRule="exact"/>
        <w:ind w:firstLine="759" w:firstLineChars="3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评审结束后，评标委员会将通过“政府采购云平台”起草评审报告，评标委员会成员应当在评审报告上签字，对自己的评审意见承担法律责任。对评审报告有异议的，应当在评审报告上签署不同意见，并说明理由，否则视为同意评审报告。</w:t>
      </w:r>
    </w:p>
    <w:p w14:paraId="79FD77F8">
      <w:pPr>
        <w:spacing w:line="460" w:lineRule="exact"/>
        <w:ind w:firstLine="759" w:firstLineChars="3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中标人确定后，招标人将在政府指定媒体公告中标结果，招标人向中标人发出中标通知书。</w:t>
      </w:r>
    </w:p>
    <w:p w14:paraId="4E31E3DC">
      <w:pPr>
        <w:spacing w:line="460" w:lineRule="exact"/>
        <w:ind w:firstLine="759" w:firstLineChars="3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18、招标人对决标结果不做任何解释，也不保证最低价中标。</w:t>
      </w:r>
    </w:p>
    <w:p w14:paraId="25D393DE">
      <w:pPr>
        <w:spacing w:line="460" w:lineRule="exact"/>
        <w:ind w:firstLine="759" w:firstLineChars="345"/>
        <w:rPr>
          <w:rFonts w:hint="eastAsia" w:ascii="宋体" w:hAnsi="宋体" w:eastAsia="宋体" w:cs="宋体"/>
          <w:b/>
          <w:color w:val="auto"/>
          <w:sz w:val="22"/>
          <w:szCs w:val="22"/>
          <w:highlight w:val="none"/>
        </w:rPr>
      </w:pPr>
      <w:r>
        <w:rPr>
          <w:rFonts w:hint="eastAsia" w:ascii="宋体" w:hAnsi="宋体" w:eastAsia="宋体" w:cs="宋体"/>
          <w:b w:val="0"/>
          <w:bCs w:val="0"/>
          <w:color w:val="auto"/>
          <w:sz w:val="22"/>
          <w:szCs w:val="22"/>
          <w:highlight w:val="none"/>
        </w:rPr>
        <w:t>19、评标细则详见“评标原则及方法”。</w:t>
      </w:r>
    </w:p>
    <w:p w14:paraId="08267583">
      <w:pPr>
        <w:spacing w:before="100" w:beforeAutospacing="1" w:after="100" w:afterAutospacing="1" w:line="440" w:lineRule="exact"/>
        <w:jc w:val="center"/>
        <w:outlineLvl w:val="1"/>
        <w:rPr>
          <w:rFonts w:hint="eastAsia" w:ascii="宋体" w:hAnsi="宋体" w:eastAsia="宋体" w:cs="宋体"/>
          <w:b/>
          <w:bCs/>
          <w:color w:val="auto"/>
          <w:sz w:val="26"/>
          <w:szCs w:val="26"/>
          <w:highlight w:val="none"/>
        </w:rPr>
      </w:pPr>
      <w:bookmarkStart w:id="22" w:name="_Toc26836"/>
      <w:bookmarkStart w:id="23" w:name="_Toc21056"/>
      <w:r>
        <w:rPr>
          <w:rFonts w:hint="eastAsia" w:ascii="宋体" w:hAnsi="宋体" w:eastAsia="宋体" w:cs="宋体"/>
          <w:b/>
          <w:bCs/>
          <w:color w:val="auto"/>
          <w:sz w:val="26"/>
          <w:szCs w:val="26"/>
          <w:highlight w:val="none"/>
        </w:rPr>
        <w:t>六、 授予合同</w:t>
      </w:r>
      <w:bookmarkEnd w:id="22"/>
      <w:bookmarkEnd w:id="23"/>
    </w:p>
    <w:p w14:paraId="051E21E7">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highlight w:val="none"/>
        </w:rPr>
        <w:t>1、中标通知书</w:t>
      </w:r>
    </w:p>
    <w:p w14:paraId="29F33FD8">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1.1中标人确定后，招标人将向中标人发出中标通知书。 </w:t>
      </w:r>
    </w:p>
    <w:p w14:paraId="0979DD34">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1.2中标通知书是合同的一个组成部分,对招标人和中标人均具有同等法律效力。</w:t>
      </w:r>
    </w:p>
    <w:p w14:paraId="72C54E0B">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highlight w:val="none"/>
        </w:rPr>
        <w:t>2、授标时更改采购货物数量的权力</w:t>
      </w:r>
    </w:p>
    <w:p w14:paraId="1F608AC9">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2.1招标人在授予合同时有权对采购货物的数量和服务在一定幅度范围内予以增加或减少,但不得对单价和其他的条款和条件作任何改变。</w:t>
      </w:r>
    </w:p>
    <w:p w14:paraId="6947F4C2">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highlight w:val="none"/>
        </w:rPr>
        <w:t>3、签订合同</w:t>
      </w:r>
    </w:p>
    <w:p w14:paraId="6EAB4337">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3.1中标人应按中标通知书规定的时间、地点与招标人签订合同。</w:t>
      </w:r>
    </w:p>
    <w:p w14:paraId="7BEA2C66">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3.2</w:t>
      </w:r>
      <w:r>
        <w:rPr>
          <w:rFonts w:hint="eastAsia" w:ascii="宋体" w:hAnsi="宋体" w:eastAsia="宋体" w:cs="宋体"/>
          <w:b w:val="0"/>
          <w:bCs/>
          <w:color w:val="auto"/>
          <w:spacing w:val="6"/>
          <w:sz w:val="22"/>
          <w:szCs w:val="22"/>
          <w:highlight w:val="none"/>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68247691">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3.3招标文件、中标人的投标文件、投标修改文件、评标过程中有关澄清文件及经投标人和评委双方签字的询标纪要和中标通知书均作为合同附件。</w:t>
      </w:r>
    </w:p>
    <w:p w14:paraId="645046C1">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3.4拒签合同的违约责任</w:t>
      </w:r>
    </w:p>
    <w:p w14:paraId="3ABB95F9">
      <w:pPr>
        <w:spacing w:line="460" w:lineRule="exact"/>
        <w:ind w:firstLine="568" w:firstLineChars="245"/>
        <w:rPr>
          <w:rFonts w:hint="eastAsia" w:ascii="宋体" w:hAnsi="宋体" w:eastAsia="宋体" w:cs="宋体"/>
          <w:b w:val="0"/>
          <w:bCs/>
          <w:color w:val="auto"/>
          <w:spacing w:val="6"/>
          <w:sz w:val="22"/>
          <w:szCs w:val="22"/>
          <w:highlight w:val="none"/>
        </w:rPr>
      </w:pPr>
      <w:r>
        <w:rPr>
          <w:rFonts w:hint="eastAsia" w:ascii="宋体" w:hAnsi="宋体" w:eastAsia="宋体" w:cs="宋体"/>
          <w:b w:val="0"/>
          <w:bCs/>
          <w:color w:val="auto"/>
          <w:spacing w:val="6"/>
          <w:sz w:val="22"/>
          <w:szCs w:val="22"/>
          <w:highlight w:val="none"/>
        </w:rPr>
        <w:t>中标人接到中标通知书后，在规定时间内借故否认已经承诺的条件而拒签合同的，以违约处理。</w:t>
      </w:r>
    </w:p>
    <w:p w14:paraId="07782F5B">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cs="宋体"/>
          <w:b w:val="0"/>
          <w:bCs/>
          <w:color w:val="auto"/>
          <w:sz w:val="22"/>
          <w:highlight w:val="none"/>
          <w:lang w:val="en-US" w:eastAsia="zh-CN"/>
        </w:rPr>
        <w:t>4</w:t>
      </w:r>
      <w:r>
        <w:rPr>
          <w:rFonts w:hint="eastAsia" w:ascii="宋体" w:hAnsi="宋体" w:eastAsia="宋体" w:cs="宋体"/>
          <w:b w:val="0"/>
          <w:bCs/>
          <w:color w:val="auto"/>
          <w:sz w:val="22"/>
          <w:highlight w:val="none"/>
        </w:rPr>
        <w:t>、质疑与投诉</w:t>
      </w:r>
    </w:p>
    <w:p w14:paraId="5775D46E">
      <w:pPr>
        <w:spacing w:line="460" w:lineRule="exact"/>
        <w:ind w:firstLine="568" w:firstLineChars="245"/>
        <w:rPr>
          <w:rFonts w:hint="default" w:ascii="宋体" w:hAnsi="宋体" w:cs="宋体"/>
          <w:b w:val="0"/>
          <w:bCs/>
          <w:color w:val="auto"/>
          <w:sz w:val="22"/>
          <w:highlight w:val="none"/>
          <w:lang w:val="en-US" w:eastAsia="zh-CN"/>
        </w:rPr>
      </w:pPr>
      <w:r>
        <w:rPr>
          <w:rFonts w:hint="eastAsia" w:ascii="宋体" w:hAnsi="宋体" w:eastAsia="宋体" w:cs="宋体"/>
          <w:b w:val="0"/>
          <w:bCs/>
          <w:color w:val="auto"/>
          <w:spacing w:val="6"/>
          <w:sz w:val="22"/>
          <w:szCs w:val="22"/>
          <w:highlight w:val="none"/>
          <w:lang w:val="en-US" w:eastAsia="zh-CN"/>
        </w:rPr>
        <w:t>4</w:t>
      </w:r>
      <w:r>
        <w:rPr>
          <w:rFonts w:hint="eastAsia" w:ascii="宋体" w:hAnsi="宋体" w:eastAsia="宋体" w:cs="宋体"/>
          <w:b w:val="0"/>
          <w:bCs/>
          <w:color w:val="auto"/>
          <w:spacing w:val="6"/>
          <w:sz w:val="22"/>
          <w:szCs w:val="22"/>
          <w:highlight w:val="none"/>
        </w:rPr>
        <w:t>.1</w:t>
      </w:r>
      <w:r>
        <w:rPr>
          <w:rFonts w:hint="eastAsia" w:ascii="宋体" w:hAnsi="宋体" w:cs="宋体"/>
          <w:b/>
          <w:bCs w:val="0"/>
          <w:color w:val="auto"/>
          <w:sz w:val="22"/>
          <w:highlight w:val="none"/>
          <w:lang w:val="en-US" w:eastAsia="zh-CN"/>
        </w:rPr>
        <w:t>特别提醒：</w:t>
      </w:r>
      <w:r>
        <w:rPr>
          <w:rFonts w:hint="eastAsia" w:ascii="宋体" w:hAnsi="宋体" w:eastAsia="宋体" w:cs="宋体"/>
          <w:color w:val="auto"/>
          <w:sz w:val="22"/>
          <w:highlight w:val="none"/>
          <w:lang w:val="en-US" w:eastAsia="zh-CN"/>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auto"/>
          <w:sz w:val="22"/>
          <w:highlight w:val="none"/>
          <w:lang w:eastAsia="zh-CN"/>
        </w:rPr>
        <w:t>，</w:t>
      </w:r>
      <w:r>
        <w:rPr>
          <w:rFonts w:hint="eastAsia" w:ascii="宋体" w:hAnsi="宋体" w:cs="宋体"/>
          <w:b w:val="0"/>
          <w:bCs/>
          <w:color w:val="auto"/>
          <w:sz w:val="22"/>
          <w:highlight w:val="none"/>
          <w:lang w:val="en-US" w:eastAsia="zh-CN"/>
        </w:rPr>
        <w:t>供应商在法定质疑期内应一次性提出针对同一采购程序环节的质疑，</w:t>
      </w:r>
      <w:r>
        <w:rPr>
          <w:rFonts w:hint="eastAsia" w:ascii="宋体" w:hAnsi="宋体" w:cs="宋体"/>
          <w:bCs/>
          <w:color w:val="auto"/>
          <w:sz w:val="22"/>
          <w:highlight w:val="none"/>
          <w:lang w:val="en-US" w:eastAsia="zh-CN"/>
        </w:rPr>
        <w:t>否则</w:t>
      </w:r>
      <w:r>
        <w:rPr>
          <w:rFonts w:hint="eastAsia" w:ascii="新宋体" w:hAnsi="新宋体" w:eastAsia="新宋体" w:cs="新宋体"/>
          <w:sz w:val="22"/>
          <w:szCs w:val="22"/>
          <w:highlight w:val="none"/>
        </w:rPr>
        <w:t>不予受理、答复</w:t>
      </w:r>
      <w:r>
        <w:rPr>
          <w:rFonts w:hint="eastAsia" w:ascii="宋体" w:hAnsi="宋体" w:cs="宋体"/>
          <w:bCs/>
          <w:color w:val="auto"/>
          <w:sz w:val="22"/>
          <w:highlight w:val="none"/>
          <w:lang w:val="en-US" w:eastAsia="zh-CN"/>
        </w:rPr>
        <w:t>。</w:t>
      </w:r>
    </w:p>
    <w:p w14:paraId="36ECF32C">
      <w:pPr>
        <w:spacing w:line="460" w:lineRule="exact"/>
        <w:ind w:firstLine="539" w:firstLineChars="245"/>
        <w:rPr>
          <w:rFonts w:hint="eastAsia" w:ascii="宋体" w:hAnsi="宋体" w:eastAsia="宋体" w:cs="宋体"/>
          <w:b w:val="0"/>
          <w:bCs/>
          <w:color w:val="auto"/>
          <w:sz w:val="22"/>
          <w:szCs w:val="22"/>
          <w:highlight w:val="none"/>
        </w:rPr>
      </w:pPr>
      <w:r>
        <w:rPr>
          <w:rFonts w:hint="eastAsia" w:ascii="宋体" w:hAnsi="宋体" w:cs="宋体"/>
          <w:b w:val="0"/>
          <w:bCs/>
          <w:color w:val="auto"/>
          <w:sz w:val="22"/>
          <w:highlight w:val="none"/>
          <w:lang w:val="en-US" w:eastAsia="zh-CN"/>
        </w:rPr>
        <w:t>4</w:t>
      </w:r>
      <w:r>
        <w:rPr>
          <w:rFonts w:hint="eastAsia" w:ascii="宋体" w:hAnsi="宋体" w:eastAsia="宋体" w:cs="宋体"/>
          <w:b w:val="0"/>
          <w:bCs/>
          <w:color w:val="auto"/>
          <w:sz w:val="22"/>
          <w:highlight w:val="none"/>
        </w:rPr>
        <w:t>.2招标人或招标代理机构在收到投标人的书面质疑后七个工作日内作出答复，但答复的内容不得涉及商业秘密。质疑投标人对招标人或招标代理机构的答复不满意，可以在答复期满后十五个工作日内向同级政府采购监督管理部门投诉。</w:t>
      </w:r>
    </w:p>
    <w:p w14:paraId="7177589C">
      <w:pPr>
        <w:spacing w:line="460" w:lineRule="exact"/>
        <w:ind w:firstLine="539" w:firstLineChars="245"/>
        <w:rPr>
          <w:rFonts w:hint="eastAsia" w:ascii="宋体" w:hAnsi="宋体" w:eastAsia="宋体" w:cs="宋体"/>
          <w:b w:val="0"/>
          <w:bCs/>
          <w:color w:val="auto"/>
          <w:sz w:val="22"/>
          <w:highlight w:val="none"/>
        </w:rPr>
      </w:pPr>
      <w:r>
        <w:rPr>
          <w:rFonts w:hint="eastAsia" w:ascii="宋体" w:hAnsi="宋体" w:cs="宋体"/>
          <w:b w:val="0"/>
          <w:bCs/>
          <w:color w:val="auto"/>
          <w:sz w:val="22"/>
          <w:highlight w:val="none"/>
          <w:lang w:val="en-US" w:eastAsia="zh-CN"/>
        </w:rPr>
        <w:t>4</w:t>
      </w:r>
      <w:r>
        <w:rPr>
          <w:rFonts w:hint="eastAsia" w:ascii="宋体" w:hAnsi="宋体" w:eastAsia="宋体" w:cs="宋体"/>
          <w:b w:val="0"/>
          <w:bCs/>
          <w:color w:val="auto"/>
          <w:sz w:val="22"/>
          <w:highlight w:val="none"/>
        </w:rPr>
        <w:t>.3投诉人投诉时，应提交投诉书，投诉书应当由本人并由法定代表人签字盖公章，投诉书应说明具体的投诉事项及事实依据。投诉人对投诉书的真实性负责，恶意投诉将承当相应的法律和民事责任。</w:t>
      </w:r>
    </w:p>
    <w:p w14:paraId="00B57DE8">
      <w:pPr>
        <w:rPr>
          <w:rFonts w:hint="eastAsia" w:ascii="宋体" w:hAnsi="宋体" w:eastAsia="宋体" w:cs="宋体"/>
        </w:rPr>
      </w:pPr>
      <w:bookmarkStart w:id="24" w:name="_Toc19043"/>
      <w:bookmarkStart w:id="25" w:name="_Toc28194"/>
    </w:p>
    <w:p w14:paraId="160BF479">
      <w:pPr>
        <w:rPr>
          <w:rFonts w:hint="eastAsia" w:ascii="宋体" w:hAnsi="宋体" w:eastAsia="宋体" w:cs="宋体"/>
        </w:rPr>
      </w:pPr>
      <w:r>
        <w:rPr>
          <w:rFonts w:hint="eastAsia" w:ascii="宋体" w:hAnsi="宋体" w:eastAsia="宋体" w:cs="宋体"/>
        </w:rPr>
        <w:br w:type="page"/>
      </w:r>
    </w:p>
    <w:p w14:paraId="50F8DED7">
      <w:pPr>
        <w:pStyle w:val="2"/>
        <w:bidi w:val="0"/>
        <w:rPr>
          <w:rFonts w:hint="eastAsia" w:ascii="宋体" w:hAnsi="宋体" w:eastAsia="宋体" w:cs="宋体"/>
        </w:rPr>
      </w:pPr>
      <w:r>
        <w:rPr>
          <w:rFonts w:hint="eastAsia" w:ascii="宋体" w:hAnsi="宋体" w:eastAsia="宋体" w:cs="宋体"/>
        </w:rPr>
        <w:t>第二部分    合同主要条款</w:t>
      </w:r>
      <w:bookmarkEnd w:id="24"/>
      <w:bookmarkEnd w:id="25"/>
    </w:p>
    <w:p w14:paraId="40EA38DD">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注：如甲、乙双方同意，合同格式也可以按照其他形式, 具体条款以甲方为主协商确定。但合同条款的基本内容应与以下要求的内容相一致。</w:t>
      </w:r>
    </w:p>
    <w:p w14:paraId="6E078CD3">
      <w:pPr>
        <w:spacing w:line="460" w:lineRule="exact"/>
        <w:jc w:val="center"/>
        <w:rPr>
          <w:rFonts w:hint="eastAsia" w:hAnsi="宋体"/>
          <w:b/>
          <w:bCs w:val="0"/>
          <w:color w:val="auto"/>
          <w:sz w:val="36"/>
          <w:szCs w:val="36"/>
          <w:highlight w:val="none"/>
          <w:lang w:val="en-US" w:eastAsia="zh-CN"/>
        </w:rPr>
      </w:pPr>
    </w:p>
    <w:p w14:paraId="746CE7C1">
      <w:pPr>
        <w:spacing w:line="460" w:lineRule="exact"/>
        <w:jc w:val="center"/>
        <w:rPr>
          <w:rFonts w:hint="default" w:ascii="宋体" w:hAnsi="宋体" w:cs="Arial"/>
          <w:b/>
          <w:bCs w:val="0"/>
          <w:color w:val="auto"/>
          <w:sz w:val="36"/>
          <w:szCs w:val="36"/>
          <w:highlight w:val="none"/>
          <w:lang w:val="en-US" w:eastAsia="zh-CN"/>
        </w:rPr>
      </w:pPr>
      <w:r>
        <w:rPr>
          <w:rFonts w:hint="eastAsia" w:hAnsi="宋体"/>
          <w:b/>
          <w:bCs w:val="0"/>
          <w:color w:val="auto"/>
          <w:sz w:val="36"/>
          <w:szCs w:val="36"/>
          <w:highlight w:val="none"/>
          <w:lang w:val="en-US" w:eastAsia="zh-CN"/>
        </w:rPr>
        <w:t>温州市中医院</w:t>
      </w:r>
      <w:r>
        <w:rPr>
          <w:rFonts w:hint="default" w:ascii="宋体" w:hAnsi="宋体" w:cs="Arial"/>
          <w:b/>
          <w:bCs w:val="0"/>
          <w:color w:val="auto"/>
          <w:sz w:val="36"/>
          <w:szCs w:val="36"/>
          <w:highlight w:val="none"/>
          <w:lang w:val="en-US" w:eastAsia="zh-CN"/>
        </w:rPr>
        <w:t>育龄期女性多囊卵巢综合征课题医学检测外送服务</w:t>
      </w:r>
      <w:r>
        <w:rPr>
          <w:rFonts w:hint="eastAsia" w:ascii="宋体" w:hAnsi="宋体" w:cs="Arial"/>
          <w:b/>
          <w:bCs w:val="0"/>
          <w:color w:val="auto"/>
          <w:sz w:val="36"/>
          <w:szCs w:val="36"/>
          <w:highlight w:val="none"/>
          <w:lang w:val="en-US" w:eastAsia="zh-CN"/>
        </w:rPr>
        <w:t>合同</w:t>
      </w:r>
    </w:p>
    <w:p w14:paraId="6940FF28">
      <w:pPr>
        <w:spacing w:line="480" w:lineRule="auto"/>
        <w:rPr>
          <w:rFonts w:hint="default" w:ascii="宋体" w:hAnsi="宋体" w:cs="Arial"/>
          <w:b/>
          <w:color w:val="auto"/>
          <w:sz w:val="30"/>
          <w:szCs w:val="30"/>
          <w:highlight w:val="none"/>
          <w:lang w:val="en-US" w:eastAsia="zh-CN"/>
        </w:rPr>
      </w:pPr>
      <w:r>
        <w:rPr>
          <w:rFonts w:hint="eastAsia" w:ascii="宋体" w:hAnsi="宋体" w:cs="Arial"/>
          <w:b/>
          <w:color w:val="auto"/>
          <w:sz w:val="30"/>
          <w:szCs w:val="30"/>
          <w:highlight w:val="none"/>
          <w:lang w:val="en-US" w:eastAsia="zh-CN"/>
        </w:rPr>
        <w:t xml:space="preserve">                                   </w:t>
      </w:r>
      <w:r>
        <w:rPr>
          <w:rFonts w:hint="eastAsia" w:ascii="宋体" w:hAnsi="宋体" w:cs="Arial"/>
          <w:b w:val="0"/>
          <w:bCs/>
          <w:color w:val="auto"/>
          <w:sz w:val="30"/>
          <w:szCs w:val="30"/>
          <w:highlight w:val="none"/>
          <w:lang w:val="en-US" w:eastAsia="zh-CN"/>
        </w:rPr>
        <w:t xml:space="preserve">  </w:t>
      </w:r>
      <w:r>
        <w:rPr>
          <w:rFonts w:hint="eastAsia" w:ascii="宋体" w:hAnsi="宋体" w:cs="Arial"/>
          <w:b w:val="0"/>
          <w:bCs/>
          <w:color w:val="auto"/>
          <w:sz w:val="21"/>
          <w:szCs w:val="21"/>
          <w:highlight w:val="none"/>
          <w:lang w:val="en-US" w:eastAsia="zh-CN"/>
        </w:rPr>
        <w:t>合同编号:</w:t>
      </w:r>
      <w:r>
        <w:rPr>
          <w:rFonts w:hint="eastAsia" w:ascii="宋体" w:hAnsi="宋体" w:cs="Arial"/>
          <w:b w:val="0"/>
          <w:bCs/>
          <w:color w:val="auto"/>
          <w:sz w:val="30"/>
          <w:szCs w:val="30"/>
          <w:highlight w:val="none"/>
          <w:lang w:val="en-US" w:eastAsia="zh-CN"/>
        </w:rPr>
        <w:t xml:space="preserve">  </w:t>
      </w:r>
      <w:r>
        <w:rPr>
          <w:rFonts w:hint="eastAsia" w:ascii="宋体" w:hAnsi="宋体" w:cs="Arial"/>
          <w:b/>
          <w:color w:val="auto"/>
          <w:sz w:val="30"/>
          <w:szCs w:val="30"/>
          <w:highlight w:val="none"/>
          <w:lang w:val="en-US" w:eastAsia="zh-CN"/>
        </w:rPr>
        <w:t xml:space="preserve">                                    </w:t>
      </w:r>
    </w:p>
    <w:p w14:paraId="334960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甲方</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u w:val="single"/>
          <w:lang w:eastAsia="zh-CN"/>
        </w:rPr>
        <w:t>温州市中医院</w:t>
      </w:r>
      <w:r>
        <w:rPr>
          <w:rFonts w:hint="eastAsia" w:ascii="宋体" w:hAnsi="宋体" w:eastAsia="宋体" w:cs="宋体"/>
          <w:bCs/>
          <w:color w:val="auto"/>
          <w:sz w:val="22"/>
          <w:szCs w:val="22"/>
          <w:highlight w:val="none"/>
          <w:u w:val="single"/>
          <w:lang w:val="en-US" w:eastAsia="zh-CN"/>
        </w:rPr>
        <w:t xml:space="preserve">  </w:t>
      </w:r>
    </w:p>
    <w:p w14:paraId="590B0F4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乙方</w:t>
      </w:r>
      <w:r>
        <w:rPr>
          <w:rFonts w:hint="eastAsia" w:ascii="宋体" w:hAnsi="宋体" w:eastAsia="宋体" w:cs="宋体"/>
          <w:bCs/>
          <w:color w:val="auto"/>
          <w:sz w:val="22"/>
          <w:szCs w:val="22"/>
          <w:highlight w:val="none"/>
        </w:rPr>
        <w:t>：</w:t>
      </w:r>
    </w:p>
    <w:p w14:paraId="0FEB77D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温州市中医院</w:t>
      </w:r>
      <w:r>
        <w:rPr>
          <w:rFonts w:hint="eastAsia" w:ascii="宋体" w:hAnsi="宋体" w:eastAsia="宋体" w:cs="宋体"/>
          <w:bCs/>
          <w:color w:val="auto"/>
          <w:sz w:val="22"/>
          <w:szCs w:val="22"/>
          <w:highlight w:val="none"/>
        </w:rPr>
        <w:t>的</w:t>
      </w:r>
      <w:r>
        <w:rPr>
          <w:rFonts w:hint="eastAsia" w:ascii="宋体" w:hAnsi="宋体" w:eastAsia="宋体" w:cs="宋体"/>
          <w:bCs/>
          <w:color w:val="auto"/>
          <w:sz w:val="22"/>
          <w:szCs w:val="22"/>
          <w:highlight w:val="none"/>
          <w:u w:val="single"/>
        </w:rPr>
        <w:t xml:space="preserve"> 育龄期女性多囊卵巢综合征课题医学检测外送服务 </w:t>
      </w:r>
      <w:r>
        <w:rPr>
          <w:rFonts w:hint="eastAsia" w:ascii="宋体" w:hAnsi="宋体" w:eastAsia="宋体" w:cs="宋体"/>
          <w:bCs/>
          <w:color w:val="auto"/>
          <w:sz w:val="22"/>
          <w:szCs w:val="22"/>
          <w:highlight w:val="none"/>
        </w:rPr>
        <w:t>在国内以公开招标</w:t>
      </w:r>
      <w:r>
        <w:rPr>
          <w:rFonts w:hint="eastAsia" w:ascii="宋体" w:hAnsi="宋体" w:eastAsia="宋体" w:cs="宋体"/>
          <w:bCs/>
          <w:color w:val="auto"/>
          <w:sz w:val="22"/>
          <w:szCs w:val="22"/>
          <w:highlight w:val="none"/>
          <w:lang w:val="en-US" w:eastAsia="zh-CN"/>
        </w:rPr>
        <w:t>方</w:t>
      </w:r>
      <w:r>
        <w:rPr>
          <w:rFonts w:hint="eastAsia" w:ascii="宋体" w:hAnsi="宋体" w:eastAsia="宋体" w:cs="宋体"/>
          <w:bCs/>
          <w:color w:val="auto"/>
          <w:sz w:val="22"/>
          <w:szCs w:val="22"/>
          <w:highlight w:val="none"/>
        </w:rPr>
        <w:t>式进行招标，经评标委员会评定</w:t>
      </w:r>
      <w:r>
        <w:rPr>
          <w:rFonts w:hint="eastAsia" w:ascii="宋体" w:hAnsi="宋体" w:eastAsia="宋体" w:cs="宋体"/>
          <w:bCs/>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为中标人。甲、乙双方本着诚信及互利互惠的原则，同意按照下面条款和条件，签署本合同。</w:t>
      </w:r>
    </w:p>
    <w:p w14:paraId="19B977F4">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一、本合同签订依据</w:t>
      </w:r>
    </w:p>
    <w:p w14:paraId="4A12C4D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《中华人民共和国民法典》</w:t>
      </w:r>
    </w:p>
    <w:p w14:paraId="18F60748">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二、合同文件的优先次序</w:t>
      </w:r>
    </w:p>
    <w:p w14:paraId="568CA53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合同文件如存在歧义或不一致则根据以下优先次序来判断：</w:t>
      </w:r>
    </w:p>
    <w:p w14:paraId="18BA0C3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1、合同书及合同补充条款或说明 </w:t>
      </w:r>
    </w:p>
    <w:p w14:paraId="2DBFA5B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2、中标通知书</w:t>
      </w:r>
    </w:p>
    <w:p w14:paraId="697E738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3、承诺书（含询标记录和优惠条款）</w:t>
      </w:r>
    </w:p>
    <w:p w14:paraId="2A04040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4、投标文件</w:t>
      </w:r>
    </w:p>
    <w:p w14:paraId="7C9B988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5、招标文件</w:t>
      </w:r>
    </w:p>
    <w:p w14:paraId="4B64294D">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w:t>
      </w:r>
      <w:r>
        <w:rPr>
          <w:rFonts w:hint="eastAsia" w:ascii="宋体" w:hAnsi="宋体" w:eastAsia="宋体" w:cs="宋体"/>
          <w:b/>
          <w:color w:val="auto"/>
          <w:sz w:val="22"/>
          <w:szCs w:val="22"/>
          <w:highlight w:val="none"/>
          <w:lang w:eastAsia="zh-CN"/>
        </w:rPr>
        <w:t>服务</w:t>
      </w:r>
      <w:r>
        <w:rPr>
          <w:rFonts w:hint="eastAsia" w:ascii="宋体" w:hAnsi="宋体" w:eastAsia="宋体" w:cs="宋体"/>
          <w:b/>
          <w:color w:val="auto"/>
          <w:sz w:val="22"/>
          <w:szCs w:val="22"/>
          <w:highlight w:val="none"/>
        </w:rPr>
        <w:t>内容和</w:t>
      </w:r>
      <w:r>
        <w:rPr>
          <w:rFonts w:hint="eastAsia" w:ascii="宋体" w:hAnsi="宋体" w:eastAsia="宋体" w:cs="宋体"/>
          <w:b/>
          <w:color w:val="auto"/>
          <w:sz w:val="22"/>
          <w:szCs w:val="22"/>
          <w:highlight w:val="none"/>
          <w:lang w:eastAsia="zh-CN"/>
        </w:rPr>
        <w:t>服务</w:t>
      </w:r>
      <w:r>
        <w:rPr>
          <w:rFonts w:hint="eastAsia" w:ascii="宋体" w:hAnsi="宋体" w:eastAsia="宋体" w:cs="宋体"/>
          <w:b/>
          <w:color w:val="auto"/>
          <w:sz w:val="22"/>
          <w:szCs w:val="22"/>
          <w:highlight w:val="none"/>
        </w:rPr>
        <w:t>期限</w:t>
      </w:r>
    </w:p>
    <w:p w14:paraId="199E438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lang w:val="en-GB" w:eastAsia="zh-CN"/>
        </w:rPr>
      </w:pPr>
      <w:r>
        <w:rPr>
          <w:rFonts w:hint="eastAsia" w:ascii="宋体" w:hAnsi="宋体" w:eastAsia="宋体" w:cs="宋体"/>
          <w:color w:val="auto"/>
          <w:sz w:val="22"/>
          <w:szCs w:val="22"/>
          <w:highlight w:val="none"/>
        </w:rPr>
        <w:t>1、主要服务内容包括：育龄期女性多囊卵巢综合征课题医学检测外送服务</w:t>
      </w:r>
      <w:r>
        <w:rPr>
          <w:rFonts w:hint="eastAsia" w:ascii="宋体" w:hAnsi="宋体" w:eastAsia="宋体" w:cs="宋体"/>
          <w:bCs/>
          <w:color w:val="auto"/>
          <w:sz w:val="22"/>
          <w:szCs w:val="22"/>
          <w:highlight w:val="none"/>
          <w:lang w:val="en-GB"/>
        </w:rPr>
        <w:t>，包括但不限于提供标本运输服务、外送标本检验检测和质量控制等工作。</w:t>
      </w:r>
      <w:r>
        <w:rPr>
          <w:rFonts w:hint="eastAsia" w:ascii="宋体" w:hAnsi="宋体" w:eastAsia="宋体" w:cs="宋体"/>
          <w:bCs/>
          <w:color w:val="auto"/>
          <w:sz w:val="22"/>
          <w:szCs w:val="22"/>
          <w:highlight w:val="none"/>
          <w:lang w:val="en-GB" w:eastAsia="zh-CN"/>
        </w:rPr>
        <w:t>具体详见附件。</w:t>
      </w:r>
    </w:p>
    <w:p w14:paraId="25BACCA0">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bCs/>
          <w:color w:val="auto"/>
          <w:sz w:val="22"/>
          <w:szCs w:val="22"/>
          <w:highlight w:val="none"/>
          <w:lang w:val="en-GB"/>
        </w:rPr>
        <w:t>2、检验样本</w:t>
      </w:r>
    </w:p>
    <w:p w14:paraId="2C0F05A7">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bCs/>
          <w:color w:val="auto"/>
          <w:sz w:val="22"/>
          <w:szCs w:val="22"/>
          <w:highlight w:val="none"/>
          <w:lang w:val="en-GB"/>
        </w:rPr>
        <w:t>（1） 样本的收集：</w:t>
      </w:r>
    </w:p>
    <w:p w14:paraId="41C0B945">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color w:val="auto"/>
          <w:sz w:val="22"/>
          <w:szCs w:val="22"/>
          <w:highlight w:val="none"/>
          <w:lang w:val="en-GB" w:eastAsia="zh-CN"/>
        </w:rPr>
        <w:t>①</w:t>
      </w:r>
      <w:r>
        <w:rPr>
          <w:rFonts w:hint="eastAsia" w:ascii="宋体" w:hAnsi="宋体" w:eastAsia="宋体" w:cs="宋体"/>
          <w:bCs/>
          <w:color w:val="auto"/>
          <w:sz w:val="22"/>
          <w:szCs w:val="22"/>
          <w:highlight w:val="none"/>
          <w:lang w:val="en-GB"/>
        </w:rPr>
        <w:t xml:space="preserve"> 甲方采集样本，并注明样本采集时间。</w:t>
      </w:r>
      <w:r>
        <w:rPr>
          <w:rFonts w:hint="eastAsia" w:ascii="宋体" w:hAnsi="宋体" w:eastAsia="宋体" w:cs="宋体"/>
          <w:color w:val="auto"/>
          <w:sz w:val="22"/>
          <w:szCs w:val="22"/>
          <w:highlight w:val="none"/>
        </w:rPr>
        <w:t>特殊标本采集及临时存放所需的用品、采集耗材由</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提供，所需费用由</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承担。</w:t>
      </w:r>
    </w:p>
    <w:p w14:paraId="470BB271">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color w:val="auto"/>
          <w:sz w:val="22"/>
          <w:szCs w:val="22"/>
          <w:highlight w:val="none"/>
          <w:lang w:val="en-GB" w:eastAsia="zh-CN"/>
        </w:rPr>
        <w:t>②</w:t>
      </w:r>
      <w:r>
        <w:rPr>
          <w:rFonts w:hint="eastAsia" w:ascii="宋体" w:hAnsi="宋体" w:eastAsia="宋体" w:cs="宋体"/>
          <w:bCs/>
          <w:color w:val="auto"/>
          <w:sz w:val="22"/>
          <w:szCs w:val="22"/>
          <w:highlight w:val="none"/>
          <w:lang w:val="en-GB"/>
        </w:rPr>
        <w:t xml:space="preserve"> 甲方应当在检验项目要求的规定时间内，按照规定的方式对其所采集的样本进行前处理和运送前存储。如因甲方采集或处理存储不当造成样本不符合检验要求的，由甲方自行承担后果。</w:t>
      </w:r>
    </w:p>
    <w:p w14:paraId="5E189F4D">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color w:val="auto"/>
          <w:sz w:val="22"/>
          <w:szCs w:val="22"/>
          <w:highlight w:val="none"/>
          <w:lang w:val="en-GB" w:eastAsia="zh-CN"/>
        </w:rPr>
        <w:t>③</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lang w:val="en-GB"/>
        </w:rPr>
        <w:t>甲方应确保向乙方提供完整的样本检验申请信息，包括患者基本信息、标本类型、项目名称、采样时间等，便于乙方提供适宜的检验和结果解释。</w:t>
      </w:r>
    </w:p>
    <w:p w14:paraId="790191EA">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bCs/>
          <w:color w:val="auto"/>
          <w:sz w:val="22"/>
          <w:szCs w:val="22"/>
          <w:highlight w:val="none"/>
          <w:lang w:val="en-GB"/>
        </w:rPr>
        <w:t>（2）样本的交付及运送：</w:t>
      </w:r>
    </w:p>
    <w:p w14:paraId="19778968">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color w:val="auto"/>
          <w:sz w:val="22"/>
          <w:szCs w:val="22"/>
          <w:highlight w:val="none"/>
          <w:lang w:val="en-US" w:eastAsia="zh-CN"/>
        </w:rPr>
        <w:t xml:space="preserve">① </w:t>
      </w:r>
      <w:r>
        <w:rPr>
          <w:rFonts w:hint="eastAsia" w:ascii="宋体" w:hAnsi="宋体" w:eastAsia="宋体" w:cs="宋体"/>
          <w:bCs/>
          <w:color w:val="auto"/>
          <w:sz w:val="22"/>
          <w:szCs w:val="22"/>
          <w:highlight w:val="none"/>
          <w:lang w:val="en-GB"/>
        </w:rPr>
        <w:t>乙方应每天派工作人员到甲方指定场所收取外送标本并负责运送，乙方提供运送的工具设施，确保样本在储存及运送过程中不发生变质的情况。</w:t>
      </w:r>
    </w:p>
    <w:p w14:paraId="3FE3E093">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② 乙方</w:t>
      </w:r>
      <w:r>
        <w:rPr>
          <w:rFonts w:hint="eastAsia" w:ascii="宋体" w:hAnsi="宋体" w:eastAsia="宋体" w:cs="宋体"/>
          <w:color w:val="auto"/>
          <w:sz w:val="22"/>
          <w:szCs w:val="22"/>
          <w:highlight w:val="none"/>
        </w:rPr>
        <w:t>应每天安排专门的人员定时到达</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指定地点接收标本（每天不少于一次，特殊情况下可临时增加一次），并对标本信息（患者基本信息，样本类型、项目名称、采集时间等）进行核对、记录，办理交接、签收手续。标本接收后，</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应当严格按照国家和行业标准对标本进行保存。</w:t>
      </w:r>
    </w:p>
    <w:p w14:paraId="4D1250E0">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③ </w:t>
      </w:r>
      <w:r>
        <w:rPr>
          <w:rFonts w:hint="eastAsia" w:ascii="宋体" w:hAnsi="宋体" w:eastAsia="宋体" w:cs="宋体"/>
          <w:color w:val="auto"/>
          <w:sz w:val="22"/>
          <w:szCs w:val="22"/>
          <w:highlight w:val="none"/>
        </w:rPr>
        <w:t>本项目标本运送工作由</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应当根据检测项目外送要求，制定详细物流规划方案</w:t>
      </w:r>
    </w:p>
    <w:p w14:paraId="431EE223">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④ </w:t>
      </w:r>
      <w:r>
        <w:rPr>
          <w:rFonts w:hint="eastAsia" w:ascii="宋体" w:hAnsi="宋体" w:eastAsia="宋体" w:cs="宋体"/>
          <w:color w:val="auto"/>
          <w:sz w:val="22"/>
          <w:szCs w:val="22"/>
          <w:highlight w:val="none"/>
        </w:rPr>
        <w:t>所有标本的运送必须符合标本温度等安全管理的要求，</w:t>
      </w:r>
      <w:r>
        <w:rPr>
          <w:rFonts w:hint="eastAsia" w:ascii="宋体" w:hAnsi="宋体" w:eastAsia="宋体" w:cs="宋体"/>
          <w:color w:val="auto"/>
          <w:sz w:val="22"/>
          <w:szCs w:val="22"/>
          <w:highlight w:val="none"/>
          <w:lang w:eastAsia="zh-CN"/>
        </w:rPr>
        <w:t>如须</w:t>
      </w:r>
      <w:r>
        <w:rPr>
          <w:rFonts w:hint="eastAsia" w:ascii="宋体" w:hAnsi="宋体" w:eastAsia="宋体" w:cs="宋体"/>
          <w:color w:val="auto"/>
          <w:sz w:val="22"/>
          <w:szCs w:val="22"/>
          <w:highlight w:val="none"/>
        </w:rPr>
        <w:t>采用相应的冷链运送技术</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乙方须</w:t>
      </w:r>
      <w:r>
        <w:rPr>
          <w:rFonts w:hint="eastAsia" w:ascii="宋体" w:hAnsi="宋体" w:eastAsia="宋体" w:cs="宋体"/>
          <w:color w:val="auto"/>
          <w:sz w:val="22"/>
          <w:szCs w:val="22"/>
          <w:highlight w:val="none"/>
        </w:rPr>
        <w:t>配备数量充足、符合相关标准的冷链物流车或转送车辆及冷链物流箱，确保标本运送的安全。特殊的标本在运送过程中应当采用干冰冻存。运输车辆拥有运输标本专业设备，可以应对突发生物安全事件的现场处置。</w:t>
      </w:r>
    </w:p>
    <w:p w14:paraId="03FA00B0">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⑤ 乙方</w:t>
      </w:r>
      <w:r>
        <w:rPr>
          <w:rFonts w:hint="eastAsia" w:ascii="宋体" w:hAnsi="宋体" w:eastAsia="宋体" w:cs="宋体"/>
          <w:color w:val="auto"/>
          <w:sz w:val="22"/>
          <w:szCs w:val="22"/>
          <w:highlight w:val="none"/>
        </w:rPr>
        <w:t>应当提供可实时监控物流各个环节的温度的系统和终端设备，能够对物流的全程进行温度监控、报警及记录，能够对整个过程进行溯源管理，并能够提交相关记录的纸质文档，以留档备查。同一合同期内无法进行运送温度溯源的情况出现达到3次时，</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有权单方面解除合同，并追究相关损失。</w:t>
      </w:r>
    </w:p>
    <w:p w14:paraId="398656DC">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⑥ 在标本的运送过程中，由于乙方运送不符合标准，</w:t>
      </w:r>
      <w:r>
        <w:rPr>
          <w:rFonts w:hint="eastAsia" w:ascii="宋体" w:hAnsi="宋体" w:eastAsia="宋体" w:cs="宋体"/>
          <w:bCs/>
          <w:color w:val="auto"/>
          <w:sz w:val="22"/>
          <w:szCs w:val="22"/>
          <w:highlight w:val="none"/>
          <w:lang w:val="en-GB"/>
        </w:rPr>
        <w:t>造成样本不符合检验要求的</w:t>
      </w:r>
      <w:r>
        <w:rPr>
          <w:rFonts w:hint="eastAsia" w:ascii="宋体" w:hAnsi="宋体" w:eastAsia="宋体" w:cs="宋体"/>
          <w:bCs/>
          <w:color w:val="auto"/>
          <w:sz w:val="22"/>
          <w:szCs w:val="22"/>
          <w:highlight w:val="none"/>
          <w:lang w:val="en-GB" w:eastAsia="zh-CN"/>
        </w:rPr>
        <w:t>，</w:t>
      </w:r>
      <w:r>
        <w:rPr>
          <w:rFonts w:hint="eastAsia" w:ascii="宋体" w:hAnsi="宋体" w:eastAsia="宋体" w:cs="宋体"/>
          <w:bCs/>
          <w:color w:val="auto"/>
          <w:sz w:val="22"/>
          <w:szCs w:val="22"/>
          <w:highlight w:val="none"/>
          <w:lang w:val="en-GB"/>
        </w:rPr>
        <w:t>由</w:t>
      </w:r>
      <w:r>
        <w:rPr>
          <w:rFonts w:hint="eastAsia" w:ascii="宋体" w:hAnsi="宋体" w:eastAsia="宋体" w:cs="宋体"/>
          <w:bCs/>
          <w:color w:val="auto"/>
          <w:sz w:val="22"/>
          <w:szCs w:val="22"/>
          <w:highlight w:val="none"/>
          <w:lang w:val="en-GB" w:eastAsia="zh-CN"/>
        </w:rPr>
        <w:t>乙</w:t>
      </w:r>
      <w:r>
        <w:rPr>
          <w:rFonts w:hint="eastAsia" w:ascii="宋体" w:hAnsi="宋体" w:eastAsia="宋体" w:cs="宋体"/>
          <w:bCs/>
          <w:color w:val="auto"/>
          <w:sz w:val="22"/>
          <w:szCs w:val="22"/>
          <w:highlight w:val="none"/>
          <w:lang w:val="en-GB"/>
        </w:rPr>
        <w:t>方承担后果</w:t>
      </w:r>
      <w:r>
        <w:rPr>
          <w:rFonts w:hint="eastAsia" w:ascii="宋体" w:hAnsi="宋体" w:eastAsia="宋体" w:cs="宋体"/>
          <w:bCs/>
          <w:color w:val="auto"/>
          <w:sz w:val="22"/>
          <w:szCs w:val="22"/>
          <w:highlight w:val="none"/>
          <w:lang w:val="en-GB" w:eastAsia="zh-CN"/>
        </w:rPr>
        <w:t>。</w:t>
      </w:r>
    </w:p>
    <w:p w14:paraId="4F556699">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 w:val="0"/>
          <w:bCs w:val="0"/>
          <w:color w:val="auto"/>
          <w:spacing w:val="-1"/>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pacing w:val="-1"/>
          <w:sz w:val="22"/>
          <w:szCs w:val="22"/>
          <w:highlight w:val="none"/>
        </w:rPr>
        <w:t>标本的检验检测</w:t>
      </w:r>
    </w:p>
    <w:p w14:paraId="4F501CF5">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color w:val="auto"/>
          <w:sz w:val="22"/>
          <w:szCs w:val="22"/>
          <w:highlight w:val="none"/>
          <w:lang w:val="en-US" w:eastAsia="zh-CN"/>
        </w:rPr>
        <w:t>①</w:t>
      </w:r>
      <w:r>
        <w:rPr>
          <w:rFonts w:hint="eastAsia" w:ascii="宋体" w:hAnsi="宋体" w:eastAsia="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rPr>
        <w:t>应当遵照</w:t>
      </w:r>
      <w:r>
        <w:rPr>
          <w:rFonts w:hint="eastAsia" w:ascii="宋体" w:hAnsi="宋体" w:eastAsia="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rPr>
        <w:t>要求，采用符合国家和行业标准的仪器设备、试剂耗材，严格按照医学标本检验检测的规范、检验方法完成医学标本的检验检测工作。</w:t>
      </w:r>
    </w:p>
    <w:p w14:paraId="404D34A7">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color w:val="auto"/>
          <w:sz w:val="22"/>
          <w:szCs w:val="22"/>
          <w:highlight w:val="none"/>
          <w:lang w:val="en-US" w:eastAsia="zh-CN"/>
        </w:rPr>
        <w:t>②</w:t>
      </w:r>
      <w:r>
        <w:rPr>
          <w:rFonts w:hint="eastAsia" w:ascii="宋体" w:hAnsi="宋体" w:eastAsia="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rPr>
        <w:t>应当按</w:t>
      </w:r>
      <w:r>
        <w:rPr>
          <w:rFonts w:hint="eastAsia" w:ascii="宋体" w:hAnsi="宋体" w:eastAsia="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rPr>
        <w:t>要求，按时保质完成检验检测工作。报告单可在网上查询，并及时送达</w:t>
      </w:r>
      <w:r>
        <w:rPr>
          <w:rFonts w:hint="eastAsia" w:ascii="宋体" w:hAnsi="宋体" w:eastAsia="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rPr>
        <w:t>。特殊标本可适当延长报告时间。</w:t>
      </w:r>
    </w:p>
    <w:p w14:paraId="419FBEFC">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w:t>
      </w:r>
      <w:r>
        <w:rPr>
          <w:rFonts w:hint="eastAsia" w:ascii="宋体" w:hAnsi="宋体" w:eastAsia="宋体" w:cs="宋体"/>
          <w:b w:val="0"/>
          <w:bCs w:val="0"/>
          <w:color w:val="auto"/>
          <w:sz w:val="22"/>
          <w:szCs w:val="22"/>
          <w:highlight w:val="none"/>
          <w:lang w:val="en-US" w:eastAsia="zh-CN"/>
        </w:rPr>
        <w:t>乙方的检验检测报告系统应当与甲方的医院LIS网络系统完成对接，检验检测报告应当及时、完整传回甲方医院LIS网络系统，相关软硬件及网络接口费用由乙方自行承担。</w:t>
      </w:r>
    </w:p>
    <w:p w14:paraId="637C9F1E">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bCs/>
          <w:color w:val="auto"/>
          <w:sz w:val="22"/>
          <w:szCs w:val="22"/>
          <w:highlight w:val="none"/>
          <w:lang w:val="en-GB"/>
        </w:rPr>
        <w:t>（</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en-GB"/>
        </w:rPr>
        <w:t>）样本的保存：</w:t>
      </w:r>
    </w:p>
    <w:p w14:paraId="4CE8CB06">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color w:val="auto"/>
          <w:sz w:val="22"/>
          <w:szCs w:val="22"/>
          <w:highlight w:val="none"/>
          <w:lang w:val="en-GB" w:eastAsia="zh-CN"/>
        </w:rPr>
        <w:t>①</w:t>
      </w:r>
      <w:r>
        <w:rPr>
          <w:rFonts w:hint="eastAsia" w:ascii="宋体" w:hAnsi="宋体" w:eastAsia="宋体" w:cs="宋体"/>
          <w:bCs/>
          <w:color w:val="auto"/>
          <w:sz w:val="22"/>
          <w:szCs w:val="22"/>
          <w:highlight w:val="none"/>
        </w:rPr>
        <w:t>乙方应当按照国家及行业标准对样本进行保存，检验类原始标本保存不少于7天。</w:t>
      </w:r>
    </w:p>
    <w:p w14:paraId="76B1D554">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GB" w:eastAsia="zh-CN"/>
        </w:rPr>
        <w:t>②</w:t>
      </w:r>
      <w:r>
        <w:rPr>
          <w:rFonts w:hint="eastAsia" w:ascii="宋体" w:hAnsi="宋体" w:eastAsia="宋体" w:cs="宋体"/>
          <w:color w:val="auto"/>
          <w:sz w:val="22"/>
          <w:szCs w:val="22"/>
          <w:highlight w:val="none"/>
          <w:lang w:val="en-US" w:eastAsia="zh-CN"/>
        </w:rPr>
        <w:t>检验类原始标本保存不少于7天，由于样本本身特性达不到保存期限或保存无意义的，由甲乙双方协商处理。</w:t>
      </w:r>
    </w:p>
    <w:p w14:paraId="69285B9A">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3、其他要求</w:t>
      </w:r>
    </w:p>
    <w:p w14:paraId="4543C797">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（1）乙方</w:t>
      </w:r>
      <w:r>
        <w:rPr>
          <w:rFonts w:hint="eastAsia" w:ascii="宋体" w:hAnsi="宋体" w:eastAsia="宋体" w:cs="宋体"/>
          <w:color w:val="auto"/>
          <w:sz w:val="22"/>
          <w:szCs w:val="22"/>
          <w:highlight w:val="none"/>
        </w:rPr>
        <w:t>应当按照检验质控要求，定期向</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提供所有外送项目的室内质控、室间质控报告、检验仪器设备性能验证报告。</w:t>
      </w:r>
    </w:p>
    <w:p w14:paraId="3A54C472">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如</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对检验结果有异议，可在样本保存有效期内提出，</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应无条件免费重新检测</w:t>
      </w:r>
      <w:r>
        <w:rPr>
          <w:rFonts w:hint="eastAsia" w:ascii="宋体" w:hAnsi="宋体" w:eastAsia="宋体" w:cs="宋体"/>
          <w:color w:val="auto"/>
          <w:sz w:val="22"/>
          <w:szCs w:val="22"/>
          <w:highlight w:val="none"/>
          <w:lang w:eastAsia="zh-CN"/>
        </w:rPr>
        <w:t>。</w:t>
      </w:r>
    </w:p>
    <w:p w14:paraId="0A2C8981">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对体检等有大批量检验需求的情况，</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将提前通知</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应及时做好准备工作，并在</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规定时间内完成检验工作。</w:t>
      </w:r>
    </w:p>
    <w:p w14:paraId="1D17B7FB">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（4）乙方</w:t>
      </w:r>
      <w:r>
        <w:rPr>
          <w:rFonts w:hint="eastAsia" w:ascii="宋体" w:hAnsi="宋体" w:eastAsia="宋体" w:cs="宋体"/>
          <w:color w:val="auto"/>
          <w:sz w:val="22"/>
          <w:szCs w:val="22"/>
          <w:highlight w:val="none"/>
        </w:rPr>
        <w:t>的报告时间延迟半天扣</w:t>
      </w:r>
      <w:r>
        <w:rPr>
          <w:rFonts w:hint="eastAsia" w:ascii="宋体" w:hAnsi="宋体" w:eastAsia="宋体" w:cs="宋体"/>
          <w:color w:val="auto"/>
          <w:sz w:val="22"/>
          <w:szCs w:val="22"/>
          <w:highlight w:val="none"/>
          <w:lang w:val="en-US" w:eastAsia="zh-CN"/>
        </w:rPr>
        <w:t>该批次的</w:t>
      </w:r>
      <w:r>
        <w:rPr>
          <w:rFonts w:hint="eastAsia" w:ascii="宋体" w:hAnsi="宋体" w:eastAsia="宋体" w:cs="宋体"/>
          <w:color w:val="auto"/>
          <w:sz w:val="22"/>
          <w:szCs w:val="22"/>
          <w:highlight w:val="none"/>
        </w:rPr>
        <w:t>检测费的50%，延迟一天该批次检测费</w:t>
      </w:r>
      <w:r>
        <w:rPr>
          <w:rFonts w:hint="eastAsia" w:ascii="宋体" w:hAnsi="宋体" w:eastAsia="宋体" w:cs="宋体"/>
          <w:color w:val="auto"/>
          <w:sz w:val="22"/>
          <w:szCs w:val="22"/>
          <w:highlight w:val="none"/>
          <w:lang w:val="en-US" w:eastAsia="zh-CN"/>
        </w:rPr>
        <w:t>全部扣除</w:t>
      </w:r>
      <w:r>
        <w:rPr>
          <w:rFonts w:hint="eastAsia" w:ascii="宋体" w:hAnsi="宋体" w:eastAsia="宋体" w:cs="宋体"/>
          <w:color w:val="auto"/>
          <w:sz w:val="22"/>
          <w:szCs w:val="22"/>
          <w:highlight w:val="none"/>
        </w:rPr>
        <w:t>，如造成投诉纠纷</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需承担相应责任。同一合同期内延迟报告出现达到5次时，</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有权提前解除合同。</w:t>
      </w:r>
    </w:p>
    <w:p w14:paraId="6A597229">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检验检测的准确性：对结果明显有差异的，</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应无条件免费复查。</w:t>
      </w:r>
    </w:p>
    <w:p w14:paraId="6A6B4663">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6）乙方</w:t>
      </w:r>
      <w:r>
        <w:rPr>
          <w:rFonts w:hint="eastAsia" w:ascii="宋体" w:hAnsi="宋体" w:eastAsia="宋体" w:cs="宋体"/>
          <w:color w:val="auto"/>
          <w:sz w:val="22"/>
          <w:szCs w:val="22"/>
          <w:highlight w:val="none"/>
        </w:rPr>
        <w:t>要做好与</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相关科室的信息双向对接，同时负责提供相应软硬件服务，按相关科室意见加以改进，并需在合同规定期限内完成安装、调试。</w:t>
      </w:r>
    </w:p>
    <w:p w14:paraId="423C273E">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7）乙方</w:t>
      </w:r>
      <w:r>
        <w:rPr>
          <w:rFonts w:hint="eastAsia" w:ascii="宋体" w:hAnsi="宋体" w:eastAsia="宋体" w:cs="宋体"/>
          <w:color w:val="auto"/>
          <w:sz w:val="22"/>
          <w:szCs w:val="22"/>
          <w:highlight w:val="none"/>
        </w:rPr>
        <w:t>应根据</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的要求，为</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提供分析前样本的质量控制等相关内容的培训服务，按照</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的要求维护所有必需的质量控制项目，每季度提交质量控制数据记录。</w:t>
      </w:r>
    </w:p>
    <w:p w14:paraId="682C806B">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合同签订后</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有新增检测项目的，</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应同意并按已签订合同的折扣率执行，特殊项目可经友好协商决定。</w:t>
      </w:r>
    </w:p>
    <w:p w14:paraId="498E5653">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合同期内，</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有能力自行开展的检测项目，</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可自行开展，不再委托</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进行检验。</w:t>
      </w:r>
    </w:p>
    <w:p w14:paraId="4938A561">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10）第三方独立实验室自主定价检测项目需提交自主定价说明上报甲方备案，临床如有需求双方协商后处理。</w:t>
      </w:r>
    </w:p>
    <w:p w14:paraId="33D3BA94">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（11）甲方</w:t>
      </w:r>
      <w:r>
        <w:rPr>
          <w:rFonts w:hint="eastAsia" w:ascii="宋体" w:hAnsi="宋体" w:eastAsia="宋体" w:cs="宋体"/>
          <w:color w:val="auto"/>
          <w:sz w:val="22"/>
          <w:szCs w:val="22"/>
          <w:highlight w:val="none"/>
        </w:rPr>
        <w:t>将不定期组织专家至</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现场检查、督导并查看试剂、设备等</w:t>
      </w:r>
      <w:r>
        <w:rPr>
          <w:rFonts w:hint="eastAsia" w:ascii="宋体" w:hAnsi="宋体" w:eastAsia="宋体" w:cs="宋体"/>
          <w:color w:val="auto"/>
          <w:sz w:val="22"/>
          <w:szCs w:val="22"/>
          <w:highlight w:val="none"/>
        </w:rPr>
        <mc:AlternateContent>
          <mc:Choice Requires="wps">
            <w:drawing>
              <wp:anchor distT="0" distB="0" distL="114300" distR="114300" simplePos="0" relativeHeight="251662336" behindDoc="0" locked="0" layoutInCell="0" allowOverlap="1">
                <wp:simplePos x="0" y="0"/>
                <wp:positionH relativeFrom="page">
                  <wp:posOffset>3632835</wp:posOffset>
                </wp:positionH>
                <wp:positionV relativeFrom="page">
                  <wp:posOffset>10100945</wp:posOffset>
                </wp:positionV>
                <wp:extent cx="481965" cy="1365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1965" cy="136525"/>
                        </a:xfrm>
                        <a:prstGeom prst="rect">
                          <a:avLst/>
                        </a:prstGeom>
                        <a:noFill/>
                        <a:ln>
                          <a:noFill/>
                        </a:ln>
                        <a:effectLst/>
                      </wps:spPr>
                      <wps:txbx>
                        <w:txbxContent>
                          <w:p w14:paraId="1C5881C2">
                            <w:pPr>
                              <w:spacing w:before="20" w:line="174" w:lineRule="exact"/>
                              <w:ind w:left="20"/>
                              <w:rPr>
                                <w:rFonts w:ascii="微软雅黑" w:hAnsi="微软雅黑" w:eastAsia="微软雅黑" w:cs="微软雅黑"/>
                                <w:sz w:val="24"/>
                              </w:rPr>
                            </w:pPr>
                            <w:r>
                              <w:rPr>
                                <w:rFonts w:ascii="微软雅黑" w:hAnsi="微软雅黑" w:eastAsia="微软雅黑" w:cs="微软雅黑"/>
                                <w:b/>
                                <w:bCs/>
                                <w:spacing w:val="8"/>
                                <w:position w:val="-2"/>
                                <w:sz w:val="24"/>
                              </w:rPr>
                              <w:t>-</w:t>
                            </w:r>
                            <w:r>
                              <w:rPr>
                                <w:rFonts w:ascii="微软雅黑" w:hAnsi="微软雅黑" w:eastAsia="微软雅黑" w:cs="微软雅黑"/>
                                <w:b/>
                                <w:bCs/>
                                <w:spacing w:val="10"/>
                                <w:position w:val="-2"/>
                                <w:sz w:val="24"/>
                              </w:rPr>
                              <w:t xml:space="preserve">      </w:t>
                            </w:r>
                            <w:r>
                              <w:rPr>
                                <w:rFonts w:ascii="微软雅黑" w:hAnsi="微软雅黑" w:eastAsia="微软雅黑" w:cs="微软雅黑"/>
                                <w:b/>
                                <w:bCs/>
                                <w:spacing w:val="8"/>
                                <w:position w:val="-2"/>
                                <w:sz w:val="24"/>
                              </w:rPr>
                              <w:t>-</w:t>
                            </w:r>
                          </w:p>
                        </w:txbxContent>
                      </wps:txbx>
                      <wps:bodyPr lIns="0" tIns="0" rIns="0" bIns="0" upright="1"/>
                    </wps:wsp>
                  </a:graphicData>
                </a:graphic>
              </wp:anchor>
            </w:drawing>
          </mc:Choice>
          <mc:Fallback>
            <w:pict>
              <v:shape id="_x0000_s1026" o:spid="_x0000_s1026" o:spt="202" type="#_x0000_t202" style="position:absolute;left:0pt;margin-left:286.05pt;margin-top:795.35pt;height:10.75pt;width:37.95pt;mso-position-horizontal-relative:page;mso-position-vertical-relative:page;z-index:251662336;mso-width-relative:page;mso-height-relative:page;" filled="f" stroked="f" coordsize="21600,21600" o:allowincell="f" o:gfxdata="UEsDBAoAAAAAAIdO4kAAAAAAAAAAAAAAAAAEAAAAZHJzL1BLAwQUAAAACACHTuJAxArkvdsAAAAN&#10;AQAADwAAAGRycy9kb3ducmV2LnhtbE2PzU7DMBCE70i8g7VI3KidiKZtiFMhBCckRBoOHJ14m0SN&#10;1yF2f3h7lhMcd+bT7EyxvbhRnHAOgycNyUKBQGq9HajT8FG/3K1BhGjImtETavjGANvy+qowufVn&#10;qvC0i53gEAq50dDHOOVShrZHZ8LCT0js7f3sTORz7qSdzZnD3ShTpTLpzED8oTcTPvXYHnZHp+Hx&#10;k6rn4eutea/21VDXG0Wv2UHr25tEPYCIeIl/MPzW5+pQcqfGH8kGMWpYrtKEUTaWG7UCwUh2v+Z5&#10;DUtZkqYgy0L+X1H+AFBLAwQUAAAACACHTuJAFu6EIr8BAAB/AwAADgAAAGRycy9lMm9Eb2MueG1s&#10;rVNLbtswEN0X6B0I7mv5UxuJYDlAYaQoELQFkhyApkiLAH8Y0pZ8gfQGXXXTfc/lc3RISW6abrLo&#10;hhrODN/MezNa33RGk6OAoJyt6GwypURY7mpl9xV9fLh9d0VJiMzWTDsrKnoSgd5s3r5Zt74Uc9c4&#10;XQsgCGJD2fqKNjH6sigCb4RhYeK8sBiUDgyLeIV9UQNrEd3oYj6drorWQe3BcRECerd9kA6I8BpA&#10;J6XiYuv4wQgbe1QQmkWkFBrlA93kbqUUPH6RMohIdEWRacwnFkF7l85is2blHphvFB9aYK9p4QUn&#10;w5TFoheoLYuMHED9A2UUBxecjBPuTNETyYogi9n0hTb3DfMic0Gpg7+IHv4fLP98/ApE1RVdUGKZ&#10;wYGfv387//h1/vlEFkme1ocSs+495sXug+twaUZ/QGdi3Ukw6Yt8CMZR3NNFXNFFwtH5/mp2vVpS&#10;wjE0W6yW82VCKf489hDiR+EMSUZFAWeXJWXHuxD71DEl1bLuVmmd56ftXw7E7D0iL8DwOvHo+01W&#10;7HbdQG7n6hNy058s6pp2ZDRgNHajcfCg9g02lxUoEhDOJbMYdigN/vkd7ef/z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ArkvdsAAAANAQAADwAAAAAAAAABACAAAAAiAAAAZHJzL2Rvd25yZXYu&#10;eG1sUEsBAhQAFAAAAAgAh07iQBbuhCK/AQAAfwMAAA4AAAAAAAAAAQAgAAAAKgEAAGRycy9lMm9E&#10;b2MueG1sUEsFBgAAAAAGAAYAWQEAAFsFAAAAAA==&#10;">
                <v:fill on="f" focussize="0,0"/>
                <v:stroke on="f"/>
                <v:imagedata o:title=""/>
                <o:lock v:ext="edit" aspectratio="f"/>
                <v:textbox inset="0mm,0mm,0mm,0mm">
                  <w:txbxContent>
                    <w:p w14:paraId="1C5881C2">
                      <w:pPr>
                        <w:spacing w:before="20" w:line="174" w:lineRule="exact"/>
                        <w:ind w:left="20"/>
                        <w:rPr>
                          <w:rFonts w:ascii="微软雅黑" w:hAnsi="微软雅黑" w:eastAsia="微软雅黑" w:cs="微软雅黑"/>
                          <w:sz w:val="24"/>
                        </w:rPr>
                      </w:pPr>
                      <w:r>
                        <w:rPr>
                          <w:rFonts w:ascii="微软雅黑" w:hAnsi="微软雅黑" w:eastAsia="微软雅黑" w:cs="微软雅黑"/>
                          <w:b/>
                          <w:bCs/>
                          <w:spacing w:val="8"/>
                          <w:position w:val="-2"/>
                          <w:sz w:val="24"/>
                        </w:rPr>
                        <w:t>-</w:t>
                      </w:r>
                      <w:r>
                        <w:rPr>
                          <w:rFonts w:ascii="微软雅黑" w:hAnsi="微软雅黑" w:eastAsia="微软雅黑" w:cs="微软雅黑"/>
                          <w:b/>
                          <w:bCs/>
                          <w:spacing w:val="10"/>
                          <w:position w:val="-2"/>
                          <w:sz w:val="24"/>
                        </w:rPr>
                        <w:t xml:space="preserve">      </w:t>
                      </w:r>
                      <w:r>
                        <w:rPr>
                          <w:rFonts w:ascii="微软雅黑" w:hAnsi="微软雅黑" w:eastAsia="微软雅黑" w:cs="微软雅黑"/>
                          <w:b/>
                          <w:bCs/>
                          <w:spacing w:val="8"/>
                          <w:position w:val="-2"/>
                          <w:sz w:val="24"/>
                        </w:rPr>
                        <w:t>-</w:t>
                      </w:r>
                    </w:p>
                  </w:txbxContent>
                </v:textbox>
              </v:shape>
            </w:pict>
          </mc:Fallback>
        </mc:AlternateContent>
      </w:r>
      <w:r>
        <w:rPr>
          <w:rFonts w:hint="eastAsia" w:ascii="宋体" w:hAnsi="宋体" w:eastAsia="宋体" w:cs="宋体"/>
          <w:color w:val="auto"/>
          <w:sz w:val="22"/>
          <w:szCs w:val="22"/>
          <w:highlight w:val="none"/>
        </w:rPr>
        <w:t>采购相关台账，如发现</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存在提供虚假信息或未经</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同意私自更改使用试剂的品牌和检验项目的方法学等现象，</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有权立即终止合同，</w:t>
      </w:r>
      <w:r>
        <w:rPr>
          <w:rFonts w:hint="eastAsia" w:ascii="宋体" w:hAnsi="宋体" w:eastAsia="宋体" w:cs="宋体"/>
          <w:color w:val="auto"/>
          <w:sz w:val="22"/>
          <w:szCs w:val="22"/>
          <w:highlight w:val="none"/>
          <w:lang w:val="en-US" w:eastAsia="zh-CN"/>
        </w:rPr>
        <w:t>乙方除须返还</w:t>
      </w:r>
      <w:r>
        <w:rPr>
          <w:rFonts w:hint="eastAsia" w:ascii="宋体" w:hAnsi="宋体" w:eastAsia="宋体" w:cs="宋体"/>
          <w:color w:val="auto"/>
          <w:sz w:val="22"/>
          <w:szCs w:val="22"/>
          <w:highlight w:val="none"/>
        </w:rPr>
        <w:t>已做项目的金额</w:t>
      </w:r>
      <w:r>
        <w:rPr>
          <w:rFonts w:hint="eastAsia" w:ascii="宋体" w:hAnsi="宋体" w:eastAsia="宋体" w:cs="宋体"/>
          <w:color w:val="auto"/>
          <w:sz w:val="22"/>
          <w:szCs w:val="22"/>
          <w:highlight w:val="none"/>
          <w:lang w:eastAsia="zh-CN"/>
        </w:rPr>
        <w:t>外，还须按照该金额向</w:t>
      </w:r>
      <w:r>
        <w:rPr>
          <w:rFonts w:hint="eastAsia" w:ascii="宋体" w:hAnsi="宋体" w:eastAsia="宋体" w:cs="宋体"/>
          <w:color w:val="auto"/>
          <w:sz w:val="22"/>
          <w:szCs w:val="22"/>
          <w:highlight w:val="none"/>
          <w:lang w:val="en-US" w:eastAsia="zh-CN"/>
        </w:rPr>
        <w:t>甲方支付违约金</w:t>
      </w:r>
      <w:r>
        <w:rPr>
          <w:rFonts w:hint="eastAsia" w:ascii="宋体" w:hAnsi="宋体" w:eastAsia="宋体" w:cs="宋体"/>
          <w:color w:val="auto"/>
          <w:sz w:val="22"/>
          <w:szCs w:val="22"/>
          <w:highlight w:val="none"/>
        </w:rPr>
        <w:t>，并承担所有相关违约责任。</w:t>
      </w:r>
    </w:p>
    <w:p w14:paraId="657B484C">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12）乙方</w:t>
      </w:r>
      <w:r>
        <w:rPr>
          <w:rFonts w:hint="eastAsia" w:ascii="宋体" w:hAnsi="宋体" w:eastAsia="宋体" w:cs="宋体"/>
          <w:color w:val="auto"/>
          <w:sz w:val="22"/>
          <w:szCs w:val="22"/>
          <w:highlight w:val="none"/>
        </w:rPr>
        <w:t>应每年提供技术培训活动不少于2次</w:t>
      </w:r>
      <w:r>
        <w:rPr>
          <w:rFonts w:hint="eastAsia" w:ascii="宋体" w:hAnsi="宋体" w:eastAsia="宋体" w:cs="宋体"/>
          <w:color w:val="auto"/>
          <w:sz w:val="22"/>
          <w:szCs w:val="22"/>
          <w:highlight w:val="none"/>
          <w:lang w:eastAsia="zh-CN"/>
        </w:rPr>
        <w:t>。</w:t>
      </w:r>
    </w:p>
    <w:p w14:paraId="18BA8BF6">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en-GB"/>
        </w:rPr>
        <w:t>、检验报告</w:t>
      </w:r>
    </w:p>
    <w:p w14:paraId="37C05262">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lang w:val="en-GB"/>
        </w:rPr>
        <w:t>（1）检验报告的交付时间：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val="en-US" w:eastAsia="zh-CN"/>
        </w:rPr>
        <w:t>收样后三个工作日内</w:t>
      </w:r>
      <w:r>
        <w:rPr>
          <w:rFonts w:hint="eastAsia" w:ascii="宋体" w:hAnsi="宋体" w:eastAsia="宋体" w:cs="宋体"/>
          <w:bCs/>
          <w:color w:val="auto"/>
          <w:sz w:val="22"/>
          <w:szCs w:val="22"/>
          <w:highlight w:val="none"/>
          <w:u w:val="single"/>
        </w:rPr>
        <w:t xml:space="preserve">      </w:t>
      </w:r>
    </w:p>
    <w:p w14:paraId="2BFF2B95">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bCs/>
          <w:color w:val="auto"/>
          <w:sz w:val="22"/>
          <w:szCs w:val="22"/>
          <w:highlight w:val="none"/>
          <w:lang w:val="en-GB"/>
        </w:rPr>
        <w:t>（2）如乙方未能在前款约定的时间交付报告的，应以书面或电话的形式及时通知甲方。</w:t>
      </w:r>
    </w:p>
    <w:p w14:paraId="3759ACE0">
      <w:pPr>
        <w:pStyle w:val="22"/>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hint="eastAsia" w:ascii="宋体" w:hAnsi="宋体" w:eastAsia="宋体" w:cs="宋体"/>
          <w:bCs/>
          <w:color w:val="auto"/>
          <w:sz w:val="22"/>
          <w:szCs w:val="22"/>
          <w:highlight w:val="none"/>
          <w:lang w:val="en-GB"/>
        </w:rPr>
      </w:pPr>
      <w:r>
        <w:rPr>
          <w:rFonts w:hint="eastAsia" w:ascii="宋体" w:hAnsi="宋体" w:eastAsia="宋体" w:cs="宋体"/>
          <w:bCs/>
          <w:color w:val="auto"/>
          <w:sz w:val="22"/>
          <w:szCs w:val="22"/>
          <w:highlight w:val="none"/>
          <w:lang w:val="en-GB"/>
        </w:rPr>
        <w:t>（3）如甲方对乙方出具的检验结果有异议的，应在本协议规定的样本保存期内提出。如在样本保存期内没有提出异议，视同甲方接受检验结果。</w:t>
      </w:r>
    </w:p>
    <w:p w14:paraId="108A203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（4）危急值报告：若出现危急值，乙方应当立即通过电话等方式第一时间告知甲方。</w:t>
      </w:r>
    </w:p>
    <w:p w14:paraId="48E6A05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服务期：</w:t>
      </w:r>
      <w:r>
        <w:rPr>
          <w:rFonts w:hint="eastAsia" w:ascii="宋体" w:hAnsi="宋体" w:eastAsia="宋体" w:cs="宋体"/>
          <w:b w:val="0"/>
          <w:bCs/>
          <w:color w:val="auto"/>
          <w:sz w:val="22"/>
          <w:szCs w:val="22"/>
          <w:highlight w:val="none"/>
        </w:rPr>
        <w:t>从合同签订之日起</w:t>
      </w:r>
      <w:r>
        <w:rPr>
          <w:rFonts w:hint="eastAsia" w:ascii="宋体" w:hAnsi="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年或达到检测预算金额</w:t>
      </w:r>
      <w:r>
        <w:rPr>
          <w:rFonts w:hint="eastAsia" w:ascii="宋体" w:hAnsi="宋体" w:eastAsia="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300</w:t>
      </w:r>
      <w:r>
        <w:rPr>
          <w:rFonts w:hint="eastAsia" w:ascii="宋体" w:hAnsi="宋体" w:eastAsia="宋体" w:cs="宋体"/>
          <w:b w:val="0"/>
          <w:bCs/>
          <w:color w:val="auto"/>
          <w:sz w:val="22"/>
          <w:szCs w:val="22"/>
          <w:highlight w:val="none"/>
          <w:lang w:val="en-US" w:eastAsia="zh-CN"/>
        </w:rPr>
        <w:t>万元</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的，任一条件达到即视为合作期结束。合作期内如遇政策性原因或其他</w:t>
      </w:r>
      <w:r>
        <w:rPr>
          <w:rFonts w:hint="eastAsia" w:ascii="宋体" w:hAnsi="宋体" w:eastAsia="宋体" w:cs="宋体"/>
          <w:b w:val="0"/>
          <w:bCs/>
          <w:color w:val="auto"/>
          <w:sz w:val="22"/>
          <w:szCs w:val="22"/>
          <w:highlight w:val="none"/>
          <w:lang w:val="en-US" w:eastAsia="zh-CN"/>
        </w:rPr>
        <w:t>不可抗力</w:t>
      </w:r>
      <w:r>
        <w:rPr>
          <w:rFonts w:hint="eastAsia" w:ascii="宋体" w:hAnsi="宋体" w:eastAsia="宋体" w:cs="宋体"/>
          <w:b w:val="0"/>
          <w:bCs/>
          <w:color w:val="auto"/>
          <w:sz w:val="22"/>
          <w:szCs w:val="22"/>
          <w:highlight w:val="none"/>
        </w:rPr>
        <w:t>因素导致合同无法履行，则合同自行终止。</w:t>
      </w:r>
    </w:p>
    <w:p w14:paraId="67D51885">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四、合同价格</w:t>
      </w:r>
    </w:p>
    <w:tbl>
      <w:tblPr>
        <w:tblStyle w:val="5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93"/>
        <w:gridCol w:w="1682"/>
        <w:gridCol w:w="2132"/>
        <w:gridCol w:w="2443"/>
      </w:tblGrid>
      <w:tr w14:paraId="1AB3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14:paraId="46EB2E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rPr>
            </w:pPr>
            <w:bookmarkStart w:id="26" w:name="OLE_LINK2"/>
            <w:r>
              <w:rPr>
                <w:rFonts w:hint="eastAsia" w:ascii="宋体" w:hAnsi="宋体" w:eastAsia="宋体" w:cs="宋体"/>
                <w:color w:val="auto"/>
                <w:sz w:val="22"/>
                <w:szCs w:val="22"/>
                <w:highlight w:val="none"/>
              </w:rPr>
              <w:t>序号</w:t>
            </w:r>
          </w:p>
        </w:tc>
        <w:tc>
          <w:tcPr>
            <w:tcW w:w="1993" w:type="dxa"/>
            <w:noWrap w:val="0"/>
            <w:vAlign w:val="center"/>
          </w:tcPr>
          <w:p w14:paraId="2A2001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收费名称</w:t>
            </w:r>
          </w:p>
        </w:tc>
        <w:tc>
          <w:tcPr>
            <w:tcW w:w="1682" w:type="dxa"/>
            <w:noWrap w:val="0"/>
            <w:vAlign w:val="center"/>
          </w:tcPr>
          <w:p w14:paraId="0C2075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收费</w:t>
            </w:r>
            <w:r>
              <w:rPr>
                <w:rFonts w:hint="eastAsia" w:ascii="宋体" w:hAnsi="宋体" w:eastAsia="宋体" w:cs="宋体"/>
                <w:color w:val="auto"/>
                <w:sz w:val="22"/>
                <w:szCs w:val="22"/>
                <w:highlight w:val="none"/>
                <w:lang w:val="en-US" w:eastAsia="zh-CN"/>
              </w:rPr>
              <w:t>标准</w:t>
            </w:r>
            <w:r>
              <w:rPr>
                <w:rFonts w:hint="eastAsia" w:ascii="宋体" w:hAnsi="宋体" w:eastAsia="宋体" w:cs="宋体"/>
                <w:color w:val="auto"/>
                <w:sz w:val="22"/>
                <w:szCs w:val="22"/>
                <w:highlight w:val="none"/>
              </w:rPr>
              <w:t>（元）</w:t>
            </w:r>
          </w:p>
        </w:tc>
        <w:tc>
          <w:tcPr>
            <w:tcW w:w="2132" w:type="dxa"/>
            <w:noWrap w:val="0"/>
            <w:vAlign w:val="center"/>
          </w:tcPr>
          <w:p w14:paraId="1D9223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结算</w:t>
            </w:r>
            <w:r>
              <w:rPr>
                <w:rFonts w:hint="eastAsia" w:ascii="宋体" w:hAnsi="宋体" w:eastAsia="宋体" w:cs="宋体"/>
                <w:color w:val="auto"/>
                <w:sz w:val="22"/>
                <w:szCs w:val="22"/>
                <w:highlight w:val="none"/>
              </w:rPr>
              <w:t>单价（元）</w:t>
            </w:r>
          </w:p>
        </w:tc>
        <w:tc>
          <w:tcPr>
            <w:tcW w:w="2443" w:type="dxa"/>
            <w:noWrap w:val="0"/>
            <w:vAlign w:val="center"/>
          </w:tcPr>
          <w:p w14:paraId="6E81C0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折扣率（%）</w:t>
            </w:r>
          </w:p>
        </w:tc>
      </w:tr>
      <w:tr w14:paraId="68B6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7" w:type="dxa"/>
            <w:noWrap w:val="0"/>
            <w:vAlign w:val="center"/>
          </w:tcPr>
          <w:p w14:paraId="53F1C51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993" w:type="dxa"/>
            <w:noWrap w:val="0"/>
            <w:vAlign w:val="center"/>
          </w:tcPr>
          <w:p w14:paraId="170BD56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lang w:val="en-US" w:eastAsia="zh-CN"/>
              </w:rPr>
            </w:pPr>
          </w:p>
        </w:tc>
        <w:tc>
          <w:tcPr>
            <w:tcW w:w="1682" w:type="dxa"/>
            <w:noWrap w:val="0"/>
            <w:vAlign w:val="center"/>
          </w:tcPr>
          <w:p w14:paraId="2C98D4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lang w:val="en-US" w:eastAsia="zh-CN"/>
              </w:rPr>
            </w:pPr>
          </w:p>
        </w:tc>
        <w:tc>
          <w:tcPr>
            <w:tcW w:w="2132" w:type="dxa"/>
            <w:noWrap w:val="0"/>
            <w:vAlign w:val="center"/>
          </w:tcPr>
          <w:p w14:paraId="0C699A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lang w:val="en-US" w:eastAsia="zh-CN"/>
              </w:rPr>
            </w:pPr>
          </w:p>
        </w:tc>
        <w:tc>
          <w:tcPr>
            <w:tcW w:w="2443" w:type="dxa"/>
            <w:noWrap w:val="0"/>
            <w:vAlign w:val="center"/>
          </w:tcPr>
          <w:p w14:paraId="1ECD1F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lang w:val="en-US" w:eastAsia="zh-CN"/>
              </w:rPr>
            </w:pPr>
          </w:p>
        </w:tc>
      </w:tr>
      <w:tr w14:paraId="2F61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7" w:type="dxa"/>
            <w:noWrap w:val="0"/>
            <w:vAlign w:val="center"/>
          </w:tcPr>
          <w:p w14:paraId="5B58C1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1993" w:type="dxa"/>
            <w:noWrap w:val="0"/>
            <w:vAlign w:val="center"/>
          </w:tcPr>
          <w:p w14:paraId="640742E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lang w:val="en-US" w:eastAsia="zh-CN"/>
              </w:rPr>
            </w:pPr>
          </w:p>
        </w:tc>
        <w:tc>
          <w:tcPr>
            <w:tcW w:w="1682" w:type="dxa"/>
            <w:noWrap w:val="0"/>
            <w:vAlign w:val="center"/>
          </w:tcPr>
          <w:p w14:paraId="71D0851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lang w:val="en-US" w:eastAsia="zh-CN"/>
              </w:rPr>
            </w:pPr>
          </w:p>
        </w:tc>
        <w:tc>
          <w:tcPr>
            <w:tcW w:w="2132" w:type="dxa"/>
            <w:noWrap w:val="0"/>
            <w:vAlign w:val="center"/>
          </w:tcPr>
          <w:p w14:paraId="596F55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lang w:val="en-US" w:eastAsia="zh-CN"/>
              </w:rPr>
            </w:pPr>
          </w:p>
        </w:tc>
        <w:tc>
          <w:tcPr>
            <w:tcW w:w="2443" w:type="dxa"/>
            <w:noWrap w:val="0"/>
            <w:vAlign w:val="center"/>
          </w:tcPr>
          <w:p w14:paraId="35F224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2"/>
                <w:szCs w:val="22"/>
                <w:highlight w:val="none"/>
                <w:lang w:val="en-US" w:eastAsia="zh-CN"/>
              </w:rPr>
            </w:pPr>
          </w:p>
        </w:tc>
      </w:tr>
      <w:bookmarkEnd w:id="26"/>
    </w:tbl>
    <w:p w14:paraId="7892D37C">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五、付款方式</w:t>
      </w:r>
    </w:p>
    <w:p w14:paraId="39E81D9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检测服务费用</w:t>
      </w:r>
      <w:r>
        <w:rPr>
          <w:rFonts w:hint="eastAsia" w:ascii="宋体" w:hAnsi="宋体" w:eastAsia="宋体" w:cs="宋体"/>
          <w:color w:val="auto"/>
          <w:sz w:val="22"/>
          <w:szCs w:val="22"/>
          <w:highlight w:val="none"/>
          <w:lang w:val="en-US" w:eastAsia="zh-CN"/>
        </w:rPr>
        <w:t>每月</w:t>
      </w:r>
      <w:r>
        <w:rPr>
          <w:rFonts w:hint="eastAsia" w:ascii="宋体" w:hAnsi="宋体" w:eastAsia="宋体" w:cs="宋体"/>
          <w:color w:val="auto"/>
          <w:sz w:val="22"/>
          <w:szCs w:val="22"/>
          <w:highlight w:val="none"/>
        </w:rPr>
        <w:t>结算</w:t>
      </w:r>
      <w:r>
        <w:rPr>
          <w:rFonts w:hint="eastAsia" w:ascii="宋体" w:hAnsi="宋体" w:eastAsia="宋体" w:cs="宋体"/>
          <w:color w:val="auto"/>
          <w:sz w:val="22"/>
          <w:szCs w:val="22"/>
          <w:highlight w:val="none"/>
          <w:lang w:val="en-US" w:eastAsia="zh-CN"/>
        </w:rPr>
        <w:t>一次</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甲方在收到乙方开具的增值税发票后</w:t>
      </w:r>
      <w:r>
        <w:rPr>
          <w:rFonts w:hint="eastAsia" w:ascii="宋体" w:hAnsi="宋体" w:eastAsia="宋体" w:cs="宋体"/>
          <w:color w:val="auto"/>
          <w:sz w:val="22"/>
          <w:szCs w:val="22"/>
          <w:highlight w:val="none"/>
        </w:rPr>
        <w:t>三个月内支付</w:t>
      </w:r>
      <w:r>
        <w:rPr>
          <w:rFonts w:hint="eastAsia" w:ascii="宋体" w:hAnsi="宋体" w:eastAsia="宋体" w:cs="宋体"/>
          <w:color w:val="auto"/>
          <w:sz w:val="22"/>
          <w:szCs w:val="22"/>
          <w:highlight w:val="none"/>
          <w:lang w:val="en-US" w:eastAsia="zh-CN"/>
        </w:rPr>
        <w:t>相应金额的服务费。</w:t>
      </w:r>
      <w:r>
        <w:rPr>
          <w:rFonts w:hint="eastAsia" w:ascii="宋体" w:hAnsi="宋体" w:eastAsia="宋体" w:cs="宋体"/>
          <w:color w:val="auto"/>
          <w:sz w:val="22"/>
          <w:szCs w:val="22"/>
          <w:highlight w:val="none"/>
        </w:rPr>
        <w:t>合同签订后开展项目的业务量以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出具的报告内容和数量为准</w:t>
      </w:r>
      <w:r>
        <w:rPr>
          <w:rFonts w:hint="eastAsia" w:ascii="宋体" w:hAnsi="宋体" w:eastAsia="宋体" w:cs="宋体"/>
          <w:color w:val="auto"/>
          <w:sz w:val="22"/>
          <w:szCs w:val="22"/>
          <w:highlight w:val="none"/>
          <w:lang w:eastAsia="zh-CN"/>
        </w:rPr>
        <w:t>。</w:t>
      </w:r>
    </w:p>
    <w:p w14:paraId="46247409">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六、甲方权利义务</w:t>
      </w:r>
    </w:p>
    <w:p w14:paraId="08504D0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1、未经乙方明确的书面收款授权，甲方不得将检验服务费以现金方式支付给乙方工作人员。</w:t>
      </w:r>
    </w:p>
    <w:p w14:paraId="30E2EFD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2、若甲方有大批量体检样本需检验时，应提前</w:t>
      </w:r>
      <w:r>
        <w:rPr>
          <w:rFonts w:hint="eastAsia" w:ascii="宋体" w:hAnsi="宋体" w:eastAsia="宋体" w:cs="宋体"/>
          <w:color w:val="auto"/>
          <w:sz w:val="22"/>
          <w:szCs w:val="22"/>
          <w:highlight w:val="none"/>
          <w:lang w:val="en-US" w:eastAsia="zh-CN"/>
        </w:rPr>
        <w:t>___</w:t>
      </w:r>
      <w:r>
        <w:rPr>
          <w:rFonts w:hint="eastAsia" w:ascii="宋体" w:hAnsi="宋体" w:eastAsia="宋体" w:cs="宋体"/>
          <w:color w:val="auto"/>
          <w:sz w:val="22"/>
          <w:szCs w:val="22"/>
          <w:highlight w:val="none"/>
        </w:rPr>
        <w:t>天通知乙方，以便于乙方及时做好各项准备工作。</w:t>
      </w:r>
    </w:p>
    <w:p w14:paraId="25B51DF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3、甲方应按本协议的约定向患者收取检验费，如甲方有漏收费的，不影响甲方向乙方支付检验服务费。</w:t>
      </w:r>
    </w:p>
    <w:p w14:paraId="4FE140A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、甲方应针对部分检验结果对临床诊疗的危急程度，应明确危急值的报告部门或联系人：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14:paraId="4A5FD31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、依照《传染病信息报告管理规范》规定，对需要传报项目的相关患者信息在规定时间内通报乙方。</w:t>
      </w:r>
    </w:p>
    <w:p w14:paraId="2007EA7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、本协议有效期内，甲方有义务对从乙方获悉的关于乙方的经营信息、技术信息等一切非公开的保密信息予以保密，保密期限为 </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年。未经乙方书面同意，甲方不得将上述信息泄露给任何第三方。</w:t>
      </w:r>
    </w:p>
    <w:p w14:paraId="77E37DE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、甲方对乙方实验室进行每年一次的实地质量考核。</w:t>
      </w:r>
    </w:p>
    <w:p w14:paraId="5AD2805D">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七、乙方权利义务</w:t>
      </w:r>
    </w:p>
    <w:p w14:paraId="77BFBD2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1、乙方应保证自身的能力和资源能够满足甲方的委托检验需求，包括实验室人员的技能和专业知识，检验方法等。</w:t>
      </w:r>
    </w:p>
    <w:p w14:paraId="5FAD195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2、乙方保证检验、病理诊断结果准确可靠，乙方对检验结果负责，因检验结果问题引起的</w:t>
      </w:r>
      <w:r>
        <w:rPr>
          <w:rFonts w:hint="eastAsia" w:ascii="宋体" w:hAnsi="宋体" w:eastAsia="宋体" w:cs="宋体"/>
          <w:color w:val="auto"/>
          <w:sz w:val="22"/>
          <w:szCs w:val="22"/>
          <w:highlight w:val="none"/>
          <w:lang w:eastAsia="zh-CN"/>
        </w:rPr>
        <w:t>不良后果</w:t>
      </w:r>
      <w:r>
        <w:rPr>
          <w:rFonts w:hint="eastAsia" w:ascii="宋体" w:hAnsi="宋体" w:eastAsia="宋体" w:cs="宋体"/>
          <w:color w:val="auto"/>
          <w:sz w:val="22"/>
          <w:szCs w:val="22"/>
          <w:highlight w:val="none"/>
        </w:rPr>
        <w:t>，所有费用完全由</w:t>
      </w:r>
      <w:r>
        <w:rPr>
          <w:rFonts w:hint="eastAsia" w:ascii="宋体" w:hAnsi="宋体" w:eastAsia="宋体" w:cs="宋体"/>
          <w:color w:val="auto"/>
          <w:sz w:val="22"/>
          <w:szCs w:val="22"/>
          <w:highlight w:val="none"/>
          <w:lang w:eastAsia="zh-CN"/>
        </w:rPr>
        <w:t>乙</w:t>
      </w:r>
      <w:r>
        <w:rPr>
          <w:rFonts w:hint="eastAsia" w:ascii="宋体" w:hAnsi="宋体" w:eastAsia="宋体" w:cs="宋体"/>
          <w:color w:val="auto"/>
          <w:sz w:val="22"/>
          <w:szCs w:val="22"/>
          <w:highlight w:val="none"/>
        </w:rPr>
        <w:t>方赔偿。</w:t>
      </w:r>
    </w:p>
    <w:p w14:paraId="26F370D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3、如样本不符合检验要求的，乙方应及时与甲方沟通，不得收取相关费用</w:t>
      </w:r>
      <w:r>
        <w:rPr>
          <w:rFonts w:hint="eastAsia" w:ascii="宋体" w:hAnsi="宋体" w:eastAsia="宋体" w:cs="宋体"/>
          <w:color w:val="auto"/>
          <w:sz w:val="22"/>
          <w:szCs w:val="22"/>
          <w:highlight w:val="none"/>
          <w:lang w:eastAsia="zh-CN"/>
        </w:rPr>
        <w:t>。</w:t>
      </w:r>
    </w:p>
    <w:p w14:paraId="0297F71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4、如乙方将部分检验项目转委托给其他实验室或外部顾问进行检验时，应及时向甲方说明</w:t>
      </w:r>
      <w:r>
        <w:rPr>
          <w:rFonts w:hint="eastAsia" w:ascii="宋体" w:hAnsi="宋体" w:eastAsia="宋体" w:cs="宋体"/>
          <w:color w:val="auto"/>
          <w:sz w:val="22"/>
          <w:szCs w:val="22"/>
          <w:highlight w:val="none"/>
          <w:lang w:eastAsia="zh-CN"/>
        </w:rPr>
        <w:t>并取得甲方同意</w:t>
      </w:r>
      <w:r>
        <w:rPr>
          <w:rFonts w:hint="eastAsia" w:ascii="宋体" w:hAnsi="宋体" w:eastAsia="宋体" w:cs="宋体"/>
          <w:color w:val="auto"/>
          <w:sz w:val="22"/>
          <w:szCs w:val="22"/>
          <w:highlight w:val="none"/>
        </w:rPr>
        <w:t>。</w:t>
      </w:r>
    </w:p>
    <w:p w14:paraId="185D297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5、如乙方的检验项目、收费标准、检验报告交付时间等事项发生变更时，应及时向甲方报告变更内容。</w:t>
      </w:r>
    </w:p>
    <w:p w14:paraId="6BF0FBA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6、乙方可根据甲方需求，为甲方提供分析前样本的质量控制等相关内容的培训服务。</w:t>
      </w:r>
    </w:p>
    <w:p w14:paraId="3903423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7、乙方须针对甲方实地质量考核中的发现的不符合项进行整改并将整改情况以图文形式反馈回甲方。</w:t>
      </w:r>
    </w:p>
    <w:p w14:paraId="5EC14DE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8、当甲方对乙方的检验结果有疑</w:t>
      </w:r>
      <w:r>
        <w:rPr>
          <w:rFonts w:hint="eastAsia" w:ascii="宋体" w:hAnsi="宋体" w:eastAsia="宋体" w:cs="宋体"/>
          <w:color w:val="auto"/>
          <w:sz w:val="22"/>
          <w:szCs w:val="22"/>
          <w:highlight w:val="none"/>
          <w:lang w:val="en-US" w:eastAsia="zh-CN"/>
        </w:rPr>
        <w:t>问</w:t>
      </w:r>
      <w:r>
        <w:rPr>
          <w:rFonts w:hint="eastAsia" w:ascii="宋体" w:hAnsi="宋体" w:eastAsia="宋体" w:cs="宋体"/>
          <w:color w:val="auto"/>
          <w:sz w:val="22"/>
          <w:szCs w:val="22"/>
          <w:highlight w:val="none"/>
        </w:rPr>
        <w:t>或异议时，可要求乙方重新检验或再委托第三方检验。这种情况下所发生的费用，由责任方承担。</w:t>
      </w:r>
    </w:p>
    <w:p w14:paraId="1DE339CC">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9、如乙方因各种规范性问题被行政监督部门惩罚，所产生的一切后果及损失，由乙方承担，对甲方造成的影响及损失，乙方</w:t>
      </w:r>
      <w:r>
        <w:rPr>
          <w:rFonts w:hint="eastAsia" w:ascii="宋体" w:hAnsi="宋体" w:eastAsia="宋体" w:cs="宋体"/>
          <w:color w:val="auto"/>
          <w:sz w:val="22"/>
          <w:szCs w:val="22"/>
          <w:highlight w:val="none"/>
          <w:lang w:eastAsia="zh-CN"/>
        </w:rPr>
        <w:t>须</w:t>
      </w:r>
      <w:r>
        <w:rPr>
          <w:rFonts w:hint="eastAsia" w:ascii="宋体" w:hAnsi="宋体" w:eastAsia="宋体" w:cs="宋体"/>
          <w:color w:val="auto"/>
          <w:sz w:val="22"/>
          <w:szCs w:val="22"/>
          <w:highlight w:val="none"/>
        </w:rPr>
        <w:t>进行相应的赔偿。</w:t>
      </w:r>
    </w:p>
    <w:p w14:paraId="77425E6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10、乙方应当对从甲方处获取的患者信息或隐私保密，保密时间长期有效，不以合同为期限。</w:t>
      </w:r>
    </w:p>
    <w:p w14:paraId="3334638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1、乙方必须信守承诺，认真落实具有相应</w:t>
      </w:r>
      <w:r>
        <w:rPr>
          <w:rFonts w:hint="eastAsia" w:ascii="宋体" w:hAnsi="宋体" w:eastAsia="宋体" w:cs="宋体"/>
          <w:color w:val="auto"/>
          <w:sz w:val="22"/>
          <w:szCs w:val="22"/>
          <w:highlight w:val="none"/>
          <w:lang w:eastAsia="zh-CN"/>
        </w:rPr>
        <w:t>资质</w:t>
      </w:r>
      <w:r>
        <w:rPr>
          <w:rFonts w:hint="eastAsia" w:ascii="宋体" w:hAnsi="宋体" w:eastAsia="宋体" w:cs="宋体"/>
          <w:color w:val="auto"/>
          <w:sz w:val="22"/>
          <w:szCs w:val="22"/>
          <w:highlight w:val="none"/>
        </w:rPr>
        <w:t>的固定服务人员，挂牌上岗并建立健全的管理制度。</w:t>
      </w:r>
    </w:p>
    <w:p w14:paraId="67C6026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2、乙方必须按甲方制订的服务标准，严格履行义务，为甲方提供专业、优质、高效的服务。并根据甲方要求改变不满意的状态，接受甲方的监督和检查。</w:t>
      </w:r>
    </w:p>
    <w:p w14:paraId="23ACEE3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3、检验报告中的名词术语必须准确规范，不得使用俗语或外语译音。</w:t>
      </w:r>
    </w:p>
    <w:p w14:paraId="57B1AC2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4、检验报告中的检验记录应具体详细，检验结论应精简明确。</w:t>
      </w:r>
    </w:p>
    <w:p w14:paraId="2AE5AA0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eastAsia="zh-CN"/>
        </w:rPr>
        <w:t>合同</w:t>
      </w:r>
      <w:r>
        <w:rPr>
          <w:rFonts w:hint="eastAsia" w:ascii="宋体" w:hAnsi="宋体" w:eastAsia="宋体" w:cs="宋体"/>
          <w:color w:val="auto"/>
          <w:sz w:val="22"/>
          <w:szCs w:val="22"/>
          <w:highlight w:val="none"/>
        </w:rPr>
        <w:t>作业期间的各项服务，其工作时间应满足甲方的工作要求，包括</w:t>
      </w:r>
      <w:r>
        <w:rPr>
          <w:rFonts w:hint="eastAsia" w:ascii="宋体" w:hAnsi="宋体" w:eastAsia="宋体" w:cs="宋体"/>
          <w:color w:val="auto"/>
          <w:sz w:val="22"/>
          <w:szCs w:val="22"/>
          <w:highlight w:val="none"/>
          <w:lang w:eastAsia="zh-CN"/>
        </w:rPr>
        <w:t>周末</w:t>
      </w:r>
      <w:r>
        <w:rPr>
          <w:rFonts w:hint="eastAsia" w:ascii="宋体" w:hAnsi="宋体" w:eastAsia="宋体" w:cs="宋体"/>
          <w:color w:val="auto"/>
          <w:sz w:val="22"/>
          <w:szCs w:val="22"/>
          <w:highlight w:val="none"/>
        </w:rPr>
        <w:t>及公众假期，无论乙方有任何理由，均不得拖延、停止服务工作。甲方</w:t>
      </w:r>
      <w:r>
        <w:rPr>
          <w:rFonts w:hint="eastAsia" w:ascii="宋体" w:hAnsi="宋体" w:eastAsia="宋体" w:cs="宋体"/>
          <w:color w:val="auto"/>
          <w:sz w:val="22"/>
          <w:szCs w:val="22"/>
          <w:highlight w:val="none"/>
          <w:lang w:val="en-US" w:eastAsia="zh-CN"/>
        </w:rPr>
        <w:t>有特殊需求，乙方</w:t>
      </w:r>
      <w:r>
        <w:rPr>
          <w:rFonts w:hint="eastAsia" w:ascii="宋体" w:hAnsi="宋体" w:eastAsia="宋体" w:cs="宋体"/>
          <w:color w:val="auto"/>
          <w:sz w:val="22"/>
          <w:szCs w:val="22"/>
          <w:highlight w:val="none"/>
        </w:rPr>
        <w:t>应提供方便或提高服务质量时，可要求乙方调整工作时间直至全天二十四小时工作。</w:t>
      </w:r>
    </w:p>
    <w:p w14:paraId="7006439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6、因工作需要，甲方临时向乙方提出服务的要求，乙方应全力配合，按照甲方提出标准及要求完成任何，不得无故拖延。</w:t>
      </w:r>
    </w:p>
    <w:p w14:paraId="6AF976D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7、乙方必须对员工发生的事故责任承担责任</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乙方员工发生被媒体曝光或影响甲方公众形象或违反甲方规章制度造成不良影响，而由此产生的损失及消除影响产生的费用，由乙方全部承担</w:t>
      </w:r>
      <w:r>
        <w:rPr>
          <w:rFonts w:hint="eastAsia" w:ascii="宋体" w:hAnsi="宋体" w:eastAsia="宋体" w:cs="宋体"/>
          <w:color w:val="auto"/>
          <w:sz w:val="22"/>
          <w:szCs w:val="22"/>
          <w:highlight w:val="none"/>
          <w:lang w:eastAsia="zh-CN"/>
        </w:rPr>
        <w:t>。</w:t>
      </w:r>
    </w:p>
    <w:p w14:paraId="377D90C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公司的办公各类设施及费用、人员食宿、安全等均由乙方自行负责解决。</w:t>
      </w:r>
    </w:p>
    <w:p w14:paraId="65C752D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eastAsia="zh-CN"/>
        </w:rPr>
        <w:t>合同期</w:t>
      </w:r>
      <w:r>
        <w:rPr>
          <w:rFonts w:hint="eastAsia" w:ascii="宋体" w:hAnsi="宋体" w:eastAsia="宋体" w:cs="宋体"/>
          <w:color w:val="auto"/>
          <w:sz w:val="22"/>
          <w:szCs w:val="22"/>
          <w:highlight w:val="none"/>
        </w:rPr>
        <w:t>内，乙方所有人员的安全事故由乙方自行负责</w:t>
      </w:r>
      <w:r>
        <w:rPr>
          <w:rFonts w:hint="eastAsia" w:ascii="宋体" w:hAnsi="宋体" w:eastAsia="宋体" w:cs="宋体"/>
          <w:color w:val="auto"/>
          <w:sz w:val="22"/>
          <w:szCs w:val="22"/>
          <w:highlight w:val="none"/>
          <w:lang w:eastAsia="zh-CN"/>
        </w:rPr>
        <w:t>。</w:t>
      </w:r>
    </w:p>
    <w:p w14:paraId="1C078A8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lang w:eastAsia="zh-CN"/>
        </w:rPr>
        <w:t>、违约责任</w:t>
      </w:r>
    </w:p>
    <w:p w14:paraId="03C8AFF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如乙方的检测服务发生质量问题，造成甲方向患者承担赔偿责任的，甲方有权向乙方追索该损失</w:t>
      </w:r>
      <w:r>
        <w:rPr>
          <w:rFonts w:hint="eastAsia" w:ascii="宋体" w:hAnsi="宋体" w:eastAsia="宋体" w:cs="宋体"/>
          <w:color w:val="auto"/>
          <w:sz w:val="22"/>
          <w:szCs w:val="22"/>
          <w:highlight w:val="none"/>
          <w:lang w:eastAsia="zh-CN"/>
        </w:rPr>
        <w:t>，包括但不限于律师费、交通费、诉讼费等。造成严重后果的，甲方有权终止合同并没收履约保证金</w:t>
      </w:r>
      <w:r>
        <w:rPr>
          <w:rFonts w:hint="eastAsia" w:ascii="宋体" w:hAnsi="宋体" w:eastAsia="宋体" w:cs="宋体"/>
          <w:color w:val="auto"/>
          <w:sz w:val="22"/>
          <w:szCs w:val="22"/>
          <w:highlight w:val="none"/>
        </w:rPr>
        <w:t>。</w:t>
      </w:r>
    </w:p>
    <w:p w14:paraId="58D1951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如甲方未按本协议的约定按时支付检测服务费的，应当按日按应付款的万分之五支付违约金</w:t>
      </w:r>
      <w:r>
        <w:rPr>
          <w:rFonts w:hint="eastAsia" w:ascii="宋体" w:hAnsi="宋体" w:eastAsia="宋体" w:cs="宋体"/>
          <w:color w:val="auto"/>
          <w:sz w:val="22"/>
          <w:szCs w:val="22"/>
          <w:highlight w:val="none"/>
          <w:lang w:eastAsia="zh-CN"/>
        </w:rPr>
        <w:t>，最高不超过当月应付款项的</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p>
    <w:p w14:paraId="23D58AA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、甲方在乙方存在如下违约情况时，有权单方面终止全部或部分合同，并保留进一步追究乙方责任的权利（包括经济赔偿）。</w:t>
      </w:r>
    </w:p>
    <w:p w14:paraId="0C73EA0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）乙方发生三次及以上未及时出具报告。</w:t>
      </w:r>
    </w:p>
    <w:p w14:paraId="302F373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）乙方出具的报告不符合要求或者存在问题。</w:t>
      </w:r>
    </w:p>
    <w:p w14:paraId="054510C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）乙方未能履行合同规定的义务；</w:t>
      </w:r>
    </w:p>
    <w:p w14:paraId="6951CED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）有严重影响甲方的正常工作及形象。</w:t>
      </w:r>
    </w:p>
    <w:p w14:paraId="4A8D26D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）与招标文件不符合的做法，或履行其投标文件的承诺。</w:t>
      </w:r>
    </w:p>
    <w:p w14:paraId="296F467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4、甲方在</w:t>
      </w:r>
      <w:r>
        <w:rPr>
          <w:rFonts w:hint="eastAsia" w:ascii="宋体" w:hAnsi="宋体" w:eastAsia="宋体" w:cs="宋体"/>
          <w:color w:val="auto"/>
          <w:sz w:val="22"/>
          <w:szCs w:val="22"/>
          <w:highlight w:val="none"/>
        </w:rPr>
        <w:t>实地质量考核中发现乙方存在以下情况，甲方有权终止合同</w:t>
      </w:r>
      <w:r>
        <w:rPr>
          <w:rFonts w:hint="eastAsia" w:ascii="宋体" w:hAnsi="宋体" w:eastAsia="宋体" w:cs="宋体"/>
          <w:color w:val="auto"/>
          <w:sz w:val="22"/>
          <w:szCs w:val="22"/>
          <w:highlight w:val="none"/>
          <w:lang w:eastAsia="zh-CN"/>
        </w:rPr>
        <w:t>，给甲方造成损失的，乙方还应当赔偿损失</w:t>
      </w:r>
      <w:r>
        <w:rPr>
          <w:rFonts w:hint="eastAsia" w:ascii="宋体" w:hAnsi="宋体" w:eastAsia="宋体" w:cs="宋体"/>
          <w:color w:val="auto"/>
          <w:sz w:val="22"/>
          <w:szCs w:val="22"/>
          <w:highlight w:val="none"/>
        </w:rPr>
        <w:t>：</w:t>
      </w:r>
    </w:p>
    <w:p w14:paraId="0C8F473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检验结果数据与原始</w:t>
      </w:r>
      <w:r>
        <w:rPr>
          <w:rFonts w:hint="eastAsia" w:ascii="宋体" w:hAnsi="宋体" w:eastAsia="宋体" w:cs="宋体"/>
          <w:color w:val="auto"/>
          <w:sz w:val="22"/>
          <w:szCs w:val="22"/>
          <w:highlight w:val="none"/>
          <w:lang w:val="en-US" w:eastAsia="zh-CN"/>
        </w:rPr>
        <w:t>数据</w:t>
      </w:r>
      <w:r>
        <w:rPr>
          <w:rFonts w:hint="eastAsia" w:ascii="宋体" w:hAnsi="宋体" w:eastAsia="宋体" w:cs="宋体"/>
          <w:color w:val="auto"/>
          <w:sz w:val="22"/>
          <w:szCs w:val="22"/>
          <w:highlight w:val="none"/>
        </w:rPr>
        <w:t>不符或无原始</w:t>
      </w:r>
      <w:r>
        <w:rPr>
          <w:rFonts w:hint="eastAsia" w:ascii="宋体" w:hAnsi="宋体" w:eastAsia="宋体" w:cs="宋体"/>
          <w:color w:val="auto"/>
          <w:sz w:val="22"/>
          <w:szCs w:val="22"/>
          <w:highlight w:val="none"/>
          <w:lang w:val="en-US" w:eastAsia="zh-CN"/>
        </w:rPr>
        <w:t>数据</w:t>
      </w:r>
      <w:r>
        <w:rPr>
          <w:rFonts w:hint="eastAsia" w:ascii="宋体" w:hAnsi="宋体" w:eastAsia="宋体" w:cs="宋体"/>
          <w:color w:val="auto"/>
          <w:sz w:val="22"/>
          <w:szCs w:val="22"/>
          <w:highlight w:val="none"/>
          <w:lang w:eastAsia="zh-CN"/>
        </w:rPr>
        <w:t>。</w:t>
      </w:r>
    </w:p>
    <w:p w14:paraId="78B86EB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项目无质量保证方案或未按方案执行</w:t>
      </w:r>
      <w:r>
        <w:rPr>
          <w:rFonts w:hint="eastAsia" w:ascii="宋体" w:hAnsi="宋体" w:eastAsia="宋体" w:cs="宋体"/>
          <w:color w:val="auto"/>
          <w:sz w:val="22"/>
          <w:szCs w:val="22"/>
          <w:highlight w:val="none"/>
          <w:lang w:eastAsia="zh-CN"/>
        </w:rPr>
        <w:t>。</w:t>
      </w:r>
    </w:p>
    <w:p w14:paraId="2123247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样本运输与</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方提供的样本运输文件不符</w:t>
      </w:r>
      <w:r>
        <w:rPr>
          <w:rFonts w:hint="eastAsia" w:ascii="宋体" w:hAnsi="宋体" w:eastAsia="宋体" w:cs="宋体"/>
          <w:color w:val="auto"/>
          <w:sz w:val="22"/>
          <w:szCs w:val="22"/>
          <w:highlight w:val="none"/>
          <w:lang w:eastAsia="zh-CN"/>
        </w:rPr>
        <w:t>。</w:t>
      </w:r>
    </w:p>
    <w:p w14:paraId="76BC299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泄露</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样本患者信息或隐私数据</w:t>
      </w:r>
      <w:r>
        <w:rPr>
          <w:rFonts w:hint="eastAsia" w:ascii="宋体" w:hAnsi="宋体" w:eastAsia="宋体" w:cs="宋体"/>
          <w:color w:val="auto"/>
          <w:sz w:val="22"/>
          <w:szCs w:val="22"/>
          <w:highlight w:val="none"/>
          <w:lang w:eastAsia="zh-CN"/>
        </w:rPr>
        <w:t>。</w:t>
      </w:r>
    </w:p>
    <w:p w14:paraId="3452684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5、因乙方违约导致甲方终止合同的，甲方有权没收履约保证金。</w:t>
      </w:r>
    </w:p>
    <w:p w14:paraId="6A4403D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若</w:t>
      </w:r>
      <w:r>
        <w:rPr>
          <w:rFonts w:hint="eastAsia" w:ascii="宋体" w:hAnsi="宋体" w:eastAsia="宋体" w:cs="宋体"/>
          <w:color w:val="auto"/>
          <w:sz w:val="22"/>
          <w:szCs w:val="22"/>
          <w:highlight w:val="none"/>
        </w:rPr>
        <w:t>乙方要提前</w:t>
      </w:r>
      <w:r>
        <w:rPr>
          <w:rFonts w:hint="eastAsia" w:ascii="宋体" w:hAnsi="宋体" w:eastAsia="宋体" w:cs="宋体"/>
          <w:color w:val="auto"/>
          <w:sz w:val="22"/>
          <w:szCs w:val="22"/>
          <w:highlight w:val="none"/>
          <w:lang w:eastAsia="zh-CN"/>
        </w:rPr>
        <w:t>终</w:t>
      </w:r>
      <w:r>
        <w:rPr>
          <w:rFonts w:hint="eastAsia" w:ascii="宋体" w:hAnsi="宋体" w:eastAsia="宋体" w:cs="宋体"/>
          <w:color w:val="auto"/>
          <w:sz w:val="22"/>
          <w:szCs w:val="22"/>
          <w:highlight w:val="none"/>
        </w:rPr>
        <w:t>止合同，需提前3个月</w:t>
      </w:r>
      <w:r>
        <w:rPr>
          <w:rFonts w:hint="eastAsia" w:ascii="宋体" w:hAnsi="宋体" w:eastAsia="宋体" w:cs="宋体"/>
          <w:color w:val="auto"/>
          <w:sz w:val="22"/>
          <w:szCs w:val="22"/>
          <w:highlight w:val="none"/>
          <w:lang w:eastAsia="zh-CN"/>
        </w:rPr>
        <w:t>通知甲方</w:t>
      </w:r>
      <w:r>
        <w:rPr>
          <w:rFonts w:hint="eastAsia" w:ascii="宋体" w:hAnsi="宋体" w:eastAsia="宋体" w:cs="宋体"/>
          <w:color w:val="auto"/>
          <w:sz w:val="22"/>
          <w:szCs w:val="22"/>
          <w:highlight w:val="none"/>
        </w:rPr>
        <w:t>，并征得甲方同意</w:t>
      </w:r>
      <w:r>
        <w:rPr>
          <w:rFonts w:hint="eastAsia" w:ascii="宋体" w:hAnsi="宋体" w:eastAsia="宋体" w:cs="宋体"/>
          <w:color w:val="auto"/>
          <w:sz w:val="22"/>
          <w:szCs w:val="22"/>
          <w:highlight w:val="none"/>
          <w:lang w:eastAsia="zh-CN"/>
        </w:rPr>
        <w:t>，否则乙方须继续履行合同。</w:t>
      </w:r>
    </w:p>
    <w:p w14:paraId="7003D54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、除不可抗力外以，如发生乙方不能履行合同义务，或甲方发生中途终止合同等情况，应及时以书面形式通知对方。甲乙双方应本着友好的态度进行协商，妥善解决。</w:t>
      </w:r>
    </w:p>
    <w:p w14:paraId="09DF492D">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九、破产终止合同</w:t>
      </w:r>
    </w:p>
    <w:p w14:paraId="40850CE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如果乙方破产或无服务能力时，甲方可在任何时候以书面通知乙方终止合同。该终止合同将不损害或影响甲方已经采取或将要采取的补救措施的权利。</w:t>
      </w:r>
    </w:p>
    <w:p w14:paraId="09CE29F3">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val="en-US" w:eastAsia="zh-CN"/>
        </w:rPr>
        <w:t>争议的解决</w:t>
      </w:r>
    </w:p>
    <w:p w14:paraId="7111163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双方在履行合同过程中发生争议，双方应当友好协商解决，若协商不成可向甲方所在地人民法院起诉。</w:t>
      </w:r>
    </w:p>
    <w:p w14:paraId="40BE5633">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val="en-US" w:eastAsia="zh-CN"/>
        </w:rPr>
        <w:t>一</w:t>
      </w:r>
      <w:r>
        <w:rPr>
          <w:rFonts w:hint="eastAsia" w:ascii="宋体" w:hAnsi="宋体" w:eastAsia="宋体" w:cs="宋体"/>
          <w:b/>
          <w:color w:val="auto"/>
          <w:sz w:val="22"/>
          <w:szCs w:val="22"/>
          <w:highlight w:val="none"/>
        </w:rPr>
        <w:t>、合同生效及其他</w:t>
      </w:r>
    </w:p>
    <w:p w14:paraId="3407CAD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1、合同经双方法定代表人或授权代表签字并加盖公章后生效。</w:t>
      </w:r>
    </w:p>
    <w:p w14:paraId="5249D77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2、合同</w:t>
      </w:r>
      <w:r>
        <w:rPr>
          <w:rFonts w:hint="eastAsia" w:ascii="宋体" w:hAnsi="宋体" w:eastAsia="宋体" w:cs="宋体"/>
          <w:color w:val="auto"/>
          <w:sz w:val="22"/>
          <w:szCs w:val="22"/>
          <w:highlight w:val="none"/>
          <w:lang w:eastAsia="zh-CN"/>
        </w:rPr>
        <w:t>履行过程</w:t>
      </w:r>
      <w:r>
        <w:rPr>
          <w:rFonts w:hint="eastAsia" w:ascii="宋体" w:hAnsi="宋体" w:eastAsia="宋体" w:cs="宋体"/>
          <w:color w:val="auto"/>
          <w:sz w:val="22"/>
          <w:szCs w:val="22"/>
          <w:highlight w:val="none"/>
        </w:rPr>
        <w:t>中，如</w:t>
      </w:r>
      <w:r>
        <w:rPr>
          <w:rFonts w:hint="eastAsia" w:ascii="宋体" w:hAnsi="宋体" w:eastAsia="宋体" w:cs="宋体"/>
          <w:color w:val="auto"/>
          <w:sz w:val="22"/>
          <w:szCs w:val="22"/>
          <w:highlight w:val="none"/>
          <w:lang w:eastAsia="zh-CN"/>
        </w:rPr>
        <w:t>须</w:t>
      </w:r>
      <w:r>
        <w:rPr>
          <w:rFonts w:hint="eastAsia" w:ascii="宋体" w:hAnsi="宋体" w:eastAsia="宋体" w:cs="宋体"/>
          <w:color w:val="auto"/>
          <w:sz w:val="22"/>
          <w:szCs w:val="22"/>
          <w:highlight w:val="none"/>
        </w:rPr>
        <w:t>修改或补充合同内容，经协商，双方应签署书面修改或补充协议。该协议</w:t>
      </w:r>
      <w:r>
        <w:rPr>
          <w:rFonts w:hint="eastAsia" w:ascii="宋体" w:hAnsi="宋体" w:eastAsia="宋体" w:cs="宋体"/>
          <w:bCs/>
          <w:color w:val="auto"/>
          <w:sz w:val="22"/>
          <w:szCs w:val="22"/>
          <w:highlight w:val="none"/>
        </w:rPr>
        <w:t>将作为合同不可分割的一部分。</w:t>
      </w:r>
    </w:p>
    <w:p w14:paraId="3196177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招标文件、补充文件、投标文件及答疑纪要、中标通知书等作为本合同的附件，与本合同具有同等法律效力。</w:t>
      </w:r>
    </w:p>
    <w:p w14:paraId="67B2004F">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p>
    <w:p w14:paraId="0465C9D8">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甲方（盖章）：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乙方（盖章）： </w:t>
      </w:r>
    </w:p>
    <w:p w14:paraId="52D3FD79">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法定代表人或授权代表（签名）:            定代表人或授权代表（签名）:</w:t>
      </w:r>
    </w:p>
    <w:p w14:paraId="0D352E11">
      <w:pPr>
        <w:keepNext w:val="0"/>
        <w:keepLines w:val="0"/>
        <w:pageBreakBefore w:val="0"/>
        <w:widowControl w:val="0"/>
        <w:tabs>
          <w:tab w:val="left" w:pos="360"/>
        </w:tabs>
        <w:kinsoku/>
        <w:wordWrap/>
        <w:overflowPunct/>
        <w:topLinePunct w:val="0"/>
        <w:autoSpaceDE/>
        <w:autoSpaceDN/>
        <w:bidi w:val="0"/>
        <w:adjustRightInd/>
        <w:snapToGrid/>
        <w:spacing w:line="460" w:lineRule="exact"/>
        <w:ind w:left="5280" w:hanging="5280" w:hangingChars="24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地址：</w:t>
      </w:r>
    </w:p>
    <w:p w14:paraId="2821D77A">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邮政编码：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邮政编码：</w:t>
      </w:r>
    </w:p>
    <w:p w14:paraId="7AB6C05A">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电话：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电话：  </w:t>
      </w:r>
    </w:p>
    <w:p w14:paraId="59AAD928">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传真：                                  传真： </w:t>
      </w:r>
    </w:p>
    <w:p w14:paraId="7869201A">
      <w:pPr>
        <w:keepNext w:val="0"/>
        <w:keepLines w:val="0"/>
        <w:pageBreakBefore w:val="0"/>
        <w:widowControl w:val="0"/>
        <w:tabs>
          <w:tab w:val="left" w:pos="360"/>
        </w:tabs>
        <w:kinsoku/>
        <w:wordWrap/>
        <w:overflowPunct/>
        <w:topLinePunct w:val="0"/>
        <w:autoSpaceDE/>
        <w:autoSpaceDN/>
        <w:bidi w:val="0"/>
        <w:adjustRightInd/>
        <w:snapToGrid/>
        <w:spacing w:line="460" w:lineRule="exact"/>
        <w:ind w:left="6380" w:hanging="6380" w:hangingChars="29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开户银行：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开户银行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89A141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银行帐号：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银行帐号：</w:t>
      </w:r>
    </w:p>
    <w:p w14:paraId="090FDBED">
      <w:pPr>
        <w:pStyle w:val="2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 w:val="22"/>
          <w:szCs w:val="22"/>
          <w:highlight w:val="none"/>
          <w:lang w:val="en-GB" w:eastAsia="zh-CN"/>
        </w:rPr>
      </w:pPr>
      <w:r>
        <w:rPr>
          <w:rFonts w:hint="eastAsia" w:ascii="宋体" w:hAnsi="宋体" w:eastAsia="宋体" w:cs="宋体"/>
          <w:color w:val="auto"/>
          <w:sz w:val="22"/>
          <w:szCs w:val="22"/>
          <w:highlight w:val="none"/>
        </w:rPr>
        <w:t>签约日期:        年   月   日           签约日期：     年    月   日</w:t>
      </w:r>
    </w:p>
    <w:p w14:paraId="68AFA6E8">
      <w:pPr>
        <w:spacing w:before="131"/>
        <w:jc w:val="center"/>
        <w:rPr>
          <w:rFonts w:hint="eastAsia"/>
          <w:b/>
          <w:sz w:val="36"/>
          <w:szCs w:val="22"/>
          <w:highlight w:val="none"/>
        </w:rPr>
      </w:pPr>
    </w:p>
    <w:p w14:paraId="08ED02D8">
      <w:pPr>
        <w:rPr>
          <w:rFonts w:hint="eastAsia" w:ascii="宋体" w:hAnsi="宋体" w:eastAsia="宋体" w:cs="宋体"/>
          <w:b/>
          <w:color w:val="auto"/>
          <w:sz w:val="30"/>
          <w:highlight w:val="none"/>
        </w:rPr>
      </w:pPr>
    </w:p>
    <w:p w14:paraId="11281D99">
      <w:pPr>
        <w:rPr>
          <w:rFonts w:hint="eastAsia" w:ascii="宋体" w:hAnsi="宋体" w:eastAsia="宋体" w:cs="宋体"/>
        </w:rPr>
      </w:pPr>
      <w:bookmarkStart w:id="27" w:name="_Toc18439"/>
      <w:bookmarkStart w:id="28" w:name="_Toc19081"/>
      <w:r>
        <w:rPr>
          <w:rFonts w:hint="eastAsia" w:ascii="宋体" w:hAnsi="宋体" w:eastAsia="宋体" w:cs="宋体"/>
        </w:rPr>
        <w:br w:type="page"/>
      </w:r>
    </w:p>
    <w:p w14:paraId="0B7454BD">
      <w:pPr>
        <w:pStyle w:val="2"/>
        <w:bidi w:val="0"/>
        <w:rPr>
          <w:rFonts w:hint="eastAsia" w:ascii="宋体" w:hAnsi="宋体" w:eastAsia="宋体" w:cs="宋体"/>
        </w:rPr>
      </w:pPr>
      <w:r>
        <w:rPr>
          <w:rFonts w:hint="eastAsia" w:ascii="宋体" w:hAnsi="宋体" w:eastAsia="宋体" w:cs="宋体"/>
        </w:rPr>
        <w:t>第三部分    附件</w:t>
      </w:r>
      <w:bookmarkEnd w:id="27"/>
      <w:bookmarkEnd w:id="28"/>
    </w:p>
    <w:p w14:paraId="7F5EBD59">
      <w:pPr>
        <w:pStyle w:val="22"/>
        <w:spacing w:line="460" w:lineRule="exact"/>
        <w:ind w:left="433" w:hanging="433" w:hangingChars="196"/>
        <w:outlineLvl w:val="1"/>
        <w:rPr>
          <w:rFonts w:hint="eastAsia" w:ascii="宋体" w:hAnsi="宋体" w:eastAsia="宋体" w:cs="宋体"/>
          <w:b/>
          <w:color w:val="auto"/>
          <w:sz w:val="22"/>
          <w:highlight w:val="none"/>
        </w:rPr>
      </w:pPr>
      <w:bookmarkStart w:id="29" w:name="_Toc6368"/>
      <w:bookmarkStart w:id="30" w:name="_Toc7056"/>
      <w:r>
        <w:rPr>
          <w:rFonts w:hint="eastAsia" w:ascii="宋体" w:hAnsi="宋体" w:eastAsia="宋体" w:cs="宋体"/>
          <w:b/>
          <w:color w:val="auto"/>
          <w:sz w:val="22"/>
          <w:highlight w:val="none"/>
        </w:rPr>
        <w:t>附件一</w:t>
      </w:r>
      <w:bookmarkEnd w:id="29"/>
      <w:bookmarkEnd w:id="30"/>
    </w:p>
    <w:p w14:paraId="08DEAF0F">
      <w:pPr>
        <w:spacing w:line="400" w:lineRule="exact"/>
        <w:jc w:val="center"/>
        <w:outlineLvl w:val="2"/>
        <w:rPr>
          <w:rFonts w:hint="eastAsia" w:ascii="宋体" w:hAnsi="宋体" w:eastAsia="宋体" w:cs="宋体"/>
          <w:b/>
          <w:bCs/>
          <w:color w:val="auto"/>
          <w:sz w:val="28"/>
          <w:szCs w:val="28"/>
          <w:highlight w:val="none"/>
        </w:rPr>
      </w:pPr>
      <w:bookmarkStart w:id="31" w:name="_Toc13365"/>
      <w:bookmarkStart w:id="32" w:name="_Toc5430"/>
      <w:r>
        <w:rPr>
          <w:rFonts w:hint="eastAsia" w:ascii="宋体" w:hAnsi="宋体" w:eastAsia="宋体" w:cs="宋体"/>
          <w:b/>
          <w:bCs/>
          <w:color w:val="auto"/>
          <w:sz w:val="28"/>
          <w:szCs w:val="28"/>
          <w:highlight w:val="none"/>
        </w:rPr>
        <w:t>报价文件</w:t>
      </w:r>
      <w:bookmarkEnd w:id="31"/>
      <w:bookmarkEnd w:id="32"/>
    </w:p>
    <w:p w14:paraId="4CF46BE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color w:val="auto"/>
          <w:sz w:val="28"/>
          <w:szCs w:val="28"/>
          <w:highlight w:val="none"/>
          <w:lang w:val="zh-CN"/>
        </w:rPr>
      </w:pPr>
    </w:p>
    <w:p w14:paraId="182FAC87">
      <w:pPr>
        <w:spacing w:line="400" w:lineRule="exact"/>
        <w:jc w:val="center"/>
        <w:outlineLvl w:val="3"/>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1、投标函</w:t>
      </w:r>
    </w:p>
    <w:p w14:paraId="772E3466">
      <w:pPr>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温州市中医院</w:t>
      </w:r>
    </w:p>
    <w:p w14:paraId="0393A8AA">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项目（招标编号：</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（投标人名称）作为投标人正式授权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（授权代表全名，职务）代表我方处理有关本投标的一切事宜。为此：</w:t>
      </w:r>
    </w:p>
    <w:p w14:paraId="49B0CFA6">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1、我方同意在投标人</w:t>
      </w:r>
      <w:r>
        <w:rPr>
          <w:rFonts w:hint="eastAsia" w:ascii="宋体" w:hAnsi="宋体" w:eastAsia="宋体" w:cs="宋体"/>
          <w:color w:val="auto"/>
          <w:kern w:val="44"/>
          <w:sz w:val="22"/>
          <w:szCs w:val="22"/>
          <w:highlight w:val="none"/>
        </w:rPr>
        <w:t>编制和提交投标文件须知</w:t>
      </w:r>
      <w:r>
        <w:rPr>
          <w:rFonts w:hint="eastAsia" w:ascii="宋体" w:hAnsi="宋体" w:eastAsia="宋体" w:cs="宋体"/>
          <w:color w:val="auto"/>
          <w:sz w:val="22"/>
          <w:szCs w:val="22"/>
          <w:highlight w:val="none"/>
        </w:rPr>
        <w:t>规定的开标日期起遵守本投标书中的承诺且在投标有效期满之前均具有约束力。</w:t>
      </w:r>
    </w:p>
    <w:p w14:paraId="7E9F23FE">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2、我方承诺已经具备《中华人民共和国政府采购法》中规定的参加政府采购活动的供应商应当具备的条件：</w:t>
      </w:r>
    </w:p>
    <w:p w14:paraId="3301DB69">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4C5476F7">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(2)遵守国家法律、行政法规，具有良好的信誉和商业道德；</w:t>
      </w:r>
    </w:p>
    <w:p w14:paraId="46143A89">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(3)具有履行合同的能力和良好的履行合同记录；</w:t>
      </w:r>
    </w:p>
    <w:p w14:paraId="6A5EC095">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(4)良好的资金、财务状况；</w:t>
      </w:r>
    </w:p>
    <w:p w14:paraId="63812DF9">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(5)提供的产品和服务符合中国政府规定的相应标准和环保标准；</w:t>
      </w:r>
    </w:p>
    <w:p w14:paraId="263E70A7">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(6)没有违反政府采购法规、政策的记录；</w:t>
      </w:r>
    </w:p>
    <w:p w14:paraId="62C1B229">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(7)没有发生重大经济纠纷和走私犯罪记录。</w:t>
      </w:r>
    </w:p>
    <w:p w14:paraId="7A1236CE">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3、提供</w:t>
      </w:r>
      <w:r>
        <w:rPr>
          <w:rFonts w:hint="eastAsia" w:ascii="宋体" w:hAnsi="宋体" w:eastAsia="宋体" w:cs="宋体"/>
          <w:color w:val="auto"/>
          <w:kern w:val="44"/>
          <w:sz w:val="22"/>
          <w:szCs w:val="22"/>
          <w:highlight w:val="none"/>
        </w:rPr>
        <w:t>编制和提交投标文件须知</w:t>
      </w:r>
      <w:r>
        <w:rPr>
          <w:rFonts w:hint="eastAsia" w:ascii="宋体" w:hAnsi="宋体" w:eastAsia="宋体" w:cs="宋体"/>
          <w:color w:val="auto"/>
          <w:sz w:val="22"/>
          <w:szCs w:val="22"/>
          <w:highlight w:val="none"/>
        </w:rPr>
        <w:t>规定的全部投标文件，包括资格文件、报价文件、商务技术文件。具体内容为：</w:t>
      </w:r>
    </w:p>
    <w:p w14:paraId="4F44024E">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(1)资格文件</w:t>
      </w:r>
    </w:p>
    <w:p w14:paraId="5C2517F4">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(2)报价文件；</w:t>
      </w:r>
    </w:p>
    <w:p w14:paraId="5194A25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商务</w:t>
      </w:r>
      <w:r>
        <w:rPr>
          <w:rFonts w:hint="eastAsia" w:ascii="宋体" w:hAnsi="宋体" w:eastAsia="宋体" w:cs="宋体"/>
          <w:color w:val="auto"/>
          <w:kern w:val="0"/>
          <w:sz w:val="22"/>
          <w:szCs w:val="22"/>
          <w:highlight w:val="none"/>
          <w:lang w:val="zh-CN"/>
        </w:rPr>
        <w:t>技术文件</w:t>
      </w:r>
      <w:r>
        <w:rPr>
          <w:rFonts w:hint="eastAsia" w:ascii="宋体" w:hAnsi="宋体" w:eastAsia="宋体" w:cs="宋体"/>
          <w:color w:val="auto"/>
          <w:sz w:val="22"/>
          <w:szCs w:val="22"/>
          <w:highlight w:val="none"/>
        </w:rPr>
        <w:t>；</w:t>
      </w:r>
    </w:p>
    <w:p w14:paraId="6DC5BC9F">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kern w:val="44"/>
          <w:sz w:val="22"/>
          <w:szCs w:val="22"/>
          <w:highlight w:val="none"/>
        </w:rPr>
        <w:t>编制和提交投标文件须知</w:t>
      </w:r>
      <w:r>
        <w:rPr>
          <w:rFonts w:hint="eastAsia" w:ascii="宋体" w:hAnsi="宋体" w:eastAsia="宋体" w:cs="宋体"/>
          <w:color w:val="auto"/>
          <w:sz w:val="22"/>
          <w:szCs w:val="22"/>
          <w:highlight w:val="none"/>
        </w:rPr>
        <w:t>要求投标人提交的全部文件；</w:t>
      </w:r>
    </w:p>
    <w:p w14:paraId="17A5ED3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(5)按招标文件要求提供和交付的货物和服务的投标报价详见开标一览表；</w:t>
      </w:r>
    </w:p>
    <w:p w14:paraId="4B676335">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(6)保证忠实地执行双方所签订的合同，并承担合同规定的责任和义务；</w:t>
      </w:r>
    </w:p>
    <w:p w14:paraId="1EF6A0D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(7)保证遵守招标文件中的其他有关规定。</w:t>
      </w:r>
    </w:p>
    <w:p w14:paraId="0832A96B">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4、投标有效期内不撤销投标文件，如中标，有效期将延至合同终止日为止。</w:t>
      </w:r>
    </w:p>
    <w:p w14:paraId="703B611E">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5、我方完全理解贵方不一定要接受最低价的投标。</w:t>
      </w:r>
    </w:p>
    <w:p w14:paraId="64CE1106">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6、如中标，按招标文件规定与招标人签订合同。如拒绝签订合同，承诺按本项目预算金额的2%对招标人进行赔偿；赔偿金额不足以弥补招标人损失的，承诺继续承担超过部分的损失。</w:t>
      </w:r>
    </w:p>
    <w:p w14:paraId="0601E1D5">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7、如中标，按招标文件规定的招标代理服务费标准，在领取中标通知书时向招标代理机构支付招标代理服务费。</w:t>
      </w:r>
    </w:p>
    <w:p w14:paraId="50484A17">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8、我方愿意向贵方提供任何与该项投标有关的数据、情况和服务资料。若贵方需要，我方愿意提供我方作出的一切承诺的证明材料。</w:t>
      </w:r>
    </w:p>
    <w:p w14:paraId="72B9559F">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2F64051F">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D7A30C">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(1)提供虚假材料谋取中标、成交的；</w:t>
      </w:r>
    </w:p>
    <w:p w14:paraId="5FAA0A58">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(2)采取不正当手段诋毁、排挤其他供应商的；</w:t>
      </w:r>
    </w:p>
    <w:p w14:paraId="6A756412">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(3)与招标人、其它供应商或者招标代理机构恶意串通的；</w:t>
      </w:r>
    </w:p>
    <w:p w14:paraId="58407C9B">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(4)向招标人、招标代理机构行贿或者提供其他不正当利益的；</w:t>
      </w:r>
    </w:p>
    <w:p w14:paraId="53DBF92A">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(5)在招标采购过程中与招标人进行协商谈判的；</w:t>
      </w:r>
    </w:p>
    <w:p w14:paraId="104079DD">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(6)拒绝有关部门监督检查或提供虚假情况的。</w:t>
      </w:r>
    </w:p>
    <w:p w14:paraId="422E7559">
      <w:pPr>
        <w:shd w:val="clear" w:color="auto" w:fill="FFFFFF"/>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供应商有前款第(1)至(5)项情形之一的，中标、成交无效。</w:t>
      </w:r>
    </w:p>
    <w:p w14:paraId="103549AB">
      <w:pPr>
        <w:shd w:val="clear" w:color="auto" w:fill="FFFFFF"/>
        <w:snapToGrid w:val="0"/>
        <w:spacing w:line="360" w:lineRule="auto"/>
        <w:rPr>
          <w:rFonts w:hint="eastAsia" w:ascii="宋体" w:hAnsi="宋体" w:eastAsia="宋体" w:cs="宋体"/>
          <w:color w:val="auto"/>
          <w:kern w:val="0"/>
          <w:sz w:val="22"/>
          <w:szCs w:val="22"/>
          <w:highlight w:val="none"/>
          <w:lang w:val="zh-CN"/>
        </w:rPr>
      </w:pPr>
    </w:p>
    <w:p w14:paraId="002F55A2">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法定（授权）代表人（签字）：</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p>
    <w:p w14:paraId="49474792">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u w:val="single"/>
          <w:lang w:val="zh-CN"/>
        </w:rPr>
      </w:pPr>
      <w:r>
        <w:rPr>
          <w:rFonts w:hint="eastAsia" w:ascii="宋体" w:hAnsi="宋体" w:eastAsia="宋体" w:cs="宋体"/>
          <w:color w:val="auto"/>
          <w:kern w:val="0"/>
          <w:sz w:val="22"/>
          <w:szCs w:val="22"/>
          <w:highlight w:val="none"/>
          <w:lang w:val="zh-CN"/>
        </w:rPr>
        <w:t>投标人</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盖章</w:t>
      </w:r>
      <w:r>
        <w:rPr>
          <w:rFonts w:hint="eastAsia" w:ascii="宋体" w:hAnsi="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u w:val="single"/>
          <w:lang w:val="zh-CN"/>
        </w:rPr>
        <w:t xml:space="preserve">                     </w:t>
      </w:r>
    </w:p>
    <w:p w14:paraId="25BEA158">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u w:val="single"/>
          <w:lang w:val="zh-CN"/>
        </w:rPr>
      </w:pPr>
      <w:r>
        <w:rPr>
          <w:rFonts w:hint="eastAsia" w:ascii="宋体" w:hAnsi="宋体" w:eastAsia="宋体" w:cs="宋体"/>
          <w:color w:val="auto"/>
          <w:kern w:val="0"/>
          <w:sz w:val="22"/>
          <w:szCs w:val="22"/>
          <w:highlight w:val="none"/>
          <w:lang w:val="zh-CN"/>
        </w:rPr>
        <w:t xml:space="preserve">联系电话： </w:t>
      </w:r>
      <w:r>
        <w:rPr>
          <w:rFonts w:hint="eastAsia" w:ascii="宋体" w:hAnsi="宋体" w:eastAsia="宋体" w:cs="宋体"/>
          <w:color w:val="auto"/>
          <w:kern w:val="0"/>
          <w:sz w:val="22"/>
          <w:szCs w:val="22"/>
          <w:highlight w:val="none"/>
          <w:u w:val="single"/>
          <w:lang w:val="zh-CN"/>
        </w:rPr>
        <w:t xml:space="preserve">          </w:t>
      </w:r>
    </w:p>
    <w:p w14:paraId="363BFF82">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电子邮件：  </w:t>
      </w:r>
      <w:r>
        <w:rPr>
          <w:rFonts w:hint="eastAsia" w:ascii="宋体" w:hAnsi="宋体" w:eastAsia="宋体" w:cs="宋体"/>
          <w:color w:val="auto"/>
          <w:kern w:val="0"/>
          <w:sz w:val="22"/>
          <w:szCs w:val="22"/>
          <w:highlight w:val="none"/>
          <w:u w:val="single"/>
          <w:lang w:val="zh-CN"/>
        </w:rPr>
        <w:t xml:space="preserve">              </w:t>
      </w:r>
    </w:p>
    <w:p w14:paraId="50B88269">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联系地址：</w:t>
      </w:r>
      <w:r>
        <w:rPr>
          <w:rFonts w:hint="eastAsia" w:ascii="宋体" w:hAnsi="宋体" w:eastAsia="宋体" w:cs="宋体"/>
          <w:color w:val="auto"/>
          <w:kern w:val="0"/>
          <w:sz w:val="22"/>
          <w:szCs w:val="22"/>
          <w:highlight w:val="none"/>
          <w:u w:val="single"/>
          <w:lang w:val="zh-CN"/>
        </w:rPr>
        <w:t xml:space="preserve">                    </w:t>
      </w:r>
    </w:p>
    <w:p w14:paraId="6B3EDBD6">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邮政编码：</w:t>
      </w:r>
      <w:r>
        <w:rPr>
          <w:rFonts w:hint="eastAsia" w:ascii="宋体" w:hAnsi="宋体" w:eastAsia="宋体" w:cs="宋体"/>
          <w:color w:val="auto"/>
          <w:kern w:val="0"/>
          <w:sz w:val="22"/>
          <w:szCs w:val="22"/>
          <w:highlight w:val="none"/>
          <w:u w:val="single"/>
          <w:lang w:val="zh-CN"/>
        </w:rPr>
        <w:t xml:space="preserve">                     </w:t>
      </w:r>
    </w:p>
    <w:p w14:paraId="72096336">
      <w:pPr>
        <w:shd w:val="clear" w:color="auto" w:fill="FFFFFF"/>
        <w:snapToGrid w:val="0"/>
        <w:spacing w:line="360" w:lineRule="auto"/>
        <w:ind w:firstLine="440" w:firstLineChars="200"/>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zh-CN"/>
        </w:rPr>
        <w:t>日</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期</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rPr>
        <w:tab/>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日</w:t>
      </w:r>
    </w:p>
    <w:p w14:paraId="58C9A857">
      <w:pPr>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zh-CN"/>
        </w:rPr>
        <w:t>注：未按照本投标响应函要求填报的将被视为非实质性响应，从而可能导致该投标文件被拒绝。</w:t>
      </w:r>
    </w:p>
    <w:p w14:paraId="5D7C9B6F">
      <w:pPr>
        <w:pStyle w:val="22"/>
        <w:ind w:left="442" w:hanging="442"/>
        <w:rPr>
          <w:rFonts w:hint="eastAsia" w:ascii="宋体" w:hAnsi="宋体" w:eastAsia="宋体" w:cs="宋体"/>
          <w:b/>
          <w:bCs/>
          <w:color w:val="auto"/>
          <w:sz w:val="22"/>
          <w:szCs w:val="22"/>
          <w:highlight w:val="none"/>
        </w:rPr>
      </w:pPr>
    </w:p>
    <w:p w14:paraId="7CFA31DA">
      <w:pPr>
        <w:pStyle w:val="22"/>
        <w:ind w:left="442" w:hanging="442"/>
        <w:rPr>
          <w:rFonts w:hint="eastAsia" w:ascii="宋体" w:hAnsi="宋体" w:eastAsia="宋体" w:cs="宋体"/>
          <w:b/>
          <w:bCs/>
          <w:color w:val="auto"/>
          <w:sz w:val="22"/>
          <w:szCs w:val="22"/>
          <w:highlight w:val="none"/>
        </w:rPr>
      </w:pPr>
    </w:p>
    <w:p w14:paraId="2944C17B">
      <w:pPr>
        <w:pStyle w:val="22"/>
        <w:ind w:left="442" w:hanging="442"/>
        <w:rPr>
          <w:rFonts w:hint="eastAsia" w:ascii="宋体" w:hAnsi="宋体" w:eastAsia="宋体" w:cs="宋体"/>
          <w:b/>
          <w:bCs/>
          <w:color w:val="auto"/>
          <w:sz w:val="22"/>
          <w:szCs w:val="22"/>
          <w:highlight w:val="none"/>
        </w:rPr>
      </w:pPr>
    </w:p>
    <w:p w14:paraId="6E032DF0">
      <w:pPr>
        <w:pStyle w:val="22"/>
        <w:ind w:left="442" w:hanging="442"/>
        <w:rPr>
          <w:rFonts w:hint="eastAsia" w:ascii="宋体" w:hAnsi="宋体" w:eastAsia="宋体" w:cs="宋体"/>
          <w:b/>
          <w:bCs/>
          <w:color w:val="auto"/>
          <w:sz w:val="22"/>
          <w:szCs w:val="22"/>
          <w:highlight w:val="none"/>
        </w:rPr>
      </w:pPr>
    </w:p>
    <w:p w14:paraId="21892CBC">
      <w:pPr>
        <w:pStyle w:val="22"/>
        <w:ind w:left="442" w:hanging="442"/>
        <w:rPr>
          <w:rFonts w:hint="eastAsia" w:ascii="宋体" w:hAnsi="宋体" w:eastAsia="宋体" w:cs="宋体"/>
          <w:b/>
          <w:bCs/>
          <w:color w:val="auto"/>
          <w:sz w:val="22"/>
          <w:szCs w:val="22"/>
          <w:highlight w:val="none"/>
        </w:rPr>
      </w:pPr>
    </w:p>
    <w:p w14:paraId="4EFB5EC9">
      <w:pPr>
        <w:pStyle w:val="22"/>
        <w:ind w:left="442" w:hanging="442"/>
        <w:rPr>
          <w:rFonts w:hint="eastAsia" w:ascii="宋体" w:hAnsi="宋体" w:eastAsia="宋体" w:cs="宋体"/>
          <w:b/>
          <w:bCs/>
          <w:color w:val="auto"/>
          <w:sz w:val="22"/>
          <w:szCs w:val="22"/>
          <w:highlight w:val="none"/>
        </w:rPr>
      </w:pPr>
    </w:p>
    <w:p w14:paraId="1B224528">
      <w:pPr>
        <w:pStyle w:val="22"/>
        <w:ind w:left="442" w:hanging="442"/>
        <w:rPr>
          <w:rFonts w:hint="eastAsia" w:ascii="宋体" w:hAnsi="宋体" w:eastAsia="宋体" w:cs="宋体"/>
          <w:b/>
          <w:bCs/>
          <w:color w:val="auto"/>
          <w:sz w:val="22"/>
          <w:szCs w:val="22"/>
          <w:highlight w:val="none"/>
        </w:rPr>
      </w:pPr>
    </w:p>
    <w:p w14:paraId="5F323C52">
      <w:pPr>
        <w:pStyle w:val="22"/>
        <w:ind w:left="442" w:hanging="442"/>
        <w:rPr>
          <w:rFonts w:hint="eastAsia" w:ascii="宋体" w:hAnsi="宋体" w:eastAsia="宋体" w:cs="宋体"/>
          <w:b/>
          <w:bCs/>
          <w:color w:val="auto"/>
          <w:sz w:val="22"/>
          <w:szCs w:val="22"/>
          <w:highlight w:val="none"/>
        </w:rPr>
      </w:pPr>
    </w:p>
    <w:p w14:paraId="4D9D07FE">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4A36C2">
      <w:pPr>
        <w:spacing w:line="400" w:lineRule="exact"/>
        <w:jc w:val="center"/>
        <w:outlineLvl w:val="3"/>
        <w:rPr>
          <w:rFonts w:hint="eastAsia" w:ascii="宋体" w:hAnsi="宋体" w:eastAsia="宋体" w:cs="宋体"/>
          <w:b/>
          <w:color w:val="auto"/>
          <w:sz w:val="22"/>
          <w:szCs w:val="22"/>
          <w:highlight w:val="none"/>
          <w:lang w:val="zh-CN"/>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zh-CN"/>
        </w:rPr>
        <w:t>投标报价一览表</w:t>
      </w:r>
    </w:p>
    <w:p w14:paraId="4E3D62B6">
      <w:pPr>
        <w:spacing w:line="38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w:t>
      </w:r>
    </w:p>
    <w:p w14:paraId="2CFD32ED">
      <w:pPr>
        <w:spacing w:line="38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w:t>
      </w:r>
    </w:p>
    <w:p w14:paraId="03EA6337">
      <w:pPr>
        <w:spacing w:line="36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项目编号：</w:t>
      </w:r>
      <w:r>
        <w:rPr>
          <w:rFonts w:hint="eastAsia" w:ascii="宋体" w:hAnsi="宋体" w:cs="宋体"/>
          <w:b w:val="0"/>
          <w:bCs w:val="0"/>
          <w:color w:val="auto"/>
          <w:sz w:val="22"/>
          <w:szCs w:val="22"/>
          <w:highlight w:val="none"/>
          <w:lang w:eastAsia="zh-CN"/>
        </w:rPr>
        <w:t>WZLCZB（W）-2025-04145</w:t>
      </w:r>
    </w:p>
    <w:p w14:paraId="2196DE7C">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宋体"/>
          <w:lang w:eastAsia="zh-CN"/>
        </w:rPr>
      </w:pPr>
      <w:r>
        <w:rPr>
          <w:rFonts w:hint="eastAsia" w:ascii="宋体" w:hAnsi="宋体" w:eastAsia="宋体" w:cs="宋体"/>
          <w:b w:val="0"/>
          <w:bCs w:val="0"/>
          <w:color w:val="auto"/>
          <w:sz w:val="22"/>
          <w:szCs w:val="22"/>
          <w:highlight w:val="none"/>
        </w:rPr>
        <w:t>项目名称：</w:t>
      </w:r>
      <w:r>
        <w:rPr>
          <w:rFonts w:hint="eastAsia" w:ascii="宋体" w:hAnsi="宋体" w:cs="宋体"/>
          <w:b w:val="0"/>
          <w:bCs w:val="0"/>
          <w:color w:val="auto"/>
          <w:sz w:val="22"/>
          <w:szCs w:val="22"/>
          <w:highlight w:val="none"/>
          <w:lang w:eastAsia="zh-CN"/>
        </w:rPr>
        <w:t>育龄期女性多囊卵巢综合征课题医学检测外送服务</w:t>
      </w:r>
    </w:p>
    <w:tbl>
      <w:tblPr>
        <w:tblStyle w:val="52"/>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4575"/>
        <w:gridCol w:w="3803"/>
      </w:tblGrid>
      <w:tr w14:paraId="6904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vAlign w:val="center"/>
          </w:tcPr>
          <w:p w14:paraId="1D397F37">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4575" w:type="dxa"/>
            <w:vAlign w:val="center"/>
          </w:tcPr>
          <w:p w14:paraId="7549443A">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803" w:type="dxa"/>
            <w:vAlign w:val="center"/>
          </w:tcPr>
          <w:p w14:paraId="609AFEED">
            <w:pPr>
              <w:spacing w:line="460" w:lineRule="exact"/>
              <w:jc w:val="center"/>
              <w:rPr>
                <w:rFonts w:hint="eastAsia" w:ascii="宋体" w:hAnsi="宋体" w:eastAsia="宋体" w:cs="宋体"/>
                <w:color w:val="auto"/>
                <w:sz w:val="22"/>
                <w:highlight w:val="none"/>
              </w:rPr>
            </w:pPr>
            <w:r>
              <w:rPr>
                <w:rFonts w:hint="eastAsia" w:eastAsia="新宋体" w:cs="Times New Roman"/>
                <w:color w:val="auto"/>
                <w:sz w:val="22"/>
                <w:szCs w:val="22"/>
                <w:highlight w:val="none"/>
                <w:lang w:val="en-US" w:eastAsia="zh-CN"/>
              </w:rPr>
              <w:t>投标折扣率</w:t>
            </w:r>
          </w:p>
        </w:tc>
      </w:tr>
      <w:tr w14:paraId="080E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75" w:type="dxa"/>
            <w:vMerge w:val="restart"/>
            <w:vAlign w:val="center"/>
          </w:tcPr>
          <w:p w14:paraId="74513029">
            <w:pPr>
              <w:spacing w:line="38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4575" w:type="dxa"/>
            <w:vAlign w:val="center"/>
          </w:tcPr>
          <w:p w14:paraId="3ACBC82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color w:val="auto"/>
                <w:sz w:val="22"/>
                <w:highlight w:val="none"/>
              </w:rPr>
            </w:pPr>
            <w:r>
              <w:rPr>
                <w:rFonts w:hint="eastAsia" w:ascii="宋体" w:hAnsi="宋体" w:eastAsia="宋体" w:cs="宋体"/>
                <w:b w:val="0"/>
                <w:bCs w:val="0"/>
                <w:color w:val="auto"/>
                <w:sz w:val="22"/>
                <w:szCs w:val="22"/>
                <w:highlight w:val="none"/>
              </w:rPr>
              <w:t>多囊卵巢综合征（PCOS）诊断激素检测</w:t>
            </w:r>
          </w:p>
        </w:tc>
        <w:tc>
          <w:tcPr>
            <w:tcW w:w="3803" w:type="dxa"/>
            <w:vMerge w:val="restart"/>
            <w:vAlign w:val="center"/>
          </w:tcPr>
          <w:p w14:paraId="783B94D1">
            <w:pPr>
              <w:spacing w:line="380" w:lineRule="exact"/>
              <w:ind w:firstLine="1540" w:firstLineChars="700"/>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w:t>
            </w:r>
          </w:p>
        </w:tc>
      </w:tr>
      <w:tr w14:paraId="48C9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75" w:type="dxa"/>
            <w:vMerge w:val="continue"/>
            <w:vAlign w:val="center"/>
          </w:tcPr>
          <w:p w14:paraId="526CC14D">
            <w:pPr>
              <w:spacing w:line="380" w:lineRule="exact"/>
              <w:jc w:val="center"/>
              <w:rPr>
                <w:rFonts w:hint="default" w:ascii="宋体" w:hAnsi="宋体" w:cs="宋体"/>
                <w:color w:val="auto"/>
                <w:sz w:val="22"/>
                <w:highlight w:val="none"/>
                <w:lang w:val="en-US" w:eastAsia="zh-CN"/>
              </w:rPr>
            </w:pPr>
          </w:p>
        </w:tc>
        <w:tc>
          <w:tcPr>
            <w:tcW w:w="4575" w:type="dxa"/>
            <w:vAlign w:val="center"/>
          </w:tcPr>
          <w:p w14:paraId="5FBA1F2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cs="宋体"/>
                <w:b w:val="0"/>
                <w:bCs w:val="0"/>
                <w:color w:val="auto"/>
                <w:sz w:val="22"/>
                <w:szCs w:val="22"/>
                <w:highlight w:val="none"/>
                <w:lang w:eastAsia="zh-CN"/>
              </w:rPr>
            </w:pPr>
            <w:r>
              <w:rPr>
                <w:rFonts w:ascii="宋体" w:hAnsi="宋体" w:eastAsia="宋体" w:cs="宋体"/>
                <w:b w:val="0"/>
                <w:bCs w:val="0"/>
                <w:color w:val="auto"/>
                <w:sz w:val="22"/>
                <w:szCs w:val="22"/>
                <w:highlight w:val="none"/>
              </w:rPr>
              <w:t>多囊卵巢综合征（PCOS）</w:t>
            </w:r>
            <w:r>
              <w:rPr>
                <w:rFonts w:hint="eastAsia" w:ascii="宋体" w:hAnsi="宋体" w:eastAsia="宋体" w:cs="宋体"/>
                <w:b w:val="0"/>
                <w:bCs w:val="0"/>
                <w:color w:val="auto"/>
                <w:sz w:val="22"/>
                <w:szCs w:val="22"/>
                <w:highlight w:val="none"/>
                <w:lang w:val="en-US" w:eastAsia="zh-CN"/>
              </w:rPr>
              <w:t>随访</w:t>
            </w:r>
            <w:r>
              <w:rPr>
                <w:rFonts w:ascii="宋体" w:hAnsi="宋体" w:eastAsia="宋体" w:cs="宋体"/>
                <w:b w:val="0"/>
                <w:bCs w:val="0"/>
                <w:color w:val="auto"/>
                <w:sz w:val="22"/>
                <w:szCs w:val="22"/>
                <w:highlight w:val="none"/>
              </w:rPr>
              <w:t>激素</w:t>
            </w:r>
            <w:r>
              <w:rPr>
                <w:rFonts w:hint="eastAsia" w:ascii="宋体" w:hAnsi="宋体" w:eastAsia="宋体" w:cs="宋体"/>
                <w:b w:val="0"/>
                <w:bCs w:val="0"/>
                <w:color w:val="auto"/>
                <w:sz w:val="22"/>
                <w:szCs w:val="22"/>
                <w:highlight w:val="none"/>
                <w:lang w:val="en-US" w:eastAsia="zh-CN"/>
              </w:rPr>
              <w:t>评估</w:t>
            </w:r>
          </w:p>
        </w:tc>
        <w:tc>
          <w:tcPr>
            <w:tcW w:w="3803" w:type="dxa"/>
            <w:vMerge w:val="continue"/>
            <w:vAlign w:val="center"/>
          </w:tcPr>
          <w:p w14:paraId="0EED23EA">
            <w:pPr>
              <w:spacing w:line="380" w:lineRule="exact"/>
              <w:ind w:firstLine="2200" w:firstLineChars="1000"/>
              <w:rPr>
                <w:rFonts w:hint="default" w:ascii="Times New Roman" w:hAnsi="Times New Roman" w:eastAsia="新宋体" w:cs="Times New Roman"/>
                <w:color w:val="auto"/>
                <w:sz w:val="22"/>
                <w:szCs w:val="22"/>
                <w:highlight w:val="none"/>
                <w:u w:val="single"/>
              </w:rPr>
            </w:pPr>
          </w:p>
        </w:tc>
      </w:tr>
    </w:tbl>
    <w:p w14:paraId="10A4B034">
      <w:pPr>
        <w:spacing w:line="400" w:lineRule="exact"/>
        <w:ind w:firstLine="541" w:firstLineChars="245"/>
        <w:rPr>
          <w:rFonts w:hint="eastAsia" w:ascii="宋体" w:hAnsi="宋体" w:eastAsia="宋体" w:cs="宋体"/>
          <w:b/>
          <w:color w:val="auto"/>
          <w:sz w:val="22"/>
          <w:highlight w:val="none"/>
        </w:rPr>
      </w:pPr>
    </w:p>
    <w:p w14:paraId="771BFD10">
      <w:pPr>
        <w:spacing w:line="40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说明：</w:t>
      </w:r>
    </w:p>
    <w:p w14:paraId="35B52DFE">
      <w:pPr>
        <w:spacing w:line="360" w:lineRule="auto"/>
        <w:ind w:firstLine="663" w:firstLineChars="300"/>
        <w:jc w:val="both"/>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1、不提供此表格将被视为没有实质性响应招标文件</w:t>
      </w:r>
      <w:r>
        <w:rPr>
          <w:rFonts w:hint="eastAsia" w:ascii="宋体" w:hAnsi="宋体" w:eastAsia="宋体" w:cs="宋体"/>
          <w:b/>
          <w:color w:val="auto"/>
          <w:sz w:val="22"/>
          <w:highlight w:val="none"/>
          <w:lang w:eastAsia="zh-CN"/>
        </w:rPr>
        <w:t>。</w:t>
      </w:r>
    </w:p>
    <w:p w14:paraId="0EE877D6">
      <w:pPr>
        <w:spacing w:line="360" w:lineRule="auto"/>
        <w:ind w:firstLine="663" w:firstLineChars="300"/>
        <w:jc w:val="both"/>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折扣</w:t>
      </w:r>
      <w:r>
        <w:rPr>
          <w:rFonts w:hint="eastAsia" w:ascii="宋体" w:hAnsi="宋体" w:eastAsia="宋体" w:cs="宋体"/>
          <w:b/>
          <w:bCs w:val="0"/>
          <w:color w:val="auto"/>
          <w:sz w:val="22"/>
          <w:highlight w:val="none"/>
        </w:rPr>
        <w:t>率小于等于0%或大于100%或未填写的，其投标文件作无效标处理</w:t>
      </w:r>
      <w:r>
        <w:rPr>
          <w:rFonts w:hint="eastAsia" w:ascii="宋体" w:hAnsi="宋体" w:eastAsia="宋体" w:cs="宋体"/>
          <w:b/>
          <w:bCs w:val="0"/>
          <w:color w:val="auto"/>
          <w:sz w:val="22"/>
          <w:highlight w:val="none"/>
          <w:lang w:eastAsia="zh-CN"/>
        </w:rPr>
        <w:t>。</w:t>
      </w:r>
    </w:p>
    <w:p w14:paraId="47610C9A">
      <w:pPr>
        <w:spacing w:line="360" w:lineRule="auto"/>
        <w:jc w:val="center"/>
        <w:rPr>
          <w:rFonts w:hint="eastAsia" w:ascii="宋体" w:hAnsi="宋体" w:eastAsia="宋体" w:cs="宋体"/>
          <w:color w:val="auto"/>
          <w:sz w:val="22"/>
          <w:szCs w:val="22"/>
          <w:highlight w:val="none"/>
        </w:rPr>
      </w:pPr>
    </w:p>
    <w:p w14:paraId="0B13DBE3">
      <w:pPr>
        <w:spacing w:line="360" w:lineRule="auto"/>
        <w:jc w:val="center"/>
        <w:rPr>
          <w:rFonts w:hint="eastAsia" w:ascii="宋体" w:hAnsi="宋体" w:eastAsia="宋体" w:cs="宋体"/>
          <w:color w:val="auto"/>
          <w:sz w:val="22"/>
          <w:szCs w:val="22"/>
          <w:highlight w:val="none"/>
        </w:rPr>
      </w:pPr>
    </w:p>
    <w:p w14:paraId="1C6B9FF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3930366B">
      <w:pPr>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color w:val="auto"/>
          <w:sz w:val="22"/>
          <w:szCs w:val="22"/>
          <w:highlight w:val="none"/>
        </w:rPr>
        <w:t>：</w:t>
      </w:r>
    </w:p>
    <w:p w14:paraId="59533844">
      <w:pP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7968E917">
      <w:pPr>
        <w:pStyle w:val="23"/>
        <w:ind w:left="860" w:hanging="440"/>
        <w:rPr>
          <w:rFonts w:hint="eastAsia" w:ascii="宋体" w:hAnsi="宋体" w:eastAsia="宋体" w:cs="宋体"/>
          <w:color w:val="auto"/>
          <w:sz w:val="22"/>
          <w:szCs w:val="22"/>
          <w:highlight w:val="none"/>
        </w:rPr>
      </w:pPr>
    </w:p>
    <w:p w14:paraId="608D2706">
      <w:pPr>
        <w:pStyle w:val="23"/>
        <w:ind w:left="860" w:hanging="440"/>
        <w:rPr>
          <w:rFonts w:hint="eastAsia" w:ascii="宋体" w:hAnsi="宋体" w:eastAsia="宋体" w:cs="宋体"/>
          <w:color w:val="auto"/>
          <w:sz w:val="22"/>
          <w:szCs w:val="22"/>
          <w:highlight w:val="none"/>
        </w:rPr>
      </w:pPr>
    </w:p>
    <w:p w14:paraId="29B75AEB">
      <w:pPr>
        <w:pStyle w:val="23"/>
        <w:ind w:left="860" w:hanging="440"/>
        <w:rPr>
          <w:rFonts w:hint="eastAsia" w:ascii="宋体" w:hAnsi="宋体" w:eastAsia="宋体" w:cs="宋体"/>
          <w:color w:val="auto"/>
          <w:sz w:val="22"/>
          <w:szCs w:val="22"/>
          <w:highlight w:val="none"/>
        </w:rPr>
      </w:pPr>
    </w:p>
    <w:p w14:paraId="5E6B9BB1">
      <w:pPr>
        <w:pStyle w:val="23"/>
        <w:ind w:left="860" w:hanging="440"/>
        <w:rPr>
          <w:rFonts w:hint="eastAsia" w:ascii="宋体" w:hAnsi="宋体" w:eastAsia="宋体" w:cs="宋体"/>
          <w:color w:val="auto"/>
          <w:sz w:val="22"/>
          <w:szCs w:val="22"/>
          <w:highlight w:val="none"/>
        </w:rPr>
      </w:pPr>
    </w:p>
    <w:p w14:paraId="7DC42A30">
      <w:pPr>
        <w:pStyle w:val="23"/>
        <w:ind w:left="860" w:hanging="440"/>
        <w:rPr>
          <w:rFonts w:hint="eastAsia" w:ascii="宋体" w:hAnsi="宋体" w:eastAsia="宋体" w:cs="宋体"/>
          <w:color w:val="auto"/>
          <w:sz w:val="22"/>
          <w:szCs w:val="22"/>
          <w:highlight w:val="none"/>
        </w:rPr>
      </w:pPr>
    </w:p>
    <w:p w14:paraId="7743B0CF">
      <w:pPr>
        <w:pStyle w:val="23"/>
        <w:ind w:left="860" w:hanging="440"/>
        <w:rPr>
          <w:rFonts w:hint="eastAsia" w:ascii="宋体" w:hAnsi="宋体" w:eastAsia="宋体" w:cs="宋体"/>
          <w:color w:val="auto"/>
          <w:sz w:val="22"/>
          <w:szCs w:val="22"/>
          <w:highlight w:val="none"/>
        </w:rPr>
      </w:pPr>
    </w:p>
    <w:p w14:paraId="32E5E0C8">
      <w:pPr>
        <w:pStyle w:val="23"/>
        <w:ind w:left="860" w:hanging="440"/>
        <w:rPr>
          <w:rFonts w:hint="eastAsia" w:ascii="宋体" w:hAnsi="宋体" w:eastAsia="宋体" w:cs="宋体"/>
          <w:color w:val="auto"/>
          <w:sz w:val="22"/>
          <w:szCs w:val="22"/>
          <w:highlight w:val="none"/>
        </w:rPr>
      </w:pPr>
    </w:p>
    <w:p w14:paraId="781F3747">
      <w:pPr>
        <w:rPr>
          <w:rFonts w:hint="eastAsia" w:ascii="宋体" w:hAnsi="宋体" w:eastAsia="宋体" w:cs="宋体"/>
          <w:b/>
          <w:color w:val="auto"/>
          <w:sz w:val="22"/>
          <w:szCs w:val="22"/>
          <w:highlight w:val="none"/>
        </w:rPr>
      </w:pPr>
      <w:r>
        <w:rPr>
          <w:rFonts w:hint="eastAsia" w:ascii="宋体" w:hAnsi="宋体" w:eastAsia="宋体" w:cs="宋体"/>
          <w:b/>
          <w:color w:val="auto"/>
          <w:sz w:val="28"/>
          <w:szCs w:val="28"/>
          <w:highlight w:val="none"/>
          <w:lang w:val="zh-CN"/>
        </w:rPr>
        <w:br w:type="page"/>
      </w:r>
    </w:p>
    <w:p w14:paraId="51E81D15">
      <w:pPr>
        <w:pStyle w:val="22"/>
        <w:spacing w:line="460" w:lineRule="exact"/>
        <w:ind w:left="433" w:hanging="433" w:hangingChars="196"/>
        <w:outlineLvl w:val="1"/>
        <w:rPr>
          <w:rFonts w:hint="eastAsia" w:ascii="宋体" w:hAnsi="宋体" w:eastAsia="宋体" w:cs="宋体"/>
          <w:b/>
          <w:color w:val="auto"/>
          <w:sz w:val="22"/>
          <w:szCs w:val="22"/>
          <w:highlight w:val="none"/>
        </w:rPr>
      </w:pPr>
      <w:bookmarkStart w:id="33" w:name="_Toc19402"/>
      <w:bookmarkStart w:id="34" w:name="_Toc12035"/>
      <w:r>
        <w:rPr>
          <w:rFonts w:hint="eastAsia" w:ascii="宋体" w:hAnsi="宋体" w:eastAsia="宋体" w:cs="宋体"/>
          <w:b/>
          <w:color w:val="auto"/>
          <w:sz w:val="22"/>
          <w:szCs w:val="22"/>
          <w:highlight w:val="none"/>
        </w:rPr>
        <w:t>附件二</w:t>
      </w:r>
      <w:bookmarkEnd w:id="33"/>
      <w:bookmarkEnd w:id="34"/>
    </w:p>
    <w:p w14:paraId="137C6014">
      <w:pPr>
        <w:spacing w:line="460" w:lineRule="exact"/>
        <w:jc w:val="center"/>
        <w:outlineLvl w:val="2"/>
        <w:rPr>
          <w:rFonts w:hint="eastAsia" w:ascii="宋体" w:hAnsi="宋体" w:eastAsia="宋体" w:cs="宋体"/>
          <w:color w:val="auto"/>
          <w:sz w:val="28"/>
          <w:szCs w:val="28"/>
          <w:highlight w:val="none"/>
        </w:rPr>
      </w:pPr>
      <w:bookmarkStart w:id="35" w:name="_Toc4718"/>
      <w:bookmarkStart w:id="36" w:name="_Toc25309"/>
      <w:r>
        <w:rPr>
          <w:rFonts w:hint="eastAsia" w:ascii="宋体" w:hAnsi="宋体" w:eastAsia="宋体" w:cs="宋体"/>
          <w:b/>
          <w:bCs/>
          <w:color w:val="auto"/>
          <w:sz w:val="32"/>
          <w:szCs w:val="32"/>
          <w:highlight w:val="none"/>
        </w:rPr>
        <w:t>资格证明文件</w:t>
      </w:r>
      <w:bookmarkEnd w:id="35"/>
      <w:bookmarkEnd w:id="36"/>
      <w:r>
        <w:rPr>
          <w:rFonts w:hint="eastAsia" w:ascii="宋体" w:hAnsi="宋体" w:eastAsia="宋体" w:cs="宋体"/>
          <w:color w:val="auto"/>
          <w:sz w:val="28"/>
          <w:szCs w:val="28"/>
          <w:highlight w:val="none"/>
        </w:rPr>
        <w:t xml:space="preserve"> </w:t>
      </w:r>
    </w:p>
    <w:p w14:paraId="7E92341B">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9"/>
        <w:rPr>
          <w:rFonts w:hint="eastAsia" w:cs="宋体"/>
          <w:b/>
          <w:bCs w:val="0"/>
          <w:color w:val="auto"/>
          <w:kern w:val="0"/>
          <w:sz w:val="32"/>
          <w:szCs w:val="32"/>
          <w:highlight w:val="none"/>
          <w:lang w:val="en-US" w:eastAsia="zh-CN" w:bidi="ar-SA"/>
        </w:rPr>
      </w:pPr>
      <w:bookmarkStart w:id="37" w:name="_Toc16516"/>
      <w:bookmarkStart w:id="38" w:name="_Toc31356"/>
    </w:p>
    <w:p w14:paraId="68FE58BF">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ascii="宋体" w:hAnsi="宋体" w:eastAsia="宋体" w:cs="宋体"/>
          <w:b/>
          <w:bCs w:val="0"/>
          <w:color w:val="auto"/>
          <w:sz w:val="28"/>
          <w:szCs w:val="28"/>
          <w:highlight w:val="none"/>
        </w:rPr>
      </w:pPr>
      <w:r>
        <w:rPr>
          <w:rFonts w:hint="eastAsia" w:cs="宋体"/>
          <w:b/>
          <w:bCs w:val="0"/>
          <w:color w:val="auto"/>
          <w:kern w:val="0"/>
          <w:sz w:val="28"/>
          <w:szCs w:val="28"/>
          <w:highlight w:val="none"/>
          <w:lang w:val="en-US" w:eastAsia="zh-CN" w:bidi="ar-SA"/>
        </w:rPr>
        <w:t>1、</w:t>
      </w:r>
      <w:r>
        <w:rPr>
          <w:rFonts w:hint="eastAsia" w:ascii="宋体" w:hAnsi="宋体" w:eastAsia="宋体" w:cs="宋体"/>
          <w:b/>
          <w:bCs w:val="0"/>
          <w:color w:val="auto"/>
          <w:kern w:val="0"/>
          <w:sz w:val="28"/>
          <w:szCs w:val="28"/>
          <w:highlight w:val="none"/>
          <w:lang w:val="en-US" w:eastAsia="zh-CN" w:bidi="ar-SA"/>
        </w:rPr>
        <w:t>资格条件承诺函</w:t>
      </w:r>
    </w:p>
    <w:p w14:paraId="70B706C9">
      <w:pPr>
        <w:shd w:val="clear" w:color="auto" w:fill="FFFFFF"/>
        <w:snapToGrid w:val="0"/>
        <w:spacing w:line="44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温州市中医院</w:t>
      </w:r>
      <w:r>
        <w:rPr>
          <w:rFonts w:hint="eastAsia" w:ascii="宋体" w:hAnsi="宋体" w:eastAsia="宋体" w:cs="宋体"/>
          <w:color w:val="auto"/>
          <w:sz w:val="22"/>
          <w:szCs w:val="22"/>
          <w:highlight w:val="none"/>
        </w:rPr>
        <w:t>、温州历程招标有限公司：</w:t>
      </w:r>
    </w:p>
    <w:p w14:paraId="02EE88FD">
      <w:pPr>
        <w:widowControl/>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（采购项目名称、编号）投标，现郑重承诺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rPr>
        <w:t>参加本次政府采购活动前3年内</w:t>
      </w:r>
      <w:r>
        <w:rPr>
          <w:rFonts w:hint="eastAsia" w:ascii="宋体" w:hAnsi="宋体" w:eastAsia="宋体" w:cs="宋体"/>
          <w:color w:val="auto"/>
          <w:sz w:val="22"/>
          <w:szCs w:val="22"/>
          <w:highlight w:val="none"/>
        </w:rPr>
        <w:t>：</w:t>
      </w:r>
    </w:p>
    <w:p w14:paraId="46B28818">
      <w:pPr>
        <w:widowControl/>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1、我方符合《中华人民共和国政府采购法》第22条规定的资格条件，即</w:t>
      </w:r>
    </w:p>
    <w:p w14:paraId="11F6FCDB">
      <w:pPr>
        <w:widowControl/>
        <w:snapToGrid w:val="0"/>
        <w:spacing w:line="440" w:lineRule="exact"/>
        <w:ind w:left="420" w:leftChars="200" w:firstLine="220"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（1）我方具有独立承担民事责任的能力；</w:t>
      </w:r>
    </w:p>
    <w:p w14:paraId="633CA7AC">
      <w:pPr>
        <w:widowControl/>
        <w:snapToGrid w:val="0"/>
        <w:spacing w:line="440" w:lineRule="exact"/>
        <w:ind w:left="420" w:leftChars="200" w:firstLine="220"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（2）我方具有良好的商业信誉和健全的财务会计制度；</w:t>
      </w:r>
    </w:p>
    <w:p w14:paraId="71801117">
      <w:pPr>
        <w:widowControl/>
        <w:snapToGrid w:val="0"/>
        <w:spacing w:line="440" w:lineRule="exact"/>
        <w:ind w:left="420" w:leftChars="200" w:firstLine="220"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（3）我方具有履行合同所必需的设备和专业技术能力；</w:t>
      </w:r>
    </w:p>
    <w:p w14:paraId="3DF32DFB">
      <w:pPr>
        <w:widowControl/>
        <w:snapToGrid w:val="0"/>
        <w:spacing w:line="440" w:lineRule="exact"/>
        <w:ind w:left="420" w:leftChars="200" w:firstLine="220"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（4）我方有依法缴纳税收和社会保障资金的良好记录；</w:t>
      </w:r>
    </w:p>
    <w:p w14:paraId="1D51EFC8">
      <w:pPr>
        <w:widowControl/>
        <w:snapToGrid w:val="0"/>
        <w:spacing w:line="440" w:lineRule="exact"/>
        <w:ind w:left="989" w:leftChars="314" w:hanging="330" w:hangingChars="15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CB5E54F">
      <w:pPr>
        <w:widowControl/>
        <w:spacing w:line="440" w:lineRule="exact"/>
        <w:ind w:left="479" w:leftChars="228" w:firstLine="180" w:firstLineChars="82"/>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2、到本项目投标截止时间为止，</w:t>
      </w:r>
      <w:r>
        <w:rPr>
          <w:rFonts w:hint="eastAsia" w:ascii="宋体" w:hAnsi="宋体" w:cs="宋体"/>
          <w:color w:val="auto"/>
          <w:kern w:val="0"/>
          <w:sz w:val="22"/>
          <w:szCs w:val="22"/>
          <w:highlight w:val="none"/>
        </w:rPr>
        <w:t>我方未被“信用中国（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2"/>
          <w:szCs w:val="22"/>
          <w:highlight w:val="none"/>
        </w:rPr>
        <w:t>www.creditchina.gov.cn）、</w: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中国政府采购网（www.ccgp.gov.cn）</w:t>
      </w:r>
      <w:r>
        <w:rPr>
          <w:rFonts w:hint="eastAsia"/>
          <w:color w:val="auto"/>
          <w:sz w:val="22"/>
          <w:szCs w:val="22"/>
          <w:highlight w:val="none"/>
        </w:rPr>
        <w:t>等有关政府曝光台</w:t>
      </w:r>
      <w:r>
        <w:rPr>
          <w:rFonts w:hint="eastAsia" w:ascii="宋体" w:hAnsi="宋体" w:cs="宋体"/>
          <w:color w:val="auto"/>
          <w:kern w:val="0"/>
          <w:sz w:val="22"/>
          <w:szCs w:val="22"/>
          <w:highlight w:val="none"/>
        </w:rPr>
        <w:t>列入失信被执行人名单、重大税收违法案件当事人名单、政府采购严重违法失信行为记录名单。</w:t>
      </w:r>
    </w:p>
    <w:p w14:paraId="1B7D2C6A">
      <w:pPr>
        <w:widowControl/>
        <w:spacing w:line="440" w:lineRule="exact"/>
        <w:ind w:left="479" w:leftChars="228" w:firstLine="180" w:firstLineChars="82"/>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3、我方与参加本次项目同一合同项下政府采购活动的其他供应商不存在单位负责人为同一人或者直接控股、管理关系。</w:t>
      </w:r>
    </w:p>
    <w:p w14:paraId="1AC6957F">
      <w:pPr>
        <w:widowControl/>
        <w:spacing w:line="440" w:lineRule="exact"/>
        <w:ind w:left="479" w:leftChars="228" w:firstLine="180" w:firstLineChars="82"/>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4、我方</w:t>
      </w:r>
      <w:r>
        <w:rPr>
          <w:rFonts w:hint="eastAsia" w:ascii="宋体" w:hAnsi="宋体" w:eastAsia="宋体" w:cs="宋体"/>
          <w:color w:val="auto"/>
          <w:kern w:val="0"/>
          <w:sz w:val="22"/>
          <w:szCs w:val="22"/>
          <w:highlight w:val="none"/>
        </w:rPr>
        <w:t>不属于公益一类事业单位。</w:t>
      </w:r>
    </w:p>
    <w:p w14:paraId="3453851C">
      <w:pPr>
        <w:widowControl/>
        <w:snapToGrid w:val="0"/>
        <w:spacing w:line="440" w:lineRule="exact"/>
        <w:ind w:firstLine="440" w:firstLineChars="200"/>
        <w:jc w:val="left"/>
        <w:rPr>
          <w:rFonts w:hint="eastAsia" w:ascii="宋体" w:hAnsi="宋体" w:eastAsia="宋体" w:cs="宋体"/>
          <w:color w:val="auto"/>
          <w:kern w:val="0"/>
          <w:sz w:val="22"/>
          <w:szCs w:val="22"/>
          <w:highlight w:val="none"/>
          <w:lang w:val="en-US" w:eastAsia="zh-CN"/>
        </w:rPr>
      </w:pPr>
    </w:p>
    <w:p w14:paraId="1FADD44E">
      <w:pPr>
        <w:widowControl/>
        <w:snapToGrid w:val="0"/>
        <w:spacing w:line="440" w:lineRule="exact"/>
        <w:ind w:left="210" w:leftChars="100"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以上承诺如有虚假，</w:t>
      </w:r>
      <w:r>
        <w:rPr>
          <w:rFonts w:hint="eastAsia" w:ascii="宋体" w:hAnsi="宋体" w:eastAsia="宋体" w:cs="宋体"/>
          <w:color w:val="auto"/>
          <w:sz w:val="22"/>
          <w:szCs w:val="22"/>
          <w:highlight w:val="none"/>
        </w:rPr>
        <w:t>愿接受取消</w:t>
      </w:r>
      <w:r>
        <w:rPr>
          <w:rFonts w:hint="eastAsia" w:ascii="宋体" w:hAnsi="宋体" w:eastAsia="宋体" w:cs="宋体"/>
          <w:color w:val="auto"/>
          <w:kern w:val="0"/>
          <w:sz w:val="22"/>
          <w:szCs w:val="22"/>
          <w:highlight w:val="none"/>
        </w:rPr>
        <w:t>我方任何资格（投标/成交/签订合同）</w:t>
      </w:r>
      <w:r>
        <w:rPr>
          <w:rFonts w:hint="eastAsia" w:ascii="宋体" w:hAnsi="宋体" w:eastAsia="宋体" w:cs="宋体"/>
          <w:color w:val="auto"/>
          <w:sz w:val="22"/>
          <w:szCs w:val="22"/>
          <w:highlight w:val="none"/>
        </w:rPr>
        <w:t>及其他任何形式的处理。</w:t>
      </w:r>
    </w:p>
    <w:p w14:paraId="3FDD3662">
      <w:pPr>
        <w:widowControl/>
        <w:snapToGrid w:val="0"/>
        <w:spacing w:line="440" w:lineRule="exact"/>
        <w:ind w:firstLine="440" w:firstLineChars="200"/>
        <w:jc w:val="left"/>
        <w:rPr>
          <w:rFonts w:hint="eastAsia" w:ascii="宋体" w:hAnsi="宋体" w:eastAsia="宋体" w:cs="宋体"/>
          <w:color w:val="auto"/>
          <w:kern w:val="0"/>
          <w:sz w:val="22"/>
          <w:szCs w:val="22"/>
          <w:highlight w:val="none"/>
        </w:rPr>
      </w:pPr>
    </w:p>
    <w:p w14:paraId="551F8BB1">
      <w:pPr>
        <w:snapToGrid w:val="0"/>
        <w:spacing w:line="360" w:lineRule="auto"/>
        <w:ind w:firstLine="5060" w:firstLineChars="2300"/>
        <w:rPr>
          <w:rFonts w:hint="eastAsia" w:ascii="宋体" w:hAnsi="宋体" w:eastAsia="宋体" w:cs="宋体"/>
          <w:color w:val="auto"/>
          <w:kern w:val="0"/>
          <w:sz w:val="22"/>
          <w:szCs w:val="22"/>
          <w:highlight w:val="none"/>
          <w:lang w:val="zh-CN"/>
        </w:rPr>
      </w:pPr>
    </w:p>
    <w:p w14:paraId="4439D40B">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投标人全称（盖章）</w:t>
      </w:r>
      <w:r>
        <w:rPr>
          <w:rFonts w:hint="eastAsia" w:ascii="宋体" w:hAnsi="宋体" w:eastAsia="宋体" w:cs="宋体"/>
          <w:color w:val="auto"/>
          <w:kern w:val="0"/>
          <w:sz w:val="22"/>
          <w:szCs w:val="22"/>
          <w:highlight w:val="none"/>
        </w:rPr>
        <w:t xml:space="preserve"> ：</w:t>
      </w:r>
    </w:p>
    <w:p w14:paraId="66E73133">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5ED98C72">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654EF7A9">
      <w:pPr>
        <w:rPr>
          <w:rFonts w:hint="eastAsia" w:ascii="宋体" w:hAnsi="宋体" w:eastAsia="宋体" w:cs="宋体"/>
        </w:rPr>
      </w:pPr>
    </w:p>
    <w:p w14:paraId="326391CB">
      <w:pPr>
        <w:numPr>
          <w:ilvl w:val="0"/>
          <w:numId w:val="0"/>
        </w:numPr>
        <w:spacing w:line="450" w:lineRule="exact"/>
        <w:ind w:firstLine="539" w:firstLineChars="245"/>
        <w:rPr>
          <w:rFonts w:hint="eastAsia" w:ascii="宋体" w:hAnsi="宋体" w:eastAsia="宋体" w:cs="宋体"/>
          <w:color w:val="auto"/>
          <w:sz w:val="22"/>
          <w:szCs w:val="22"/>
          <w:highlight w:val="none"/>
          <w:u w:val="single"/>
        </w:rPr>
      </w:pPr>
    </w:p>
    <w:p w14:paraId="095E2A15">
      <w:pPr>
        <w:numPr>
          <w:ilvl w:val="0"/>
          <w:numId w:val="0"/>
        </w:numPr>
        <w:spacing w:line="450" w:lineRule="exact"/>
        <w:rPr>
          <w:rFonts w:hint="eastAsia" w:ascii="宋体" w:hAnsi="宋体" w:eastAsia="宋体" w:cs="宋体"/>
          <w:b/>
          <w:color w:val="auto"/>
          <w:sz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b/>
          <w:color w:val="auto"/>
          <w:sz w:val="22"/>
          <w:highlight w:val="none"/>
          <w:u w:val="single"/>
        </w:rPr>
        <w:t>不提供此表格将被视为没有实质性响应招标文件</w:t>
      </w:r>
      <w:r>
        <w:rPr>
          <w:rFonts w:hint="eastAsia" w:ascii="宋体" w:hAnsi="宋体" w:cs="宋体"/>
          <w:b/>
          <w:color w:val="auto"/>
          <w:sz w:val="22"/>
          <w:highlight w:val="none"/>
          <w:u w:val="single"/>
          <w:lang w:eastAsia="zh-CN"/>
        </w:rPr>
        <w:t>。</w:t>
      </w:r>
    </w:p>
    <w:p w14:paraId="4941B44A">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both"/>
        <w:textAlignment w:val="auto"/>
        <w:outlineLvl w:val="9"/>
        <w:rPr>
          <w:rFonts w:hint="eastAsia" w:ascii="宋体" w:hAnsi="宋体" w:eastAsia="宋体" w:cs="宋体"/>
          <w:b/>
          <w:bCs w:val="0"/>
          <w:color w:val="auto"/>
          <w:sz w:val="28"/>
          <w:szCs w:val="28"/>
          <w:highlight w:val="none"/>
        </w:rPr>
      </w:pPr>
    </w:p>
    <w:p w14:paraId="5FCD395D">
      <w:pPr>
        <w:rPr>
          <w:rFonts w:hint="eastAsia"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br w:type="page"/>
      </w:r>
    </w:p>
    <w:p w14:paraId="1FD98228">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auto"/>
          <w:kern w:val="0"/>
          <w:sz w:val="28"/>
          <w:szCs w:val="28"/>
          <w:highlight w:val="none"/>
          <w:lang w:val="en-US" w:eastAsia="zh-CN" w:bidi="ar-SA"/>
        </w:rPr>
      </w:pPr>
      <w:r>
        <w:rPr>
          <w:rFonts w:hint="eastAsia" w:cs="宋体"/>
          <w:b/>
          <w:bCs w:val="0"/>
          <w:color w:val="auto"/>
          <w:kern w:val="0"/>
          <w:sz w:val="28"/>
          <w:szCs w:val="28"/>
          <w:highlight w:val="none"/>
          <w:lang w:val="en-US" w:eastAsia="zh-CN" w:bidi="ar-SA"/>
        </w:rPr>
        <w:t>2、有效营业执照</w:t>
      </w:r>
    </w:p>
    <w:p w14:paraId="0B6F606D">
      <w:pPr>
        <w:pStyle w:val="48"/>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color w:val="auto"/>
          <w:sz w:val="24"/>
          <w:szCs w:val="24"/>
          <w:highlight w:val="none"/>
        </w:rPr>
      </w:pPr>
    </w:p>
    <w:p w14:paraId="327F1BC2">
      <w:pPr>
        <w:pStyle w:val="48"/>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投标人须在投标文件中出具符合以下情况的证明材料复印件（五选一）：</w:t>
      </w:r>
    </w:p>
    <w:p w14:paraId="5EFFAF14">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①</w:t>
      </w:r>
      <w:r>
        <w:rPr>
          <w:rFonts w:hint="eastAsia" w:ascii="宋体" w:hAnsi="宋体" w:eastAsia="宋体" w:cs="宋体"/>
          <w:bCs/>
          <w:color w:val="auto"/>
          <w:sz w:val="22"/>
          <w:szCs w:val="22"/>
          <w:highlight w:val="none"/>
        </w:rPr>
        <w:t>如投标人是企业（包括合伙企业），提供在工商部门注册的有效“企业法人营业执照”或“营业执照”；</w:t>
      </w:r>
    </w:p>
    <w:p w14:paraId="373495CA">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②</w:t>
      </w:r>
      <w:r>
        <w:rPr>
          <w:rFonts w:hint="eastAsia" w:ascii="宋体" w:hAnsi="宋体" w:eastAsia="宋体" w:cs="宋体"/>
          <w:bCs/>
          <w:color w:val="auto"/>
          <w:sz w:val="22"/>
          <w:szCs w:val="22"/>
          <w:highlight w:val="none"/>
        </w:rPr>
        <w:t>如投标人是事业单位，提供有效的“事业单位法人证书”；</w:t>
      </w:r>
    </w:p>
    <w:p w14:paraId="5B4BC73D">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③</w:t>
      </w:r>
      <w:r>
        <w:rPr>
          <w:rFonts w:hint="eastAsia" w:ascii="宋体" w:hAnsi="宋体" w:eastAsia="宋体" w:cs="宋体"/>
          <w:bCs/>
          <w:color w:val="auto"/>
          <w:sz w:val="22"/>
          <w:szCs w:val="22"/>
          <w:highlight w:val="none"/>
        </w:rPr>
        <w:t>如投标人是非企业专业服务机构的，提供执业许可证等证明文件；</w:t>
      </w:r>
    </w:p>
    <w:p w14:paraId="7A762ECE">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④</w:t>
      </w:r>
      <w:r>
        <w:rPr>
          <w:rFonts w:hint="eastAsia" w:ascii="宋体" w:hAnsi="宋体" w:eastAsia="宋体" w:cs="宋体"/>
          <w:bCs/>
          <w:color w:val="auto"/>
          <w:sz w:val="22"/>
          <w:szCs w:val="22"/>
          <w:highlight w:val="none"/>
        </w:rPr>
        <w:t>如投标人是个体工商户，提供有效的“个体工商户营业执照”；</w:t>
      </w:r>
    </w:p>
    <w:p w14:paraId="07AF847C">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⑤</w:t>
      </w:r>
      <w:r>
        <w:rPr>
          <w:rFonts w:hint="eastAsia" w:ascii="宋体" w:hAnsi="宋体" w:eastAsia="宋体" w:cs="宋体"/>
          <w:bCs/>
          <w:color w:val="auto"/>
          <w:sz w:val="22"/>
          <w:szCs w:val="22"/>
          <w:highlight w:val="none"/>
        </w:rPr>
        <w:t>如投标人是自然人，提供有效的自然人身份证明（居民身份证正反面或公安机关出具的临时居民身份证正反面或港澳台胞证或护照）。</w:t>
      </w:r>
    </w:p>
    <w:p w14:paraId="25D8DDD3">
      <w:pPr>
        <w:pStyle w:val="48"/>
        <w:tabs>
          <w:tab w:val="left" w:pos="312"/>
        </w:tabs>
        <w:adjustRightInd w:val="0"/>
        <w:snapToGrid w:val="0"/>
        <w:spacing w:before="0" w:beforeAutospacing="0" w:after="0" w:afterAutospacing="0" w:line="360" w:lineRule="auto"/>
        <w:rPr>
          <w:rFonts w:hint="eastAsia" w:ascii="宋体" w:hAnsi="宋体" w:eastAsia="宋体" w:cs="宋体"/>
          <w:bCs/>
          <w:color w:val="auto"/>
          <w:sz w:val="22"/>
          <w:szCs w:val="22"/>
          <w:highlight w:val="none"/>
        </w:rPr>
      </w:pPr>
    </w:p>
    <w:p w14:paraId="2F8E1B82">
      <w:pPr>
        <w:pStyle w:val="218"/>
        <w:tabs>
          <w:tab w:val="left" w:pos="1212"/>
          <w:tab w:val="left" w:pos="3888"/>
        </w:tabs>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0552812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E833B62">
      <w:pPr>
        <w:rPr>
          <w:rFonts w:hint="eastAsia" w:ascii="宋体" w:hAnsi="宋体" w:eastAsia="宋体" w:cs="宋体"/>
        </w:rPr>
      </w:pPr>
    </w:p>
    <w:p w14:paraId="28858AC0">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auto"/>
          <w:kern w:val="0"/>
          <w:sz w:val="28"/>
          <w:szCs w:val="28"/>
          <w:highlight w:val="none"/>
          <w:lang w:val="en-US" w:eastAsia="zh-CN" w:bidi="ar-SA"/>
        </w:rPr>
      </w:pPr>
      <w:r>
        <w:rPr>
          <w:rFonts w:hint="eastAsia" w:cs="宋体"/>
          <w:b/>
          <w:bCs w:val="0"/>
          <w:color w:val="auto"/>
          <w:kern w:val="0"/>
          <w:sz w:val="28"/>
          <w:szCs w:val="28"/>
          <w:highlight w:val="none"/>
          <w:lang w:val="en-US" w:eastAsia="zh-CN" w:bidi="ar-SA"/>
        </w:rPr>
        <w:t>3、投标人信用查询</w:t>
      </w:r>
    </w:p>
    <w:p w14:paraId="541C5904">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1、投标人信用信息查询的查询渠道：“信用中国”(www.creditchina.gov.cn)；“中国政府采购网”（http://www.ccgp.gov.cn/）；</w:t>
      </w:r>
    </w:p>
    <w:p w14:paraId="04F70C22">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2、投标人信用信息查询截止时点：招标公告发布之日至投标截止时间前。</w:t>
      </w:r>
    </w:p>
    <w:p w14:paraId="4A8AB46E">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3、投标人信用信息查询记录和证据留存的具体方式：</w:t>
      </w:r>
      <w:r>
        <w:rPr>
          <w:rFonts w:hint="eastAsia" w:ascii="宋体" w:hAnsi="宋体" w:eastAsia="宋体" w:cs="宋体"/>
          <w:b/>
          <w:bCs/>
          <w:color w:val="auto"/>
          <w:sz w:val="22"/>
          <w:highlight w:val="none"/>
        </w:rPr>
        <w:t>网页截图</w:t>
      </w:r>
      <w:r>
        <w:rPr>
          <w:rFonts w:hint="eastAsia" w:ascii="宋体" w:hAnsi="宋体" w:eastAsia="宋体" w:cs="宋体"/>
          <w:color w:val="auto"/>
          <w:sz w:val="22"/>
          <w:highlight w:val="none"/>
        </w:rPr>
        <w:t>；</w:t>
      </w:r>
    </w:p>
    <w:p w14:paraId="15F8A598">
      <w:pPr>
        <w:tabs>
          <w:tab w:val="left" w:pos="360"/>
        </w:tabs>
        <w:spacing w:line="460" w:lineRule="exact"/>
        <w:ind w:firstLine="550" w:firstLineChars="250"/>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highlight w:val="none"/>
          <w:u w:val="none"/>
        </w:rPr>
        <w:t>4、信用信息的使用规则：对列入失信被执行人、重大税收违法案件当事人名单、政府采购严重违法失信行为记录名单的投标人，其投标将作无效标处理。</w:t>
      </w:r>
    </w:p>
    <w:p w14:paraId="1D5EBB57">
      <w:pPr>
        <w:rPr>
          <w:rFonts w:hint="eastAsia" w:cs="宋体"/>
          <w:b/>
          <w:bCs w:val="0"/>
          <w:color w:val="auto"/>
          <w:kern w:val="0"/>
          <w:sz w:val="28"/>
          <w:szCs w:val="28"/>
          <w:highlight w:val="none"/>
          <w:lang w:val="en-US" w:eastAsia="zh-CN" w:bidi="ar-SA"/>
        </w:rPr>
      </w:pPr>
    </w:p>
    <w:p w14:paraId="2455D8FD">
      <w:pPr>
        <w:rPr>
          <w:rFonts w:hint="eastAsia" w:cs="宋体"/>
          <w:b/>
          <w:bCs w:val="0"/>
          <w:color w:val="auto"/>
          <w:kern w:val="0"/>
          <w:sz w:val="28"/>
          <w:szCs w:val="28"/>
          <w:highlight w:val="none"/>
          <w:lang w:val="en-US" w:eastAsia="zh-CN" w:bidi="ar-SA"/>
        </w:rPr>
      </w:pPr>
      <w:r>
        <w:rPr>
          <w:rFonts w:hint="eastAsia" w:cs="宋体"/>
          <w:b/>
          <w:bCs w:val="0"/>
          <w:color w:val="auto"/>
          <w:kern w:val="0"/>
          <w:sz w:val="28"/>
          <w:szCs w:val="28"/>
          <w:highlight w:val="none"/>
          <w:lang w:val="en-US" w:eastAsia="zh-CN" w:bidi="ar-SA"/>
        </w:rPr>
        <w:br w:type="page"/>
      </w:r>
    </w:p>
    <w:p w14:paraId="28F6E63B">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auto"/>
          <w:kern w:val="0"/>
          <w:sz w:val="28"/>
          <w:szCs w:val="28"/>
          <w:highlight w:val="none"/>
          <w:lang w:val="en-US" w:eastAsia="zh-CN" w:bidi="ar-SA"/>
        </w:rPr>
      </w:pPr>
      <w:r>
        <w:rPr>
          <w:rFonts w:hint="eastAsia" w:cs="宋体"/>
          <w:b/>
          <w:bCs w:val="0"/>
          <w:color w:val="auto"/>
          <w:kern w:val="0"/>
          <w:sz w:val="28"/>
          <w:szCs w:val="28"/>
          <w:highlight w:val="none"/>
          <w:lang w:val="en-US" w:eastAsia="zh-CN" w:bidi="ar-SA"/>
        </w:rPr>
        <w:t>4、政府采购活动现场确认声明书</w:t>
      </w:r>
    </w:p>
    <w:p w14:paraId="32E5C02C">
      <w:pPr>
        <w:spacing w:line="460" w:lineRule="exact"/>
        <w:rPr>
          <w:rFonts w:hint="eastAsia" w:ascii="宋体" w:hAnsi="宋体" w:eastAsia="宋体" w:cs="宋体"/>
          <w:b/>
          <w:bCs/>
          <w:sz w:val="22"/>
          <w:szCs w:val="22"/>
        </w:rPr>
      </w:pPr>
    </w:p>
    <w:p w14:paraId="08DE4D27">
      <w:pPr>
        <w:spacing w:line="460" w:lineRule="exact"/>
        <w:rPr>
          <w:rFonts w:hint="eastAsia" w:ascii="宋体" w:hAnsi="宋体" w:eastAsia="宋体" w:cs="宋体"/>
          <w:b/>
          <w:bCs/>
          <w:sz w:val="22"/>
          <w:szCs w:val="22"/>
        </w:rPr>
      </w:pPr>
      <w:r>
        <w:rPr>
          <w:rFonts w:hint="eastAsia" w:ascii="宋体" w:hAnsi="宋体" w:eastAsia="宋体" w:cs="宋体"/>
          <w:color w:val="auto"/>
          <w:sz w:val="22"/>
          <w:szCs w:val="22"/>
          <w:highlight w:val="none"/>
          <w:lang w:eastAsia="zh-CN"/>
        </w:rPr>
        <w:t>温州历程招标有限公司</w:t>
      </w:r>
      <w:r>
        <w:rPr>
          <w:rFonts w:hint="eastAsia" w:ascii="宋体" w:hAnsi="宋体" w:eastAsia="宋体" w:cs="宋体"/>
          <w:color w:val="auto"/>
          <w:sz w:val="22"/>
          <w:szCs w:val="22"/>
          <w:highlight w:val="none"/>
        </w:rPr>
        <w:t>：</w:t>
      </w:r>
    </w:p>
    <w:p w14:paraId="41B12B81">
      <w:pPr>
        <w:spacing w:line="460" w:lineRule="exact"/>
        <w:ind w:firstLine="440" w:firstLineChars="200"/>
        <w:rPr>
          <w:rFonts w:hint="eastAsia" w:ascii="宋体" w:hAnsi="宋体" w:eastAsia="宋体" w:cs="宋体"/>
          <w:sz w:val="22"/>
          <w:szCs w:val="22"/>
        </w:rPr>
      </w:pPr>
      <w:r>
        <w:rPr>
          <w:rFonts w:hint="eastAsia" w:ascii="宋体" w:hAnsi="宋体" w:eastAsia="宋体" w:cs="宋体"/>
          <w:kern w:val="0"/>
          <w:sz w:val="22"/>
          <w:szCs w:val="22"/>
        </w:rPr>
        <w:t>本人经由</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（供应商名称）负责人</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（姓名）合法授权参加</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项目（编号：</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）采购活动，经与本单位法人代表（负责人）联系确认，现就有关公平竞争事项郑重声明如下：</w:t>
      </w:r>
    </w:p>
    <w:p w14:paraId="20F73682">
      <w:pPr>
        <w:numPr>
          <w:ilvl w:val="0"/>
          <w:numId w:val="2"/>
        </w:numPr>
        <w:spacing w:line="460" w:lineRule="exact"/>
        <w:rPr>
          <w:rFonts w:hint="eastAsia" w:ascii="宋体" w:hAnsi="宋体" w:eastAsia="宋体" w:cs="宋体"/>
          <w:kern w:val="0"/>
          <w:sz w:val="22"/>
          <w:szCs w:val="22"/>
        </w:rPr>
      </w:pPr>
      <w:r>
        <w:rPr>
          <w:rFonts w:hint="eastAsia" w:ascii="宋体" w:hAnsi="宋体" w:eastAsia="宋体" w:cs="宋体"/>
          <w:kern w:val="0"/>
          <w:sz w:val="22"/>
          <w:szCs w:val="22"/>
        </w:rPr>
        <w:t>本单位与招标人之间 □不存在利害关系 □存在下列利害关系：</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A.投资关系    </w:t>
      </w:r>
    </w:p>
    <w:p w14:paraId="670424DD">
      <w:pPr>
        <w:spacing w:line="460" w:lineRule="exact"/>
        <w:ind w:firstLine="660" w:firstLineChars="300"/>
        <w:rPr>
          <w:rFonts w:hint="eastAsia" w:ascii="宋体" w:hAnsi="宋体" w:eastAsia="宋体" w:cs="宋体"/>
          <w:kern w:val="0"/>
          <w:sz w:val="22"/>
          <w:szCs w:val="22"/>
        </w:rPr>
      </w:pPr>
      <w:r>
        <w:rPr>
          <w:rFonts w:hint="eastAsia" w:ascii="宋体" w:hAnsi="宋体" w:eastAsia="宋体" w:cs="宋体"/>
          <w:kern w:val="0"/>
          <w:sz w:val="22"/>
          <w:szCs w:val="22"/>
        </w:rPr>
        <w:t xml:space="preserve">B.行政隶属关系    </w:t>
      </w:r>
    </w:p>
    <w:p w14:paraId="4D11E0C5">
      <w:pPr>
        <w:spacing w:line="460" w:lineRule="exact"/>
        <w:ind w:firstLine="660" w:firstLineChars="300"/>
        <w:rPr>
          <w:rFonts w:hint="eastAsia" w:ascii="宋体" w:hAnsi="宋体" w:eastAsia="宋体" w:cs="宋体"/>
          <w:kern w:val="0"/>
          <w:sz w:val="22"/>
          <w:szCs w:val="22"/>
        </w:rPr>
      </w:pPr>
      <w:r>
        <w:rPr>
          <w:rFonts w:hint="eastAsia" w:ascii="宋体" w:hAnsi="宋体" w:eastAsia="宋体" w:cs="宋体"/>
          <w:kern w:val="0"/>
          <w:sz w:val="22"/>
          <w:szCs w:val="22"/>
        </w:rPr>
        <w:t xml:space="preserve">C.业务指导关系  </w:t>
      </w:r>
    </w:p>
    <w:p w14:paraId="7D06999B">
      <w:pPr>
        <w:spacing w:line="460" w:lineRule="exact"/>
        <w:ind w:firstLine="660" w:firstLineChars="300"/>
        <w:rPr>
          <w:rFonts w:hint="eastAsia" w:ascii="宋体" w:hAnsi="宋体" w:eastAsia="宋体" w:cs="宋体"/>
          <w:sz w:val="22"/>
          <w:szCs w:val="22"/>
        </w:rPr>
      </w:pPr>
      <w:r>
        <w:rPr>
          <w:rFonts w:hint="eastAsia" w:ascii="宋体" w:hAnsi="宋体" w:eastAsia="宋体" w:cs="宋体"/>
          <w:kern w:val="0"/>
          <w:sz w:val="22"/>
          <w:szCs w:val="22"/>
        </w:rPr>
        <w:t>D.其他可能影响采购公正的利害关系</w:t>
      </w:r>
      <w:r>
        <w:rPr>
          <w:rStyle w:val="332"/>
          <w:rFonts w:hint="eastAsia" w:ascii="宋体" w:hAnsi="宋体" w:eastAsia="宋体" w:cs="宋体"/>
          <w:color w:val="auto"/>
          <w:sz w:val="22"/>
          <w:szCs w:val="22"/>
        </w:rPr>
        <w:t xml:space="preserve">（如有，请如实说明）                 </w:t>
      </w:r>
      <w:r>
        <w:rPr>
          <w:rFonts w:hint="eastAsia" w:ascii="宋体" w:hAnsi="宋体" w:eastAsia="宋体" w:cs="宋体"/>
          <w:kern w:val="0"/>
          <w:sz w:val="22"/>
          <w:szCs w:val="22"/>
        </w:rPr>
        <w:t>。</w:t>
      </w:r>
    </w:p>
    <w:p w14:paraId="5DA9F7D8">
      <w:pPr>
        <w:numPr>
          <w:ilvl w:val="0"/>
          <w:numId w:val="2"/>
        </w:numPr>
        <w:spacing w:line="460" w:lineRule="exact"/>
        <w:rPr>
          <w:rFonts w:hint="eastAsia" w:ascii="宋体" w:hAnsi="宋体" w:eastAsia="宋体" w:cs="宋体"/>
          <w:kern w:val="0"/>
          <w:sz w:val="22"/>
          <w:szCs w:val="22"/>
        </w:rPr>
      </w:pPr>
      <w:r>
        <w:rPr>
          <w:rFonts w:hint="eastAsia" w:ascii="宋体" w:hAnsi="宋体" w:eastAsia="宋体" w:cs="宋体"/>
          <w:kern w:val="0"/>
          <w:sz w:val="22"/>
          <w:szCs w:val="22"/>
        </w:rPr>
        <w:t xml:space="preserve">现已清楚知道参加本项目采购活动的其他所有供应商名称，本单位 </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□与其他所有供应商之间均不存在利害关系 </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□与</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供应商名称）之间存在下列利害关系</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A.法定代表人或负责人或实际控制人是同一人</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B.法定代表人或负责人或实际控制人是夫妻关系</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C.法定代表人或负责人或实际控制人是直系血亲关系</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D.法定代表人或负责人或实际控制人存在三代以内旁系血亲关系</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E.法定代表人或负责人或实际控制人存在近姻亲关系</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F.法定代表人或负责人或实际控制人存在股份控制或实际控制关系</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G.存在共同直接或间接投资设立子公司、联营企业和合营企业情况</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H.存在分级代理或代销关系、同一生产制造商关系、管理关系、重要业务（占主营业务收入50%以上）或重要财务往来关系（如融资）等其他实质性控制关系</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I.其他利害关系情况</w:t>
      </w:r>
      <w:r>
        <w:rPr>
          <w:rFonts w:hint="eastAsia" w:ascii="宋体" w:hAnsi="宋体" w:eastAsia="宋体" w:cs="宋体"/>
          <w:kern w:val="0"/>
          <w:sz w:val="22"/>
          <w:szCs w:val="22"/>
          <w:u w:val="single"/>
        </w:rPr>
        <w:t xml:space="preserve">                              。</w:t>
      </w:r>
    </w:p>
    <w:p w14:paraId="32243957">
      <w:pPr>
        <w:pStyle w:val="22"/>
        <w:spacing w:line="460" w:lineRule="exact"/>
        <w:ind w:left="0"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（三）现已清楚知道并严格遵守政府采购法律法规和现场纪律</w:t>
      </w:r>
    </w:p>
    <w:p w14:paraId="1549210A">
      <w:pPr>
        <w:pStyle w:val="22"/>
        <w:spacing w:line="460" w:lineRule="exact"/>
        <w:ind w:left="0"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（四）我发现</w:t>
      </w:r>
      <w:r>
        <w:rPr>
          <w:rStyle w:val="332"/>
          <w:rFonts w:hint="eastAsia" w:ascii="宋体" w:hAnsi="宋体" w:eastAsia="宋体" w:cs="宋体"/>
          <w:color w:val="auto"/>
          <w:sz w:val="22"/>
          <w:szCs w:val="22"/>
          <w:u w:val="single"/>
        </w:rPr>
        <w:t xml:space="preserve">                  </w:t>
      </w:r>
      <w:r>
        <w:rPr>
          <w:rStyle w:val="332"/>
          <w:rFonts w:hint="eastAsia" w:ascii="宋体" w:hAnsi="宋体" w:eastAsia="宋体" w:cs="宋体"/>
          <w:color w:val="auto"/>
          <w:sz w:val="22"/>
          <w:szCs w:val="22"/>
        </w:rPr>
        <w:t>与</w:t>
      </w:r>
      <w:r>
        <w:rPr>
          <w:rStyle w:val="332"/>
          <w:rFonts w:hint="eastAsia" w:ascii="宋体" w:hAnsi="宋体" w:eastAsia="宋体" w:cs="宋体"/>
          <w:color w:val="auto"/>
          <w:sz w:val="22"/>
          <w:szCs w:val="22"/>
          <w:u w:val="single"/>
        </w:rPr>
        <w:t xml:space="preserve">                  </w:t>
      </w:r>
      <w:r>
        <w:rPr>
          <w:rStyle w:val="332"/>
          <w:rFonts w:hint="eastAsia" w:ascii="宋体" w:hAnsi="宋体" w:eastAsia="宋体" w:cs="宋体"/>
          <w:color w:val="auto"/>
          <w:sz w:val="22"/>
          <w:szCs w:val="22"/>
        </w:rPr>
        <w:t>（供应商名称）</w:t>
      </w:r>
      <w:r>
        <w:rPr>
          <w:rFonts w:hint="eastAsia" w:ascii="宋体" w:hAnsi="宋体" w:eastAsia="宋体" w:cs="宋体"/>
          <w:kern w:val="0"/>
          <w:sz w:val="22"/>
          <w:szCs w:val="22"/>
        </w:rPr>
        <w:t>之间存在或可能存在上述第二条第</w:t>
      </w:r>
      <w:r>
        <w:rPr>
          <w:rStyle w:val="332"/>
          <w:rFonts w:hint="eastAsia" w:ascii="宋体" w:hAnsi="宋体" w:eastAsia="宋体" w:cs="宋体"/>
          <w:color w:val="auto"/>
          <w:sz w:val="22"/>
          <w:szCs w:val="22"/>
          <w:u w:val="single"/>
        </w:rPr>
        <w:t xml:space="preserve">        </w:t>
      </w:r>
      <w:r>
        <w:rPr>
          <w:rFonts w:hint="eastAsia" w:ascii="宋体" w:hAnsi="宋体" w:eastAsia="宋体" w:cs="宋体"/>
          <w:kern w:val="0"/>
          <w:sz w:val="22"/>
          <w:szCs w:val="22"/>
        </w:rPr>
        <w:t>项利害关系。</w:t>
      </w:r>
    </w:p>
    <w:p w14:paraId="3E437BA6">
      <w:pPr>
        <w:pStyle w:val="22"/>
        <w:spacing w:line="460" w:lineRule="exact"/>
        <w:ind w:left="0" w:firstLine="0" w:firstLineChars="0"/>
        <w:rPr>
          <w:rFonts w:hint="eastAsia" w:ascii="宋体" w:hAnsi="宋体" w:eastAsia="宋体" w:cs="宋体"/>
          <w:b/>
          <w:kern w:val="0"/>
          <w:sz w:val="22"/>
          <w:szCs w:val="22"/>
        </w:rPr>
      </w:pPr>
      <w:r>
        <w:rPr>
          <w:rFonts w:hint="eastAsia" w:ascii="宋体" w:hAnsi="宋体" w:eastAsia="宋体" w:cs="宋体"/>
          <w:b/>
          <w:kern w:val="0"/>
          <w:sz w:val="22"/>
          <w:szCs w:val="22"/>
        </w:rPr>
        <w:t>供应商代表签名:</w:t>
      </w:r>
    </w:p>
    <w:p w14:paraId="79783611">
      <w:pPr>
        <w:pStyle w:val="22"/>
        <w:spacing w:line="460" w:lineRule="exact"/>
        <w:ind w:left="0" w:firstLine="0" w:firstLineChars="0"/>
        <w:jc w:val="right"/>
        <w:rPr>
          <w:rFonts w:hint="eastAsia" w:ascii="宋体" w:hAnsi="宋体" w:eastAsia="宋体" w:cs="宋体"/>
          <w:b/>
          <w:bCs/>
          <w:sz w:val="22"/>
          <w:szCs w:val="22"/>
        </w:rPr>
      </w:pPr>
      <w:r>
        <w:rPr>
          <w:rFonts w:hint="eastAsia" w:ascii="宋体" w:hAnsi="宋体" w:eastAsia="宋体" w:cs="宋体"/>
          <w:b/>
          <w:kern w:val="0"/>
          <w:sz w:val="22"/>
          <w:szCs w:val="22"/>
        </w:rPr>
        <w:t>日期:202</w:t>
      </w:r>
      <w:r>
        <w:rPr>
          <w:rFonts w:hint="eastAsia" w:ascii="宋体" w:hAnsi="宋体" w:eastAsia="宋体" w:cs="宋体"/>
          <w:b/>
          <w:kern w:val="0"/>
          <w:sz w:val="22"/>
          <w:szCs w:val="22"/>
          <w:lang w:val="en-US" w:eastAsia="zh-CN"/>
        </w:rPr>
        <w:t xml:space="preserve">  </w:t>
      </w:r>
      <w:r>
        <w:rPr>
          <w:rFonts w:hint="eastAsia" w:ascii="宋体" w:hAnsi="宋体" w:eastAsia="宋体" w:cs="宋体"/>
          <w:b/>
          <w:kern w:val="0"/>
          <w:sz w:val="22"/>
          <w:szCs w:val="22"/>
        </w:rPr>
        <w:t>年    月    日</w:t>
      </w:r>
    </w:p>
    <w:p w14:paraId="5E8929EF">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2322D6CD">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auto"/>
          <w:kern w:val="0"/>
          <w:sz w:val="28"/>
          <w:szCs w:val="28"/>
          <w:highlight w:val="none"/>
          <w:lang w:val="en-US" w:eastAsia="zh-CN" w:bidi="ar-SA"/>
        </w:rPr>
      </w:pPr>
      <w:r>
        <w:rPr>
          <w:rFonts w:hint="eastAsia" w:ascii="宋体" w:hAnsi="宋体" w:cs="宋体"/>
          <w:b/>
          <w:color w:val="auto"/>
          <w:kern w:val="0"/>
          <w:sz w:val="28"/>
          <w:szCs w:val="28"/>
          <w:highlight w:val="none"/>
          <w:lang w:val="en-US" w:eastAsia="zh-CN" w:bidi="ar-SA"/>
        </w:rPr>
        <w:t>5、</w:t>
      </w:r>
      <w:r>
        <w:rPr>
          <w:rFonts w:hint="eastAsia" w:cs="宋体"/>
          <w:b/>
          <w:bCs w:val="0"/>
          <w:color w:val="auto"/>
          <w:kern w:val="0"/>
          <w:sz w:val="28"/>
          <w:szCs w:val="28"/>
          <w:highlight w:val="none"/>
          <w:lang w:val="en-US" w:eastAsia="zh-CN" w:bidi="ar-SA"/>
        </w:rPr>
        <w:t>落实政府采购政策需满足的资格要求证明材料</w:t>
      </w:r>
    </w:p>
    <w:p w14:paraId="61B583FB">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（根据招标公告落实政府采购政策需满足的资格要求选择提供相应的材料）</w:t>
      </w:r>
    </w:p>
    <w:p w14:paraId="768BD0E0">
      <w:pPr>
        <w:spacing w:line="420" w:lineRule="exact"/>
        <w:jc w:val="center"/>
        <w:outlineLvl w:val="4"/>
        <w:rPr>
          <w:rFonts w:ascii="宋体" w:hAnsi="宋体" w:cs="宋体"/>
          <w:color w:val="auto"/>
          <w:spacing w:val="6"/>
          <w:sz w:val="22"/>
          <w:szCs w:val="22"/>
          <w:highlight w:val="none"/>
        </w:rPr>
      </w:pPr>
      <w:r>
        <w:rPr>
          <w:rFonts w:hint="eastAsia" w:ascii="宋体" w:hAnsi="宋体" w:cs="宋体"/>
          <w:b/>
          <w:bCs/>
          <w:color w:val="auto"/>
          <w:sz w:val="28"/>
          <w:szCs w:val="28"/>
          <w:highlight w:val="none"/>
        </w:rPr>
        <w:t>①中小企业的相关证明材料</w:t>
      </w:r>
    </w:p>
    <w:p w14:paraId="2CA74AFB">
      <w:pPr>
        <w:spacing w:line="380" w:lineRule="exact"/>
        <w:rPr>
          <w:rFonts w:ascii="宋体" w:hAnsi="宋体" w:cs="宋体"/>
          <w:color w:val="auto"/>
          <w:sz w:val="22"/>
          <w:szCs w:val="22"/>
          <w:highlight w:val="none"/>
        </w:rPr>
      </w:pPr>
    </w:p>
    <w:p w14:paraId="033A07EB">
      <w:pPr>
        <w:spacing w:line="460" w:lineRule="exact"/>
        <w:jc w:val="center"/>
        <w:rPr>
          <w:rFonts w:ascii="宋体" w:hAnsi="宋体" w:cs="宋体"/>
          <w:b/>
          <w:bCs/>
          <w:color w:val="auto"/>
          <w:sz w:val="22"/>
          <w:szCs w:val="22"/>
          <w:highlight w:val="none"/>
        </w:rPr>
      </w:pPr>
    </w:p>
    <w:p w14:paraId="3AADA18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中小企业声明函（工程、服务）</w:t>
      </w:r>
      <w:r>
        <w:rPr>
          <w:rFonts w:hint="eastAsia" w:ascii="宋体" w:hAnsi="宋体" w:eastAsia="宋体" w:cs="宋体"/>
          <w:b/>
          <w:bCs/>
          <w:color w:val="auto"/>
          <w:sz w:val="24"/>
          <w:szCs w:val="24"/>
          <w:highlight w:val="none"/>
          <w:lang w:eastAsia="zh-CN"/>
        </w:rPr>
        <w:t>》</w:t>
      </w:r>
    </w:p>
    <w:p w14:paraId="38F744FD">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【不属于中小企业单位的无需填写、递交】</w:t>
      </w:r>
    </w:p>
    <w:p w14:paraId="505510CD">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eastAsia="宋体" w:cs="宋体"/>
          <w:color w:val="auto"/>
          <w:spacing w:val="20"/>
          <w:sz w:val="22"/>
          <w:szCs w:val="22"/>
          <w:highlight w:val="none"/>
          <w:u w:val="single"/>
        </w:rPr>
        <w:t>（单位名称）</w:t>
      </w:r>
      <w:r>
        <w:rPr>
          <w:rFonts w:hint="eastAsia" w:ascii="宋体" w:hAnsi="宋体" w:eastAsia="宋体" w:cs="宋体"/>
          <w:color w:val="auto"/>
          <w:spacing w:val="20"/>
          <w:sz w:val="22"/>
          <w:szCs w:val="22"/>
          <w:highlight w:val="none"/>
        </w:rPr>
        <w:t>的</w:t>
      </w:r>
      <w:r>
        <w:rPr>
          <w:rFonts w:hint="eastAsia" w:ascii="宋体" w:hAnsi="宋体" w:eastAsia="宋体" w:cs="宋体"/>
          <w:color w:val="auto"/>
          <w:spacing w:val="20"/>
          <w:sz w:val="22"/>
          <w:szCs w:val="22"/>
          <w:highlight w:val="none"/>
          <w:u w:val="single"/>
        </w:rPr>
        <w:t>（项目名称）</w:t>
      </w:r>
      <w:r>
        <w:rPr>
          <w:rFonts w:hint="eastAsia" w:ascii="宋体" w:hAnsi="宋体" w:eastAsia="宋体" w:cs="宋体"/>
          <w:color w:val="auto"/>
          <w:spacing w:val="20"/>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C2C06B2">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1.</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lang w:val="en-US" w:eastAsia="zh-CN"/>
        </w:rPr>
        <w:t xml:space="preserve">                </w:t>
      </w:r>
      <w:r>
        <w:rPr>
          <w:rFonts w:hint="eastAsia" w:ascii="宋体" w:hAnsi="宋体" w:eastAsia="宋体" w:cs="宋体"/>
          <w:color w:val="auto"/>
          <w:spacing w:val="20"/>
          <w:sz w:val="22"/>
          <w:szCs w:val="22"/>
          <w:highlight w:val="none"/>
          <w:u w:val="none"/>
          <w:lang w:val="en-US" w:eastAsia="zh-CN"/>
        </w:rPr>
        <w:t>行业</w:t>
      </w:r>
      <w:r>
        <w:rPr>
          <w:rFonts w:hint="eastAsia" w:ascii="宋体" w:hAnsi="宋体" w:eastAsia="宋体" w:cs="宋体"/>
          <w:color w:val="auto"/>
          <w:spacing w:val="20"/>
          <w:sz w:val="22"/>
          <w:szCs w:val="22"/>
          <w:highlight w:val="none"/>
        </w:rPr>
        <w:t>； 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lang w:val="en-US" w:eastAsia="zh-CN"/>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lang w:val="en-US" w:eastAsia="zh-CN"/>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lang w:val="en-US" w:eastAsia="zh-CN"/>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 xml:space="preserve">； </w:t>
      </w:r>
    </w:p>
    <w:p w14:paraId="4809101F">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2.</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lang w:val="en-US" w:eastAsia="zh-CN"/>
        </w:rPr>
        <w:t xml:space="preserve">                </w:t>
      </w:r>
      <w:r>
        <w:rPr>
          <w:rFonts w:hint="eastAsia" w:ascii="宋体" w:hAnsi="宋体" w:eastAsia="宋体" w:cs="宋体"/>
          <w:color w:val="auto"/>
          <w:spacing w:val="20"/>
          <w:sz w:val="22"/>
          <w:szCs w:val="22"/>
          <w:highlight w:val="none"/>
          <w:u w:val="none"/>
          <w:lang w:val="en-US" w:eastAsia="zh-CN"/>
        </w:rPr>
        <w:t>行业</w:t>
      </w:r>
      <w:r>
        <w:rPr>
          <w:rFonts w:hint="eastAsia" w:ascii="宋体" w:hAnsi="宋体" w:eastAsia="宋体" w:cs="宋体"/>
          <w:color w:val="auto"/>
          <w:spacing w:val="20"/>
          <w:sz w:val="22"/>
          <w:szCs w:val="22"/>
          <w:highlight w:val="none"/>
        </w:rPr>
        <w:t>；承建（承接）企业为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lang w:val="en-US" w:eastAsia="zh-CN"/>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lang w:val="en-US" w:eastAsia="zh-CN"/>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lang w:val="en-US" w:eastAsia="zh-CN"/>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w:t>
      </w:r>
    </w:p>
    <w:p w14:paraId="53A55744">
      <w:pPr>
        <w:spacing w:line="460" w:lineRule="exact"/>
        <w:ind w:firstLine="639" w:firstLineChars="245"/>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w:t>
      </w:r>
    </w:p>
    <w:p w14:paraId="74C26192">
      <w:pPr>
        <w:spacing w:line="460" w:lineRule="exact"/>
        <w:ind w:firstLine="637" w:firstLineChars="245"/>
        <w:rPr>
          <w:rFonts w:hint="eastAsia" w:ascii="宋体" w:hAnsi="宋体" w:eastAsia="宋体" w:cs="宋体"/>
          <w:color w:val="auto"/>
          <w:spacing w:val="20"/>
          <w:sz w:val="22"/>
          <w:szCs w:val="22"/>
          <w:highlight w:val="none"/>
          <w:lang w:val="en-US" w:eastAsia="zh-CN"/>
        </w:rPr>
      </w:pPr>
      <w:r>
        <w:rPr>
          <w:rFonts w:hint="eastAsia" w:ascii="宋体" w:hAnsi="宋体" w:eastAsia="宋体" w:cs="宋体"/>
          <w:color w:val="auto"/>
          <w:spacing w:val="20"/>
          <w:sz w:val="22"/>
          <w:szCs w:val="22"/>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6913475F">
      <w:pPr>
        <w:spacing w:line="460" w:lineRule="exact"/>
        <w:jc w:val="center"/>
        <w:rPr>
          <w:rFonts w:hint="eastAsia" w:ascii="宋体" w:hAnsi="宋体" w:eastAsia="宋体" w:cs="宋体"/>
          <w:color w:val="auto"/>
          <w:spacing w:val="20"/>
          <w:sz w:val="22"/>
          <w:szCs w:val="22"/>
          <w:highlight w:val="none"/>
          <w:lang w:val="en-US" w:eastAsia="zh-CN"/>
        </w:rPr>
      </w:pPr>
      <w:r>
        <w:rPr>
          <w:rFonts w:hint="eastAsia" w:ascii="宋体" w:hAnsi="宋体" w:eastAsia="宋体" w:cs="宋体"/>
          <w:color w:val="auto"/>
          <w:spacing w:val="20"/>
          <w:sz w:val="22"/>
          <w:szCs w:val="22"/>
          <w:highlight w:val="none"/>
          <w:lang w:val="en-US" w:eastAsia="zh-CN"/>
        </w:rPr>
        <w:t xml:space="preserve">           企业</w:t>
      </w:r>
      <w:r>
        <w:rPr>
          <w:rFonts w:hint="eastAsia" w:ascii="宋体" w:hAnsi="宋体" w:eastAsia="宋体" w:cs="宋体"/>
          <w:color w:val="auto"/>
          <w:spacing w:val="20"/>
          <w:sz w:val="22"/>
          <w:szCs w:val="22"/>
          <w:highlight w:val="none"/>
        </w:rPr>
        <w:t>名称（盖章）：</w:t>
      </w:r>
    </w:p>
    <w:p w14:paraId="0BA26EB0">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lang w:val="en-US" w:eastAsia="zh-CN"/>
        </w:rPr>
        <w:t xml:space="preserve">  日</w:t>
      </w:r>
      <w:r>
        <w:rPr>
          <w:rFonts w:hint="eastAsia" w:ascii="宋体" w:hAnsi="宋体" w:eastAsia="宋体" w:cs="宋体"/>
          <w:color w:val="auto"/>
          <w:spacing w:val="20"/>
          <w:sz w:val="22"/>
          <w:szCs w:val="22"/>
          <w:highlight w:val="none"/>
        </w:rPr>
        <w:t xml:space="preserve"> 期：</w:t>
      </w:r>
    </w:p>
    <w:p w14:paraId="69650B56">
      <w:pPr>
        <w:spacing w:line="460" w:lineRule="exact"/>
        <w:rPr>
          <w:rFonts w:hint="eastAsia" w:ascii="宋体" w:hAnsi="宋体" w:eastAsia="宋体" w:cs="宋体"/>
          <w:color w:val="auto"/>
          <w:spacing w:val="20"/>
          <w:sz w:val="22"/>
          <w:szCs w:val="22"/>
          <w:highlight w:val="none"/>
        </w:rPr>
      </w:pPr>
    </w:p>
    <w:p w14:paraId="0129C3B2">
      <w:pPr>
        <w:spacing w:line="420" w:lineRule="exact"/>
        <w:jc w:val="center"/>
        <w:outlineLvl w:val="4"/>
        <w:rPr>
          <w:rFonts w:ascii="宋体" w:hAnsi="宋体" w:cs="宋体"/>
          <w:b/>
          <w:bCs/>
          <w:color w:val="auto"/>
          <w:sz w:val="28"/>
          <w:szCs w:val="28"/>
          <w:highlight w:val="none"/>
        </w:rPr>
      </w:pPr>
      <w:r>
        <w:rPr>
          <w:rFonts w:hint="eastAsia" w:ascii="宋体" w:hAnsi="宋体" w:cs="宋体"/>
          <w:b/>
          <w:bCs/>
          <w:color w:val="auto"/>
          <w:sz w:val="22"/>
          <w:szCs w:val="22"/>
          <w:highlight w:val="none"/>
        </w:rPr>
        <w:br w:type="page"/>
      </w:r>
      <w:r>
        <w:rPr>
          <w:rFonts w:hint="eastAsia" w:ascii="宋体" w:hAnsi="宋体" w:cs="宋体"/>
          <w:b/>
          <w:bCs/>
          <w:color w:val="auto"/>
          <w:sz w:val="28"/>
          <w:szCs w:val="28"/>
          <w:highlight w:val="none"/>
        </w:rPr>
        <w:t>②监狱企业的相关证明材料</w:t>
      </w:r>
    </w:p>
    <w:p w14:paraId="47C8DC6D">
      <w:pPr>
        <w:adjustRightInd w:val="0"/>
        <w:snapToGrid w:val="0"/>
        <w:spacing w:line="300" w:lineRule="auto"/>
        <w:jc w:val="center"/>
        <w:rPr>
          <w:rFonts w:ascii="宋体" w:hAnsi="宋体" w:cs="宋体"/>
          <w:b/>
          <w:color w:val="auto"/>
          <w:spacing w:val="6"/>
          <w:sz w:val="22"/>
          <w:szCs w:val="22"/>
          <w:highlight w:val="none"/>
        </w:rPr>
      </w:pPr>
    </w:p>
    <w:p w14:paraId="27D7C921">
      <w:pPr>
        <w:adjustRightInd w:val="0"/>
        <w:snapToGrid w:val="0"/>
        <w:spacing w:line="300" w:lineRule="auto"/>
        <w:jc w:val="center"/>
        <w:rPr>
          <w:rFonts w:ascii="宋体" w:hAnsi="宋体" w:cs="宋体"/>
          <w:b/>
          <w:color w:val="auto"/>
          <w:spacing w:val="6"/>
          <w:sz w:val="22"/>
          <w:szCs w:val="22"/>
          <w:highlight w:val="none"/>
        </w:rPr>
      </w:pPr>
    </w:p>
    <w:p w14:paraId="4ECE06A5">
      <w:pPr>
        <w:adjustRightInd w:val="0"/>
        <w:snapToGrid w:val="0"/>
        <w:spacing w:line="300" w:lineRule="auto"/>
        <w:jc w:val="center"/>
        <w:rPr>
          <w:rFonts w:ascii="宋体" w:hAnsi="宋体" w:cs="宋体"/>
          <w:b/>
          <w:color w:val="auto"/>
          <w:spacing w:val="6"/>
          <w:sz w:val="22"/>
          <w:szCs w:val="22"/>
          <w:highlight w:val="none"/>
        </w:rPr>
      </w:pPr>
    </w:p>
    <w:p w14:paraId="4AAE8C51">
      <w:pPr>
        <w:adjustRightInd w:val="0"/>
        <w:snapToGrid w:val="0"/>
        <w:spacing w:line="300" w:lineRule="auto"/>
        <w:jc w:val="center"/>
        <w:rPr>
          <w:rFonts w:ascii="宋体" w:hAnsi="宋体" w:cs="宋体"/>
          <w:color w:val="auto"/>
          <w:kern w:val="0"/>
          <w:sz w:val="22"/>
          <w:szCs w:val="22"/>
          <w:highlight w:val="none"/>
        </w:rPr>
      </w:pPr>
      <w:r>
        <w:rPr>
          <w:rFonts w:hint="eastAsia" w:ascii="宋体" w:hAnsi="宋体" w:cs="宋体"/>
          <w:b/>
          <w:color w:val="auto"/>
          <w:spacing w:val="6"/>
          <w:sz w:val="22"/>
          <w:szCs w:val="22"/>
          <w:highlight w:val="none"/>
        </w:rPr>
        <w:t>监狱企业声明函</w:t>
      </w:r>
    </w:p>
    <w:p w14:paraId="200C7C24">
      <w:pPr>
        <w:snapToGrid w:val="0"/>
        <w:spacing w:line="460" w:lineRule="exact"/>
        <w:ind w:firstLine="464" w:firstLineChars="200"/>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【非监狱企业不用提供】</w:t>
      </w:r>
    </w:p>
    <w:p w14:paraId="1F5C6B7B">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本企业郑重声明，根据《关于政府采购支持监狱企业发展有关问题的通知》（财库[2014]68号）的规定，本企业为监狱企业。 </w:t>
      </w:r>
    </w:p>
    <w:p w14:paraId="4B1DAD93">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根据上述标准，我企业属于监狱企业的理由为：</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 xml:space="preserve">。 </w:t>
      </w:r>
    </w:p>
    <w:p w14:paraId="27584CE5">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本企业为参加（项目名称</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）（项目编号</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 xml:space="preserve">）采购活动并承担本工程。 </w:t>
      </w:r>
    </w:p>
    <w:p w14:paraId="230747C9">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本企业对上述声明的真实性负责。如有虚假，将依法承担相应责任。  </w:t>
      </w:r>
    </w:p>
    <w:p w14:paraId="320C820D">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供应商全称（盖章）：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40D5F6ED">
      <w:pPr>
        <w:adjustRightInd w:val="0"/>
        <w:snapToGrid w:val="0"/>
        <w:spacing w:line="46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日期：    年    月   日 </w:t>
      </w:r>
    </w:p>
    <w:p w14:paraId="03F954AA">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75A81F31">
      <w:pPr>
        <w:adjustRightInd w:val="0"/>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C8E9B5">
      <w:pPr>
        <w:spacing w:line="420" w:lineRule="exact"/>
        <w:jc w:val="center"/>
        <w:outlineLvl w:val="4"/>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r>
        <w:rPr>
          <w:rFonts w:hint="eastAsia" w:ascii="宋体" w:hAnsi="宋体" w:cs="宋体"/>
          <w:b/>
          <w:bCs/>
          <w:color w:val="auto"/>
          <w:sz w:val="28"/>
          <w:szCs w:val="28"/>
          <w:highlight w:val="none"/>
        </w:rPr>
        <w:t>③残疾人福利性单位的相关证明材料</w:t>
      </w:r>
    </w:p>
    <w:p w14:paraId="00D9B16F">
      <w:pPr>
        <w:spacing w:line="460" w:lineRule="exact"/>
        <w:rPr>
          <w:rFonts w:ascii="宋体" w:hAnsi="宋体" w:cs="宋体"/>
          <w:color w:val="auto"/>
          <w:spacing w:val="20"/>
          <w:sz w:val="22"/>
          <w:szCs w:val="22"/>
          <w:highlight w:val="none"/>
        </w:rPr>
      </w:pPr>
    </w:p>
    <w:p w14:paraId="59DC645F">
      <w:pPr>
        <w:spacing w:line="460" w:lineRule="exact"/>
        <w:rPr>
          <w:rFonts w:ascii="宋体" w:hAnsi="宋体" w:cs="宋体"/>
          <w:color w:val="auto"/>
          <w:spacing w:val="20"/>
          <w:sz w:val="22"/>
          <w:szCs w:val="22"/>
          <w:highlight w:val="none"/>
        </w:rPr>
      </w:pPr>
    </w:p>
    <w:p w14:paraId="3171EDC1">
      <w:pPr>
        <w:spacing w:line="460" w:lineRule="exact"/>
        <w:jc w:val="center"/>
        <w:rPr>
          <w:rFonts w:ascii="宋体" w:hAnsi="宋体" w:cs="宋体"/>
          <w:color w:val="auto"/>
          <w:spacing w:val="6"/>
          <w:sz w:val="22"/>
          <w:szCs w:val="22"/>
          <w:highlight w:val="none"/>
        </w:rPr>
      </w:pPr>
      <w:r>
        <w:rPr>
          <w:rFonts w:hint="eastAsia" w:ascii="宋体" w:hAnsi="宋体" w:cs="宋体"/>
          <w:b/>
          <w:color w:val="auto"/>
          <w:spacing w:val="6"/>
          <w:sz w:val="22"/>
          <w:szCs w:val="22"/>
          <w:highlight w:val="none"/>
        </w:rPr>
        <w:t>残疾人福利性单位声明函</w:t>
      </w:r>
    </w:p>
    <w:p w14:paraId="607255A2">
      <w:pPr>
        <w:widowControl/>
        <w:adjustRightInd w:val="0"/>
        <w:snapToGrid w:val="0"/>
        <w:spacing w:line="460" w:lineRule="exact"/>
        <w:ind w:firstLine="440" w:firstLineChars="2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【不属于残疾人福利性单位的无需填写、递交】</w:t>
      </w:r>
    </w:p>
    <w:p w14:paraId="5381B29F">
      <w:pPr>
        <w:snapToGrid w:val="0"/>
        <w:spacing w:line="460" w:lineRule="exact"/>
        <w:jc w:val="center"/>
        <w:rPr>
          <w:rFonts w:ascii="宋体" w:hAnsi="宋体" w:cs="宋体"/>
          <w:b/>
          <w:bCs/>
          <w:color w:val="auto"/>
          <w:sz w:val="22"/>
          <w:szCs w:val="22"/>
          <w:highlight w:val="none"/>
        </w:rPr>
      </w:pPr>
    </w:p>
    <w:p w14:paraId="1B3F1E14">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cs="宋体"/>
          <w:color w:val="auto"/>
          <w:sz w:val="22"/>
          <w:szCs w:val="22"/>
          <w:highlight w:val="none"/>
        </w:rPr>
        <w:t>〔2017〕141</w:t>
      </w:r>
      <w:r>
        <w:rPr>
          <w:rFonts w:hint="eastAsia" w:ascii="宋体" w:hAnsi="宋体" w:cs="宋体"/>
          <w:color w:val="auto"/>
          <w:spacing w:val="6"/>
          <w:sz w:val="22"/>
          <w:szCs w:val="22"/>
          <w:highlight w:val="none"/>
        </w:rPr>
        <w:t>号）的规定，本单位为符合条件的残疾人福利性单位，且本单位参加</w:t>
      </w:r>
      <w:r>
        <w:rPr>
          <w:rFonts w:hint="eastAsia" w:ascii="宋体" w:hAnsi="宋体" w:cs="宋体"/>
          <w:color w:val="auto"/>
          <w:spacing w:val="6"/>
          <w:sz w:val="22"/>
          <w:szCs w:val="22"/>
          <w:highlight w:val="none"/>
          <w:u w:val="single"/>
        </w:rPr>
        <w:t>（采购人名称）</w:t>
      </w:r>
      <w:r>
        <w:rPr>
          <w:rFonts w:hint="eastAsia" w:ascii="宋体" w:hAnsi="宋体" w:cs="宋体"/>
          <w:color w:val="auto"/>
          <w:spacing w:val="6"/>
          <w:sz w:val="22"/>
          <w:szCs w:val="22"/>
          <w:highlight w:val="none"/>
        </w:rPr>
        <w:t>单位的</w:t>
      </w:r>
      <w:r>
        <w:rPr>
          <w:rFonts w:hint="eastAsia" w:ascii="宋体" w:hAnsi="宋体" w:cs="宋体"/>
          <w:color w:val="auto"/>
          <w:spacing w:val="6"/>
          <w:sz w:val="22"/>
          <w:szCs w:val="22"/>
          <w:highlight w:val="none"/>
          <w:u w:val="single"/>
        </w:rPr>
        <w:t>（项目名称）</w:t>
      </w:r>
      <w:r>
        <w:rPr>
          <w:rFonts w:hint="eastAsia" w:ascii="宋体" w:hAnsi="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75DE6C5B">
      <w:pPr>
        <w:snapToGrid w:val="0"/>
        <w:spacing w:line="460"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0523AEE8">
      <w:pPr>
        <w:snapToGrid w:val="0"/>
        <w:spacing w:line="460" w:lineRule="exact"/>
        <w:ind w:firstLine="464" w:firstLineChars="200"/>
        <w:rPr>
          <w:rFonts w:ascii="宋体" w:hAnsi="宋体" w:cs="宋体"/>
          <w:color w:val="auto"/>
          <w:spacing w:val="6"/>
          <w:sz w:val="22"/>
          <w:szCs w:val="22"/>
          <w:highlight w:val="none"/>
        </w:rPr>
      </w:pPr>
    </w:p>
    <w:p w14:paraId="5629B89F">
      <w:pPr>
        <w:snapToGrid w:val="0"/>
        <w:spacing w:line="460" w:lineRule="exact"/>
        <w:ind w:firstLine="464" w:firstLineChars="200"/>
        <w:rPr>
          <w:rFonts w:ascii="宋体" w:hAnsi="宋体" w:cs="宋体"/>
          <w:color w:val="auto"/>
          <w:spacing w:val="6"/>
          <w:sz w:val="22"/>
          <w:szCs w:val="22"/>
          <w:highlight w:val="none"/>
        </w:rPr>
      </w:pPr>
    </w:p>
    <w:p w14:paraId="4482226D">
      <w:pPr>
        <w:adjustRightInd w:val="0"/>
        <w:snapToGrid w:val="0"/>
        <w:spacing w:line="460" w:lineRule="exact"/>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供应商全称（盖章）：</w:t>
      </w:r>
      <w:r>
        <w:rPr>
          <w:rFonts w:hint="eastAsia" w:ascii="宋体" w:hAnsi="宋体" w:cs="宋体"/>
          <w:color w:val="auto"/>
          <w:kern w:val="0"/>
          <w:sz w:val="22"/>
          <w:szCs w:val="22"/>
          <w:highlight w:val="none"/>
          <w:u w:val="single"/>
        </w:rPr>
        <w:t xml:space="preserve">                    </w:t>
      </w:r>
    </w:p>
    <w:p w14:paraId="52FA927A">
      <w:pPr>
        <w:adjustRightInd w:val="0"/>
        <w:snapToGrid w:val="0"/>
        <w:spacing w:line="4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09FD281C">
      <w:pPr>
        <w:rPr>
          <w:rFonts w:hint="default" w:ascii="宋体" w:hAnsi="宋体" w:eastAsia="宋体" w:cs="宋体"/>
          <w:b/>
          <w:color w:val="auto"/>
          <w:kern w:val="0"/>
          <w:sz w:val="28"/>
          <w:szCs w:val="28"/>
          <w:highlight w:val="none"/>
          <w:lang w:val="en-US" w:eastAsia="zh-CN" w:bidi="ar-SA"/>
        </w:rPr>
      </w:pPr>
    </w:p>
    <w:p w14:paraId="698F95CD">
      <w:pPr>
        <w:rPr>
          <w:rFonts w:hint="eastAsia" w:ascii="宋体" w:hAnsi="宋体" w:cs="宋体"/>
          <w:b/>
          <w:color w:val="auto"/>
          <w:kern w:val="0"/>
          <w:sz w:val="28"/>
          <w:szCs w:val="28"/>
          <w:highlight w:val="none"/>
          <w:lang w:val="en-US" w:eastAsia="zh-CN" w:bidi="ar-SA"/>
        </w:rPr>
      </w:pPr>
      <w:r>
        <w:rPr>
          <w:rFonts w:hint="eastAsia" w:ascii="宋体" w:hAnsi="宋体" w:cs="宋体"/>
          <w:b/>
          <w:color w:val="auto"/>
          <w:kern w:val="0"/>
          <w:sz w:val="28"/>
          <w:szCs w:val="28"/>
          <w:highlight w:val="none"/>
          <w:lang w:val="en-US" w:eastAsia="zh-CN" w:bidi="ar-SA"/>
        </w:rPr>
        <w:br w:type="page"/>
      </w:r>
    </w:p>
    <w:p w14:paraId="28008EF2">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cs="宋体"/>
          <w:b/>
          <w:bCs/>
          <w:color w:val="auto"/>
          <w:sz w:val="22"/>
          <w:szCs w:val="22"/>
          <w:highlight w:val="none"/>
        </w:rPr>
      </w:pPr>
      <w:r>
        <w:rPr>
          <w:rFonts w:hint="eastAsia" w:ascii="宋体" w:hAnsi="宋体" w:cs="宋体"/>
          <w:b/>
          <w:color w:val="auto"/>
          <w:kern w:val="0"/>
          <w:sz w:val="28"/>
          <w:szCs w:val="28"/>
          <w:highlight w:val="none"/>
          <w:lang w:val="en-US" w:eastAsia="zh-CN" w:bidi="ar-SA"/>
        </w:rPr>
        <w:t>6</w:t>
      </w:r>
      <w:r>
        <w:rPr>
          <w:rFonts w:hint="eastAsia" w:ascii="宋体" w:hAnsi="宋体" w:eastAsia="宋体" w:cs="宋体"/>
          <w:b/>
          <w:color w:val="auto"/>
          <w:kern w:val="0"/>
          <w:sz w:val="28"/>
          <w:szCs w:val="28"/>
          <w:highlight w:val="none"/>
          <w:lang w:val="en-US" w:eastAsia="zh-CN" w:bidi="ar-SA"/>
        </w:rPr>
        <w:t>、投标人须具有医疗机构执业许可证。</w:t>
      </w:r>
    </w:p>
    <w:p w14:paraId="1CFB0E8F">
      <w:pPr>
        <w:spacing w:line="360" w:lineRule="auto"/>
        <w:rPr>
          <w:rFonts w:hint="eastAsia" w:ascii="宋体" w:hAnsi="宋体" w:eastAsia="宋体" w:cs="宋体"/>
          <w:color w:val="auto"/>
          <w:sz w:val="22"/>
          <w:szCs w:val="22"/>
          <w:highlight w:val="none"/>
        </w:rPr>
      </w:pPr>
    </w:p>
    <w:p w14:paraId="3F678CF8">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22"/>
          <w:szCs w:val="22"/>
          <w:highlight w:val="none"/>
        </w:rPr>
        <w:br w:type="page"/>
      </w:r>
    </w:p>
    <w:p w14:paraId="28DF1DE0">
      <w:pPr>
        <w:keepNext w:val="0"/>
        <w:keepLines w:val="0"/>
        <w:pageBreakBefore w:val="0"/>
        <w:widowControl w:val="0"/>
        <w:tabs>
          <w:tab w:val="left" w:pos="774"/>
        </w:tabs>
        <w:kinsoku/>
        <w:wordWrap/>
        <w:overflowPunct/>
        <w:topLinePunct w:val="0"/>
        <w:autoSpaceDE w:val="0"/>
        <w:autoSpaceDN w:val="0"/>
        <w:bidi w:val="0"/>
        <w:adjustRightInd/>
        <w:snapToGrid/>
        <w:spacing w:before="240" w:line="276" w:lineRule="auto"/>
        <w:jc w:val="center"/>
        <w:textAlignment w:val="auto"/>
        <w:outlineLvl w:val="3"/>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lang w:val="zh-CN" w:eastAsia="zh-CN"/>
        </w:rPr>
        <w:t>联合体协议书（如有）</w:t>
      </w:r>
    </w:p>
    <w:p w14:paraId="5FEBF53F">
      <w:pPr>
        <w:spacing w:line="460" w:lineRule="exact"/>
        <w:ind w:firstLine="4400" w:firstLineChars="2000"/>
        <w:rPr>
          <w:rFonts w:hint="eastAsia" w:ascii="宋体" w:hAnsi="宋体" w:eastAsia="宋体" w:cs="宋体"/>
          <w:color w:val="auto"/>
          <w:sz w:val="22"/>
          <w:szCs w:val="22"/>
          <w:highlight w:val="none"/>
        </w:rPr>
      </w:pPr>
    </w:p>
    <w:p w14:paraId="42F400FB">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甲方：</w:t>
      </w:r>
    </w:p>
    <w:p w14:paraId="6A45C54E">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乙方：</w:t>
      </w:r>
    </w:p>
    <w:p w14:paraId="32ABE23F">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各方经协商，就招标项目名称为</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rPr>
        <w:t>编号为</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的招标采购活动联合进行招标之事宜，达成如下协议：</w:t>
      </w:r>
    </w:p>
    <w:p w14:paraId="1BDF4EB2">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一、各方一致决定，</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为联合体牵头人，</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为联合体成员，并按照招标文件的规定分别提交资格文件。</w:t>
      </w:r>
    </w:p>
    <w:p w14:paraId="32837303">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二、在本次投标过程中，牵头人的法定代表人或授权代理人根据招标文件规定及招标内容而对招标人所作的任何合法承诺，包括书面澄清及响应等均对联合体各方产生约束力。如果成交并签订合同，则联合体各方将共同履行对招标人所负有的全部义务并就采购合同约定的事项对招标人承担连带责任。</w:t>
      </w:r>
    </w:p>
    <w:p w14:paraId="3917F31C">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三、联合体其余各方保证对牵头人为响应本次投标而提供的服务提供全部质量保证支持。</w:t>
      </w:r>
    </w:p>
    <w:p w14:paraId="1A789BEA">
      <w:pPr>
        <w:widowControl/>
        <w:spacing w:line="460" w:lineRule="exact"/>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四、本次联合体投标中，双方各承担以下的工作和责任：</w:t>
      </w:r>
    </w:p>
    <w:p w14:paraId="2C60BB58">
      <w:pPr>
        <w:widowControl/>
        <w:spacing w:line="460" w:lineRule="exact"/>
        <w:ind w:firstLine="440" w:firstLineChars="200"/>
        <w:rPr>
          <w:rFonts w:hint="eastAsia" w:ascii="新宋体" w:hAnsi="新宋体" w:eastAsia="新宋体" w:cs="新宋体"/>
          <w:color w:val="auto"/>
          <w:kern w:val="0"/>
          <w:sz w:val="22"/>
          <w:szCs w:val="22"/>
          <w:highlight w:val="none"/>
          <w:u w:val="single"/>
          <w:lang w:eastAsia="zh-CN"/>
        </w:rPr>
      </w:pPr>
      <w:r>
        <w:rPr>
          <w:rFonts w:hint="eastAsia" w:ascii="新宋体" w:hAnsi="新宋体" w:eastAsia="新宋体" w:cs="新宋体"/>
          <w:color w:val="auto"/>
          <w:kern w:val="0"/>
          <w:sz w:val="22"/>
          <w:szCs w:val="22"/>
          <w:highlight w:val="none"/>
        </w:rPr>
        <w:t xml:space="preserve">1、甲方承担的工作和责任为（详细说明）:  </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none"/>
          <w:lang w:eastAsia="zh-CN"/>
        </w:rPr>
        <w:t>；</w:t>
      </w:r>
      <w:r>
        <w:rPr>
          <w:rFonts w:hint="eastAsia" w:ascii="新宋体" w:hAnsi="新宋体" w:eastAsia="新宋体" w:cs="新宋体"/>
          <w:color w:val="auto"/>
          <w:kern w:val="0"/>
          <w:sz w:val="22"/>
          <w:szCs w:val="22"/>
          <w:highlight w:val="none"/>
          <w:lang w:val="en-US" w:eastAsia="zh-CN" w:bidi="ar-SA"/>
        </w:rPr>
        <w:t>甲方在合同中的资金占比为：</w:t>
      </w:r>
      <w:r>
        <w:rPr>
          <w:rFonts w:hint="eastAsia" w:ascii="新宋体" w:hAnsi="新宋体" w:eastAsia="新宋体" w:cs="新宋体"/>
          <w:color w:val="auto"/>
          <w:kern w:val="0"/>
          <w:sz w:val="22"/>
          <w:szCs w:val="22"/>
          <w:highlight w:val="none"/>
          <w:u w:val="single"/>
          <w:lang w:val="en-US" w:eastAsia="zh-CN" w:bidi="ar-SA"/>
        </w:rPr>
        <w:t xml:space="preserve">         </w:t>
      </w:r>
      <w:r>
        <w:rPr>
          <w:rFonts w:hint="eastAsia" w:ascii="新宋体" w:hAnsi="新宋体" w:eastAsia="新宋体" w:cs="新宋体"/>
          <w:color w:val="auto"/>
          <w:kern w:val="0"/>
          <w:sz w:val="22"/>
          <w:szCs w:val="22"/>
          <w:highlight w:val="none"/>
          <w:lang w:val="en-US" w:eastAsia="zh-CN" w:bidi="ar-SA"/>
        </w:rPr>
        <w:t>%。</w:t>
      </w:r>
    </w:p>
    <w:p w14:paraId="4003B76A">
      <w:pPr>
        <w:widowControl/>
        <w:spacing w:line="460" w:lineRule="exact"/>
        <w:ind w:firstLine="440" w:firstLineChars="200"/>
        <w:jc w:val="left"/>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rPr>
        <w:t xml:space="preserve">2、乙方承担的工作和责任为（详细说明）： </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none"/>
          <w:lang w:eastAsia="zh-CN"/>
        </w:rPr>
        <w:t>；</w:t>
      </w:r>
      <w:r>
        <w:rPr>
          <w:rFonts w:hint="eastAsia" w:ascii="新宋体" w:hAnsi="新宋体" w:eastAsia="新宋体" w:cs="新宋体"/>
          <w:color w:val="auto"/>
          <w:kern w:val="0"/>
          <w:sz w:val="22"/>
          <w:szCs w:val="22"/>
          <w:highlight w:val="none"/>
          <w:lang w:val="en-US" w:eastAsia="zh-CN" w:bidi="ar-SA"/>
        </w:rPr>
        <w:t>乙方在合同中的资金占比为：</w:t>
      </w:r>
      <w:r>
        <w:rPr>
          <w:rFonts w:hint="eastAsia" w:ascii="新宋体" w:hAnsi="新宋体" w:eastAsia="新宋体" w:cs="新宋体"/>
          <w:color w:val="auto"/>
          <w:kern w:val="0"/>
          <w:sz w:val="22"/>
          <w:szCs w:val="22"/>
          <w:highlight w:val="none"/>
          <w:u w:val="single"/>
          <w:lang w:val="en-US" w:eastAsia="zh-CN" w:bidi="ar-SA"/>
        </w:rPr>
        <w:t xml:space="preserve">         </w:t>
      </w:r>
      <w:r>
        <w:rPr>
          <w:rFonts w:hint="eastAsia" w:ascii="新宋体" w:hAnsi="新宋体" w:eastAsia="新宋体" w:cs="新宋体"/>
          <w:color w:val="auto"/>
          <w:kern w:val="0"/>
          <w:sz w:val="22"/>
          <w:szCs w:val="22"/>
          <w:highlight w:val="none"/>
          <w:lang w:val="en-US" w:eastAsia="zh-CN" w:bidi="ar-SA"/>
        </w:rPr>
        <w:t>%。</w:t>
      </w:r>
    </w:p>
    <w:p w14:paraId="309AA4FA">
      <w:pPr>
        <w:widowControl/>
        <w:spacing w:line="460" w:lineRule="exact"/>
        <w:ind w:firstLine="440" w:firstLineChars="200"/>
        <w:jc w:val="left"/>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 xml:space="preserve">3、如中标，联合体将遵守以下规定： </w:t>
      </w:r>
    </w:p>
    <w:p w14:paraId="3F35FF56">
      <w:pPr>
        <w:widowControl/>
        <w:spacing w:line="460" w:lineRule="exact"/>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 联合体牵头人和成员共同与招标人签订合同书，并就中标项目向招标人承担合同规定的联合或各自的义务、责任和风险，就合同约定的事项对招标人承担连带责任。在整个合同实施过程的全部事宜均联合体牵头人代表联合体成员接受招标人的指令、指示和通知。</w:t>
      </w:r>
    </w:p>
    <w:p w14:paraId="6C42DE8C">
      <w:pPr>
        <w:widowControl/>
        <w:spacing w:line="460" w:lineRule="exact"/>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五、有关本次联合体投标的其他事宜：</w:t>
      </w:r>
      <w:r>
        <w:rPr>
          <w:rFonts w:hint="eastAsia" w:ascii="新宋体" w:hAnsi="新宋体" w:eastAsia="新宋体" w:cs="新宋体"/>
          <w:color w:val="auto"/>
          <w:kern w:val="0"/>
          <w:sz w:val="22"/>
          <w:szCs w:val="22"/>
          <w:highlight w:val="none"/>
          <w:u w:val="single"/>
        </w:rPr>
        <w:t xml:space="preserve">                               。</w:t>
      </w:r>
    </w:p>
    <w:p w14:paraId="1BBF03EA">
      <w:pPr>
        <w:widowControl/>
        <w:spacing w:line="460" w:lineRule="exact"/>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六、本协议提交招标人后，联合体各方不得以任何形式对上述实质内容进行修改或撤销。</w:t>
      </w:r>
    </w:p>
    <w:p w14:paraId="5C76229E">
      <w:pPr>
        <w:widowControl/>
        <w:spacing w:line="460" w:lineRule="exact"/>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七、本协议签约各方各持一份，交招标机构两份，其中一份投标时装订于投标文件正本内，一份与投标文件一同提交。</w:t>
      </w:r>
    </w:p>
    <w:p w14:paraId="717882F2">
      <w:pPr>
        <w:spacing w:line="360" w:lineRule="auto"/>
        <w:ind w:left="143" w:leftChars="68"/>
        <w:rPr>
          <w:rFonts w:ascii="新宋体" w:hAnsi="新宋体" w:eastAsia="新宋体" w:cs="新宋体"/>
          <w:color w:val="auto"/>
          <w:kern w:val="0"/>
          <w:sz w:val="22"/>
          <w:szCs w:val="22"/>
          <w:highlight w:val="none"/>
        </w:rPr>
      </w:pPr>
    </w:p>
    <w:p w14:paraId="658202EB">
      <w:pPr>
        <w:spacing w:line="360" w:lineRule="auto"/>
        <w:ind w:left="143" w:leftChars="68"/>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甲方单位：       （公章）                乙方单位：         （公章）</w:t>
      </w:r>
    </w:p>
    <w:p w14:paraId="4343F863">
      <w:pPr>
        <w:spacing w:line="360" w:lineRule="auto"/>
        <w:ind w:left="143" w:leftChars="68"/>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w:t>
      </w:r>
      <w:r>
        <w:rPr>
          <w:rFonts w:hint="eastAsia" w:ascii="新宋体" w:hAnsi="新宋体" w:eastAsia="新宋体" w:cs="新宋体"/>
          <w:color w:val="auto"/>
          <w:kern w:val="0"/>
          <w:sz w:val="22"/>
          <w:szCs w:val="22"/>
          <w:highlight w:val="none"/>
          <w:lang w:val="en-US" w:eastAsia="zh-CN"/>
        </w:rPr>
        <w:t xml:space="preserve">     </w:t>
      </w:r>
      <w:r>
        <w:rPr>
          <w:rFonts w:hint="eastAsia" w:ascii="新宋体" w:hAnsi="新宋体" w:eastAsia="新宋体" w:cs="新宋体"/>
          <w:color w:val="auto"/>
          <w:kern w:val="0"/>
          <w:sz w:val="22"/>
          <w:szCs w:val="22"/>
          <w:highlight w:val="none"/>
        </w:rPr>
        <w:t>（签字或盖章）                法定代表人：（签字或盖章）</w:t>
      </w:r>
    </w:p>
    <w:p w14:paraId="7F10F7A1">
      <w:pPr>
        <w:spacing w:line="360" w:lineRule="auto"/>
        <w:ind w:left="143" w:leftChars="68"/>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日期：    年   月   日                 日期：     年   月   日</w:t>
      </w:r>
    </w:p>
    <w:p w14:paraId="3B9FC503">
      <w:pPr>
        <w:spacing w:line="460" w:lineRule="exact"/>
        <w:ind w:firstLine="4400" w:firstLineChars="2000"/>
        <w:rPr>
          <w:rFonts w:hint="eastAsia" w:ascii="宋体" w:hAnsi="宋体" w:eastAsia="宋体" w:cs="宋体"/>
          <w:color w:val="auto"/>
          <w:sz w:val="22"/>
          <w:szCs w:val="22"/>
          <w:highlight w:val="none"/>
        </w:rPr>
      </w:pPr>
    </w:p>
    <w:p w14:paraId="5CABC7FD">
      <w:pPr>
        <w:spacing w:line="460" w:lineRule="exact"/>
        <w:ind w:firstLine="541" w:firstLineChars="245"/>
        <w:rPr>
          <w:rFonts w:ascii="新宋体" w:hAnsi="新宋体" w:eastAsia="新宋体"/>
          <w:b/>
          <w:bCs/>
          <w:color w:val="auto"/>
          <w:sz w:val="22"/>
          <w:szCs w:val="22"/>
          <w:highlight w:val="none"/>
        </w:rPr>
      </w:pPr>
      <w:r>
        <w:rPr>
          <w:rFonts w:hint="eastAsia" w:ascii="新宋体" w:hAnsi="新宋体" w:eastAsia="新宋体" w:cs="Times New Roman"/>
          <w:b/>
          <w:bCs/>
          <w:color w:val="auto"/>
          <w:sz w:val="22"/>
          <w:szCs w:val="22"/>
          <w:highlight w:val="none"/>
          <w:lang w:val="en-US" w:eastAsia="zh-CN"/>
        </w:rPr>
        <w:t>注:</w:t>
      </w:r>
      <w:r>
        <w:rPr>
          <w:rFonts w:hint="eastAsia" w:ascii="新宋体" w:hAnsi="新宋体" w:eastAsia="新宋体" w:cs="Times New Roman"/>
          <w:b/>
          <w:bCs/>
          <w:color w:val="auto"/>
          <w:sz w:val="22"/>
          <w:szCs w:val="22"/>
          <w:highlight w:val="none"/>
        </w:rPr>
        <w:t>以联</w:t>
      </w:r>
      <w:r>
        <w:rPr>
          <w:rFonts w:hint="eastAsia" w:ascii="新宋体" w:hAnsi="新宋体" w:eastAsia="新宋体"/>
          <w:b/>
          <w:bCs/>
          <w:color w:val="auto"/>
          <w:sz w:val="22"/>
          <w:szCs w:val="22"/>
          <w:highlight w:val="none"/>
        </w:rPr>
        <w:t>合体形式参加投标的，联合体各方均应当符合政府采购法第二十二条第一款规定的条件。采购人根据采购项目的特殊要求规定投标人特定条件的，联合体各方中至少应当有一方符合采购人规定的特定条件。联合体中有同类资质的供应商按照联合体分工承担相同工作的，应当按照资质等级较低的供应商确定资质等级。</w:t>
      </w:r>
    </w:p>
    <w:p w14:paraId="21DD5CA2">
      <w:pPr>
        <w:spacing w:line="460" w:lineRule="exact"/>
        <w:ind w:firstLine="541" w:firstLineChars="245"/>
        <w:rPr>
          <w:rFonts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联合体各方之间应当签订共同投标协议，明确约定联合体各方承担的工作和相应的责任。联合体各方签订共同投标协议后，不得再以自己名义单独在同一项目中投标，也不得组成新的联合体参加同一项目投标。</w:t>
      </w:r>
    </w:p>
    <w:p w14:paraId="7B8FCFA9">
      <w:pPr>
        <w:keepNext/>
        <w:keepLines w:val="0"/>
        <w:pageBreakBefore w:val="0"/>
        <w:widowControl w:val="0"/>
        <w:kinsoku/>
        <w:wordWrap/>
        <w:overflowPunct/>
        <w:topLinePunct w:val="0"/>
        <w:autoSpaceDE/>
        <w:autoSpaceDN/>
        <w:bidi w:val="0"/>
        <w:adjustRightInd/>
        <w:snapToGrid/>
        <w:textAlignment w:val="auto"/>
        <w:outlineLvl w:val="9"/>
        <w:rPr>
          <w:color w:val="auto"/>
        </w:rPr>
      </w:pPr>
    </w:p>
    <w:p w14:paraId="118B299A">
      <w:pPr>
        <w:keepNext/>
        <w:keepLines/>
        <w:pageBreakBefore w:val="0"/>
        <w:widowControl w:val="0"/>
        <w:kinsoku/>
        <w:wordWrap/>
        <w:overflowPunct/>
        <w:topLinePunct w:val="0"/>
        <w:autoSpaceDE/>
        <w:autoSpaceDN/>
        <w:bidi w:val="0"/>
        <w:adjustRightInd/>
        <w:snapToGrid/>
        <w:textAlignment w:val="auto"/>
        <w:outlineLvl w:val="9"/>
        <w:rPr>
          <w:rFonts w:hint="eastAsia"/>
        </w:rPr>
      </w:pPr>
    </w:p>
    <w:p w14:paraId="43ED625B">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7F86A5A6">
      <w:pPr>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附件三</w:t>
      </w:r>
      <w:bookmarkEnd w:id="37"/>
      <w:bookmarkEnd w:id="38"/>
    </w:p>
    <w:p w14:paraId="1E67E444">
      <w:pPr>
        <w:spacing w:line="460" w:lineRule="exact"/>
        <w:jc w:val="center"/>
        <w:outlineLvl w:val="2"/>
        <w:rPr>
          <w:rFonts w:hint="eastAsia" w:ascii="宋体" w:hAnsi="宋体" w:eastAsia="宋体" w:cs="宋体"/>
          <w:b/>
          <w:bCs/>
          <w:color w:val="auto"/>
          <w:sz w:val="28"/>
          <w:szCs w:val="28"/>
          <w:highlight w:val="none"/>
          <w:lang w:val="zh-CN"/>
        </w:rPr>
      </w:pPr>
      <w:bookmarkStart w:id="39" w:name="_Toc13639"/>
      <w:bookmarkStart w:id="40" w:name="_Toc29102"/>
      <w:r>
        <w:rPr>
          <w:rFonts w:hint="eastAsia" w:ascii="宋体" w:hAnsi="宋体" w:eastAsia="宋体" w:cs="宋体"/>
          <w:b/>
          <w:bCs/>
          <w:color w:val="auto"/>
          <w:sz w:val="28"/>
          <w:szCs w:val="28"/>
          <w:highlight w:val="none"/>
          <w:lang w:val="zh-CN"/>
        </w:rPr>
        <w:t>商务技术文件</w:t>
      </w:r>
      <w:bookmarkEnd w:id="39"/>
      <w:bookmarkEnd w:id="40"/>
    </w:p>
    <w:p w14:paraId="4E094DC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8"/>
          <w:szCs w:val="28"/>
          <w:highlight w:val="none"/>
          <w:lang w:val="en-US" w:eastAsia="zh-CN"/>
        </w:rPr>
      </w:pPr>
    </w:p>
    <w:p w14:paraId="725C8072">
      <w:pPr>
        <w:spacing w:line="400" w:lineRule="exact"/>
        <w:jc w:val="center"/>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1、法定代表人授权书</w:t>
      </w:r>
    </w:p>
    <w:p w14:paraId="185FC2BB">
      <w:pPr>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温州市中医院、</w:t>
      </w:r>
      <w:r>
        <w:rPr>
          <w:rFonts w:hint="eastAsia" w:ascii="宋体" w:hAnsi="宋体" w:cs="宋体"/>
          <w:color w:val="auto"/>
          <w:sz w:val="22"/>
          <w:szCs w:val="22"/>
          <w:highlight w:val="none"/>
          <w:lang w:val="en-US" w:eastAsia="zh-CN"/>
        </w:rPr>
        <w:t>温州历程招标有限公司</w:t>
      </w:r>
      <w:r>
        <w:rPr>
          <w:rFonts w:hint="eastAsia" w:ascii="宋体" w:hAnsi="宋体" w:eastAsia="宋体" w:cs="宋体"/>
          <w:color w:val="auto"/>
          <w:sz w:val="22"/>
          <w:szCs w:val="22"/>
          <w:highlight w:val="none"/>
        </w:rPr>
        <w:t>：</w:t>
      </w:r>
    </w:p>
    <w:p w14:paraId="33678C3D">
      <w:pPr>
        <w:spacing w:line="460" w:lineRule="exact"/>
        <w:rPr>
          <w:rFonts w:hint="eastAsia" w:ascii="宋体" w:hAnsi="宋体" w:eastAsia="宋体" w:cs="宋体"/>
          <w:color w:val="auto"/>
          <w:sz w:val="22"/>
          <w:szCs w:val="22"/>
          <w:highlight w:val="none"/>
          <w:u w:val="single"/>
        </w:rPr>
      </w:pPr>
    </w:p>
    <w:p w14:paraId="7E8D64A2">
      <w:pPr>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（投标人全称）法定代表人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（全权代表姓名）为全权代表，参加贵处组织的（项目名称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）的招标活动，全权代表我方处理招标活动中的一切事宜。</w:t>
      </w:r>
    </w:p>
    <w:p w14:paraId="29445410">
      <w:pPr>
        <w:spacing w:line="460" w:lineRule="exact"/>
        <w:ind w:firstLine="2955"/>
        <w:rPr>
          <w:rFonts w:hint="eastAsia" w:ascii="宋体" w:hAnsi="宋体" w:eastAsia="宋体" w:cs="宋体"/>
          <w:color w:val="auto"/>
          <w:sz w:val="22"/>
          <w:szCs w:val="22"/>
          <w:highlight w:val="none"/>
        </w:rPr>
      </w:pPr>
    </w:p>
    <w:p w14:paraId="4BC16209">
      <w:pP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4B25145">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(签字或盖章)：</w:t>
      </w:r>
    </w:p>
    <w:p w14:paraId="16EA1AEC">
      <w:pP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投标人全称（公章）：</w:t>
      </w:r>
    </w:p>
    <w:p w14:paraId="23D2969C">
      <w:pP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14:paraId="0F79A911">
      <w:pPr>
        <w:spacing w:line="380" w:lineRule="exact"/>
        <w:rPr>
          <w:rFonts w:hint="eastAsia" w:ascii="宋体" w:hAnsi="宋体" w:eastAsia="宋体" w:cs="宋体"/>
          <w:color w:val="auto"/>
          <w:sz w:val="22"/>
          <w:szCs w:val="22"/>
          <w:highlight w:val="none"/>
        </w:rPr>
      </w:pPr>
    </w:p>
    <w:p w14:paraId="4DB52ABC">
      <w:pPr>
        <w:spacing w:line="380" w:lineRule="exact"/>
        <w:rPr>
          <w:rFonts w:hint="eastAsia" w:ascii="宋体" w:hAnsi="宋体" w:eastAsia="宋体" w:cs="宋体"/>
          <w:color w:val="auto"/>
          <w:sz w:val="22"/>
          <w:szCs w:val="22"/>
          <w:highlight w:val="none"/>
        </w:rPr>
      </w:pPr>
    </w:p>
    <w:p w14:paraId="5FB429E0">
      <w:pPr>
        <w:spacing w:line="380" w:lineRule="exact"/>
        <w:rPr>
          <w:rFonts w:hint="eastAsia" w:ascii="宋体" w:hAnsi="宋体" w:eastAsia="宋体" w:cs="宋体"/>
          <w:color w:val="auto"/>
          <w:sz w:val="22"/>
          <w:szCs w:val="22"/>
          <w:highlight w:val="none"/>
        </w:rPr>
      </w:pPr>
    </w:p>
    <w:p w14:paraId="2581A0A6">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w:t>
      </w:r>
    </w:p>
    <w:p w14:paraId="66D4222E">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授权代表姓名：                               </w:t>
      </w:r>
    </w:p>
    <w:p w14:paraId="74ABAA4A">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职务：</w:t>
      </w:r>
    </w:p>
    <w:p w14:paraId="0683F8BF">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详细通讯地址：</w:t>
      </w:r>
    </w:p>
    <w:p w14:paraId="0E64A520">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电话：</w:t>
      </w:r>
    </w:p>
    <w:p w14:paraId="7B772705">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传真：</w:t>
      </w:r>
    </w:p>
    <w:p w14:paraId="2E6131FC">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邮政编码:</w:t>
      </w:r>
    </w:p>
    <w:p w14:paraId="39481377">
      <w:pPr>
        <w:spacing w:line="380" w:lineRule="exact"/>
        <w:rPr>
          <w:rFonts w:hint="eastAsia" w:ascii="宋体" w:hAnsi="宋体" w:eastAsia="宋体" w:cs="宋体"/>
          <w:color w:val="auto"/>
          <w:sz w:val="22"/>
          <w:szCs w:val="22"/>
          <w:highlight w:val="none"/>
        </w:rPr>
      </w:pPr>
    </w:p>
    <w:p w14:paraId="1DB096E8">
      <w:pPr>
        <w:spacing w:line="460" w:lineRule="exact"/>
        <w:jc w:val="center"/>
        <w:rPr>
          <w:rFonts w:hint="eastAsia" w:ascii="宋体" w:hAnsi="宋体" w:eastAsia="宋体" w:cs="宋体"/>
          <w:b/>
          <w:bCs/>
          <w:color w:val="auto"/>
          <w:sz w:val="28"/>
          <w:szCs w:val="28"/>
          <w:highlight w:val="none"/>
        </w:rPr>
      </w:pPr>
    </w:p>
    <w:p w14:paraId="17B3D918">
      <w:pPr>
        <w:spacing w:line="460" w:lineRule="exact"/>
        <w:jc w:val="center"/>
        <w:rPr>
          <w:rFonts w:hint="eastAsia" w:ascii="宋体" w:hAnsi="宋体" w:eastAsia="宋体" w:cs="宋体"/>
          <w:b/>
          <w:bCs/>
          <w:color w:val="auto"/>
          <w:sz w:val="28"/>
          <w:szCs w:val="28"/>
          <w:highlight w:val="none"/>
        </w:rPr>
      </w:pPr>
    </w:p>
    <w:p w14:paraId="578463FA">
      <w:pPr>
        <w:spacing w:line="460" w:lineRule="exact"/>
        <w:jc w:val="center"/>
        <w:rPr>
          <w:rFonts w:hint="eastAsia" w:ascii="宋体" w:hAnsi="宋体" w:eastAsia="宋体" w:cs="宋体"/>
          <w:b/>
          <w:bCs/>
          <w:color w:val="auto"/>
          <w:sz w:val="28"/>
          <w:szCs w:val="28"/>
          <w:highlight w:val="none"/>
        </w:rPr>
      </w:pPr>
    </w:p>
    <w:p w14:paraId="5CFD65B5">
      <w:pPr>
        <w:spacing w:line="460" w:lineRule="exact"/>
        <w:jc w:val="center"/>
        <w:rPr>
          <w:rFonts w:hint="eastAsia" w:ascii="宋体" w:hAnsi="宋体" w:eastAsia="宋体" w:cs="宋体"/>
          <w:b/>
          <w:bCs/>
          <w:color w:val="auto"/>
          <w:sz w:val="28"/>
          <w:szCs w:val="28"/>
          <w:highlight w:val="none"/>
        </w:rPr>
      </w:pPr>
    </w:p>
    <w:p w14:paraId="092DA26F">
      <w:pPr>
        <w:spacing w:line="460" w:lineRule="exact"/>
        <w:jc w:val="center"/>
        <w:rPr>
          <w:rFonts w:hint="eastAsia" w:ascii="宋体" w:hAnsi="宋体" w:eastAsia="宋体" w:cs="宋体"/>
          <w:b/>
          <w:bCs/>
          <w:color w:val="auto"/>
          <w:sz w:val="28"/>
          <w:szCs w:val="28"/>
          <w:highlight w:val="none"/>
        </w:rPr>
      </w:pPr>
    </w:p>
    <w:p w14:paraId="447ECA14">
      <w:pPr>
        <w:spacing w:line="460" w:lineRule="exact"/>
        <w:jc w:val="center"/>
        <w:rPr>
          <w:rFonts w:hint="eastAsia" w:ascii="宋体" w:hAnsi="宋体" w:eastAsia="宋体" w:cs="宋体"/>
          <w:b/>
          <w:bCs/>
          <w:color w:val="auto"/>
          <w:sz w:val="28"/>
          <w:szCs w:val="28"/>
          <w:highlight w:val="none"/>
        </w:rPr>
      </w:pPr>
    </w:p>
    <w:p w14:paraId="6014FFBC">
      <w:pPr>
        <w:spacing w:line="460" w:lineRule="exact"/>
        <w:jc w:val="center"/>
        <w:rPr>
          <w:rFonts w:hint="eastAsia" w:ascii="宋体" w:hAnsi="宋体" w:eastAsia="宋体" w:cs="宋体"/>
          <w:b/>
          <w:bCs/>
          <w:color w:val="auto"/>
          <w:sz w:val="28"/>
          <w:szCs w:val="28"/>
          <w:highlight w:val="none"/>
        </w:rPr>
      </w:pPr>
    </w:p>
    <w:p w14:paraId="2B51F75F">
      <w:pPr>
        <w:spacing w:line="460" w:lineRule="exact"/>
        <w:jc w:val="center"/>
        <w:rPr>
          <w:rFonts w:hint="eastAsia" w:ascii="宋体" w:hAnsi="宋体" w:eastAsia="宋体" w:cs="宋体"/>
          <w:b/>
          <w:bCs/>
          <w:color w:val="auto"/>
          <w:sz w:val="28"/>
          <w:szCs w:val="28"/>
          <w:highlight w:val="none"/>
        </w:rPr>
      </w:pPr>
    </w:p>
    <w:p w14:paraId="724779EB">
      <w:pPr>
        <w:spacing w:line="460" w:lineRule="exact"/>
        <w:jc w:val="center"/>
        <w:rPr>
          <w:rFonts w:hint="eastAsia" w:ascii="宋体" w:hAnsi="宋体" w:eastAsia="宋体" w:cs="宋体"/>
          <w:b/>
          <w:bCs/>
          <w:color w:val="auto"/>
          <w:sz w:val="28"/>
          <w:szCs w:val="28"/>
          <w:highlight w:val="none"/>
        </w:rPr>
      </w:pPr>
    </w:p>
    <w:p w14:paraId="0ACD64B5">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6254115" cy="3004185"/>
                <wp:effectExtent l="5080" t="4445" r="8255" b="20320"/>
                <wp:wrapNone/>
                <wp:docPr id="6" name="Text Box 2"/>
                <wp:cNvGraphicFramePr/>
                <a:graphic xmlns:a="http://schemas.openxmlformats.org/drawingml/2006/main">
                  <a:graphicData uri="http://schemas.microsoft.com/office/word/2010/wordprocessingShape">
                    <wps:wsp>
                      <wps:cNvSpPr txBox="1"/>
                      <wps:spPr>
                        <a:xfrm>
                          <a:off x="0" y="0"/>
                          <a:ext cx="6254115" cy="30041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71B6F6">
                            <w:r>
                              <w:rPr>
                                <w:rFonts w:hint="eastAsia" w:ascii="新宋体" w:hAnsi="新宋体" w:eastAsia="新宋体"/>
                                <w:sz w:val="22"/>
                                <w:szCs w:val="22"/>
                              </w:rPr>
                              <w:t xml:space="preserve">  法定代表人身份证（正反面）：</w:t>
                            </w:r>
                          </w:p>
                        </w:txbxContent>
                      </wps:txbx>
                      <wps:bodyPr upright="1"/>
                    </wps:wsp>
                  </a:graphicData>
                </a:graphic>
              </wp:anchor>
            </w:drawing>
          </mc:Choice>
          <mc:Fallback>
            <w:pict>
              <v:shape id="Text Box 2" o:spid="_x0000_s1026" o:spt="202" type="#_x0000_t202" style="position:absolute;left:0pt;margin-left:8.95pt;margin-top:25.25pt;height:236.55pt;width:492.45pt;z-index:251659264;mso-width-relative:page;mso-height-relative:page;" fillcolor="#FFFFFF" filled="t" stroked="t" coordsize="21600,21600" o:gfxdata="UEsDBAoAAAAAAIdO4kAAAAAAAAAAAAAAAAAEAAAAZHJzL1BLAwQUAAAACACHTuJAl9wjaNgAAAAK&#10;AQAADwAAAGRycy9kb3ducmV2LnhtbE2PwU7DMBBE70j8g7VIXBC1m9K0DXF6QALBrRQEVzfeJhH2&#10;OsRuWv6e7QmOszOafVOuT96JEYfYBdIwnSgQSHWwHTUa3t8eb5cgYjJkjQuEGn4wwrq6vChNYcOR&#10;XnHcpkZwCcXCaGhT6gspY92iN3ESeiT29mHwJrEcGmkHc+Ry72SmVC696Yg/tKbHhxbrr+3Ba1je&#10;PY+f8WW2+ajzvVulm8X49D1ofX01VfcgEp7SXxjO+IwOFTPtwoFsFI71YsVJDXM1B3H2lcp4y44v&#10;2SwHWZXy/4TqF1BLAwQUAAAACACHTuJAJqVlfQECAABEBAAADgAAAGRycy9lMm9Eb2MueG1srVPN&#10;btswDL4P2DsIui92sibojDgFtiy7DNuAdg+gyLQtQH8Qldh5+1FymqbdDjnMB5kiqY/kR3L9MBrN&#10;jhBQOVvz+azkDKx0jbJdzX8/7T7cc4ZR2EZoZ6HmJ0D+sHn/bj34Chaud7qBwAjEYjX4mvcx+qoo&#10;UPZgBM6cB0vG1gUjIl1DVzRBDIRudLEoy1UxuND44CQgknY7GfkZMdwC6NpWSdg6eTBg44QaQItI&#10;JWGvPPJNzrZtQcafbYsQma45VRrzSUFI3qez2KxF1QXheyXPKYhbUnhTkxHKUtAL1FZEwQ5B/QVl&#10;lAwOXRtn0pliKiQzQlXMyzfcPPbCQ66FqEZ/IR3/H6z8cfwVmGpqvuLMCkMNf4Ixss9uZIvEzuCx&#10;IqdHT25xJDXNzLMeSZmKHttg0p/KYWQnbk8XbhOYJOVqsbybz5ecSbJ9LMu7+f0y4RQvz33A+A2c&#10;YUmoeaDmZU7F8TvGyfXZJUVDp1WzU1rnS+j2X3RgR0GN3uXvjP7KTVs21PzTcpESETS9LU0NicYT&#10;A2i7HO/VC7wGLvP3L+CU2FZgPyWQEZKbqIyKELLUg2i+2obFkyeWLS0XT8kYaDjTQLuYpOwZhdK3&#10;eBJ32qYgkCf9zFLq2NSZJMVxPxJoEveuOVEXDz6orieCcx+LZKHhyp04L0Ka3us7ydfLv/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9wjaNgAAAAKAQAADwAAAAAAAAABACAAAAAiAAAAZHJzL2Rv&#10;d25yZXYueG1sUEsBAhQAFAAAAAgAh07iQCalZX0BAgAARAQAAA4AAAAAAAAAAQAgAAAAJwEAAGRy&#10;cy9lMm9Eb2MueG1sUEsFBgAAAAAGAAYAWQEAAJoFAAAAAA==&#10;">
                <v:fill on="t" focussize="0,0"/>
                <v:stroke color="#000000" joinstyle="miter"/>
                <v:imagedata o:title=""/>
                <o:lock v:ext="edit" aspectratio="f"/>
                <v:textbox>
                  <w:txbxContent>
                    <w:p w14:paraId="0A71B6F6">
                      <w:r>
                        <w:rPr>
                          <w:rFonts w:hint="eastAsia" w:ascii="新宋体" w:hAnsi="新宋体" w:eastAsia="新宋体"/>
                          <w:sz w:val="22"/>
                          <w:szCs w:val="22"/>
                        </w:rPr>
                        <w:t xml:space="preserve">  法定代表人身份证（正反面）：</w:t>
                      </w:r>
                    </w:p>
                  </w:txbxContent>
                </v:textbox>
              </v:shape>
            </w:pict>
          </mc:Fallback>
        </mc:AlternateContent>
      </w:r>
    </w:p>
    <w:p w14:paraId="2E2A7B9F">
      <w:pPr>
        <w:spacing w:line="460" w:lineRule="exact"/>
        <w:jc w:val="center"/>
        <w:rPr>
          <w:rFonts w:hint="eastAsia" w:ascii="宋体" w:hAnsi="宋体" w:eastAsia="宋体" w:cs="宋体"/>
          <w:b/>
          <w:bCs/>
          <w:color w:val="auto"/>
          <w:sz w:val="28"/>
          <w:szCs w:val="28"/>
          <w:highlight w:val="none"/>
        </w:rPr>
      </w:pPr>
    </w:p>
    <w:p w14:paraId="2EC6F4E4">
      <w:pPr>
        <w:spacing w:line="460" w:lineRule="exact"/>
        <w:jc w:val="center"/>
        <w:rPr>
          <w:rFonts w:hint="eastAsia" w:ascii="宋体" w:hAnsi="宋体" w:eastAsia="宋体" w:cs="宋体"/>
          <w:b/>
          <w:bCs/>
          <w:color w:val="auto"/>
          <w:sz w:val="28"/>
          <w:szCs w:val="28"/>
          <w:highlight w:val="none"/>
        </w:rPr>
      </w:pPr>
    </w:p>
    <w:p w14:paraId="4FC4A4E4">
      <w:pPr>
        <w:spacing w:line="460" w:lineRule="exact"/>
        <w:jc w:val="center"/>
        <w:rPr>
          <w:rFonts w:hint="eastAsia" w:ascii="宋体" w:hAnsi="宋体" w:eastAsia="宋体" w:cs="宋体"/>
          <w:b/>
          <w:bCs/>
          <w:color w:val="auto"/>
          <w:sz w:val="28"/>
          <w:szCs w:val="28"/>
          <w:highlight w:val="none"/>
        </w:rPr>
      </w:pPr>
    </w:p>
    <w:p w14:paraId="7FA1E000">
      <w:pPr>
        <w:spacing w:line="460" w:lineRule="exact"/>
        <w:jc w:val="center"/>
        <w:rPr>
          <w:rFonts w:hint="eastAsia" w:ascii="宋体" w:hAnsi="宋体" w:eastAsia="宋体" w:cs="宋体"/>
          <w:b/>
          <w:bCs/>
          <w:color w:val="auto"/>
          <w:sz w:val="28"/>
          <w:szCs w:val="28"/>
          <w:highlight w:val="none"/>
        </w:rPr>
      </w:pPr>
    </w:p>
    <w:p w14:paraId="48326F13">
      <w:pPr>
        <w:spacing w:line="460" w:lineRule="exact"/>
        <w:jc w:val="center"/>
        <w:rPr>
          <w:rFonts w:hint="eastAsia" w:ascii="宋体" w:hAnsi="宋体" w:eastAsia="宋体" w:cs="宋体"/>
          <w:b/>
          <w:bCs/>
          <w:color w:val="auto"/>
          <w:sz w:val="28"/>
          <w:szCs w:val="28"/>
          <w:highlight w:val="none"/>
        </w:rPr>
      </w:pPr>
    </w:p>
    <w:p w14:paraId="580329CB">
      <w:pPr>
        <w:spacing w:line="460" w:lineRule="exact"/>
        <w:jc w:val="center"/>
        <w:rPr>
          <w:rFonts w:hint="eastAsia" w:ascii="宋体" w:hAnsi="宋体" w:eastAsia="宋体" w:cs="宋体"/>
          <w:b/>
          <w:bCs/>
          <w:color w:val="auto"/>
          <w:sz w:val="28"/>
          <w:szCs w:val="28"/>
          <w:highlight w:val="none"/>
        </w:rPr>
      </w:pPr>
    </w:p>
    <w:p w14:paraId="70495B31">
      <w:pPr>
        <w:spacing w:line="460" w:lineRule="exact"/>
        <w:jc w:val="center"/>
        <w:rPr>
          <w:rFonts w:hint="eastAsia" w:ascii="宋体" w:hAnsi="宋体" w:eastAsia="宋体" w:cs="宋体"/>
          <w:b/>
          <w:bCs/>
          <w:color w:val="auto"/>
          <w:sz w:val="28"/>
          <w:szCs w:val="28"/>
          <w:highlight w:val="none"/>
        </w:rPr>
      </w:pPr>
    </w:p>
    <w:p w14:paraId="363486E2">
      <w:pPr>
        <w:spacing w:line="460" w:lineRule="exact"/>
        <w:jc w:val="center"/>
        <w:rPr>
          <w:rFonts w:hint="eastAsia" w:ascii="宋体" w:hAnsi="宋体" w:eastAsia="宋体" w:cs="宋体"/>
          <w:b/>
          <w:bCs/>
          <w:color w:val="auto"/>
          <w:sz w:val="28"/>
          <w:szCs w:val="28"/>
          <w:highlight w:val="none"/>
        </w:rPr>
      </w:pPr>
    </w:p>
    <w:p w14:paraId="191CF4EE">
      <w:pPr>
        <w:spacing w:line="460" w:lineRule="exact"/>
        <w:jc w:val="center"/>
        <w:rPr>
          <w:rFonts w:hint="eastAsia" w:ascii="宋体" w:hAnsi="宋体" w:eastAsia="宋体" w:cs="宋体"/>
          <w:b/>
          <w:bCs/>
          <w:color w:val="auto"/>
          <w:sz w:val="28"/>
          <w:szCs w:val="28"/>
          <w:highlight w:val="none"/>
        </w:rPr>
      </w:pPr>
    </w:p>
    <w:p w14:paraId="46626C6C">
      <w:pPr>
        <w:spacing w:line="460" w:lineRule="exact"/>
        <w:jc w:val="center"/>
        <w:rPr>
          <w:rFonts w:hint="eastAsia" w:ascii="宋体" w:hAnsi="宋体" w:eastAsia="宋体" w:cs="宋体"/>
          <w:b/>
          <w:bCs/>
          <w:color w:val="auto"/>
          <w:sz w:val="28"/>
          <w:szCs w:val="28"/>
          <w:highlight w:val="none"/>
        </w:rPr>
      </w:pPr>
    </w:p>
    <w:p w14:paraId="2BAD879C">
      <w:pPr>
        <w:spacing w:line="460" w:lineRule="exact"/>
        <w:jc w:val="center"/>
        <w:rPr>
          <w:rFonts w:hint="eastAsia" w:ascii="宋体" w:hAnsi="宋体" w:eastAsia="宋体" w:cs="宋体"/>
          <w:b/>
          <w:bCs/>
          <w:color w:val="auto"/>
          <w:sz w:val="28"/>
          <w:szCs w:val="28"/>
          <w:highlight w:val="none"/>
        </w:rPr>
      </w:pPr>
    </w:p>
    <w:p w14:paraId="77572789">
      <w:pPr>
        <w:spacing w:line="460" w:lineRule="exact"/>
        <w:jc w:val="center"/>
        <w:rPr>
          <w:rFonts w:hint="eastAsia" w:ascii="宋体" w:hAnsi="宋体" w:eastAsia="宋体" w:cs="宋体"/>
          <w:b/>
          <w:bCs/>
          <w:color w:val="auto"/>
          <w:sz w:val="28"/>
          <w:szCs w:val="28"/>
          <w:highlight w:val="none"/>
        </w:rPr>
      </w:pPr>
    </w:p>
    <w:p w14:paraId="6825975C">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-53975</wp:posOffset>
                </wp:positionV>
                <wp:extent cx="6303645" cy="3875405"/>
                <wp:effectExtent l="4445" t="5080" r="16510" b="5715"/>
                <wp:wrapNone/>
                <wp:docPr id="7" name="文本框 26"/>
                <wp:cNvGraphicFramePr/>
                <a:graphic xmlns:a="http://schemas.openxmlformats.org/drawingml/2006/main">
                  <a:graphicData uri="http://schemas.microsoft.com/office/word/2010/wordprocessingShape">
                    <wps:wsp>
                      <wps:cNvSpPr txBox="1"/>
                      <wps:spPr>
                        <a:xfrm>
                          <a:off x="0" y="0"/>
                          <a:ext cx="6303645" cy="3875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5CD415">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shape id="文本框 26" o:spid="_x0000_s1026" o:spt="202" type="#_x0000_t202" style="position:absolute;left:0pt;margin-left:6.95pt;margin-top:-4.25pt;height:305.15pt;width:496.35pt;z-index:251660288;mso-width-relative:page;mso-height-relative:page;" fillcolor="#FFFFFF" filled="t" stroked="t" coordsize="21600,21600" o:gfxdata="UEsDBAoAAAAAAIdO4kAAAAAAAAAAAAAAAAAEAAAAZHJzL1BLAwQUAAAACACHTuJAmGqLXdgAAAAK&#10;AQAADwAAAGRycy9kb3ducmV2LnhtbE2PwU7DMBBE70j8g7VIXFBrh0JIQ5wekEBwKwXB1Y23SYS9&#10;DrGblr9ne4LjaEYzb6rV0Tsx4Rj7QBqyuQKB1ATbU6vh/e1xVoCIyZA1LhBq+MEIq/r8rDKlDQd6&#10;xWmTWsElFEujoUtpKKWMTYfexHkYkNjbhdGbxHJspR3Ngcu9k9dK5dKbnnihMwM+dNh8bfZeQ3Hz&#10;PH3Gl8X6o8l3bpmu7qan71Hry4tM3YNIeEx/YTjhMzrUzLQNe7JRONaLJSc1zIpbECef13IQWw25&#10;ygqQdSX/X6h/AVBLAwQUAAAACACHTuJAQtxrnBMCAABGBAAADgAAAGRycy9lMm9Eb2MueG1srVPN&#10;jtMwEL4j8Q6W7zTZdttdoqYrQSkXBEgLD+A6TmLJf/K4TfoC8AacuHDnufocO3aypbtw6IEcnPHM&#10;+JuZb2aWd71WZC88SGtKejXJKRGG20qapqRfv2xe3VICgZmKKWtESQ8C6N3q5Ytl5woxta1VlfAE&#10;QQwUnStpG4Irsgx4KzSDiXXCoLG2XrOAV99klWcdomuVTfN8kXXWV85bLgBQux6MdET0lwDaupZc&#10;rC3faWHCgOqFYgFLglY6oKuUbV0LHj7VNYhAVEmx0pBODILyNp7ZasmKxjPXSj6mwC5J4VlNmkmD&#10;QU9QaxYY2Xn5F5SW3FuwdZhwq7OhkMQIVnGVP+PmvmVOpFqQanAn0uH/wfKP+8+eyKqkN5QYprHh&#10;xx/fjz9/H399I9NF5KdzUKDbvUPH0L+xPU7Nox5QGcvua6/jHwsiaEd2Dyd2RR8IR+Vils8W13NK&#10;ONpmtzfz63wecbI/z52H8F5YTaJQUo/tS6yy/QcIg+ujS4wGVslqI5VKF99s3ypP9gxbvUnfiP7E&#10;TRnSlfT1fBoTYTi/Nc4NitohB2CaFO/JCzgHztP3L+CY2JpBOySQEKIbK7QMwiepFax6ZyoSDg55&#10;NrheNCajRUWJEriNUUqegUl1iSdyp0wMItKsjyzFjg2diVLotz2CRnFrqwN2cee8bFokOPUxixYc&#10;r9SJcRXi/J7fUT5f/9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GqLXdgAAAAKAQAADwAAAAAA&#10;AAABACAAAAAiAAAAZHJzL2Rvd25yZXYueG1sUEsBAhQAFAAAAAgAh07iQELca5wTAgAARgQAAA4A&#10;AAAAAAAAAQAgAAAAJwEAAGRycy9lMm9Eb2MueG1sUEsFBgAAAAAGAAYAWQEAAKwFAAAAAA==&#10;">
                <v:fill on="t" focussize="0,0"/>
                <v:stroke color="#000000" joinstyle="miter"/>
                <v:imagedata o:title=""/>
                <o:lock v:ext="edit" aspectratio="f"/>
                <v:textbox>
                  <w:txbxContent>
                    <w:p w14:paraId="025CD415">
                      <w:r>
                        <w:rPr>
                          <w:rFonts w:hint="eastAsia" w:ascii="新宋体" w:hAnsi="新宋体" w:eastAsia="新宋体"/>
                          <w:sz w:val="22"/>
                          <w:szCs w:val="22"/>
                        </w:rPr>
                        <w:t xml:space="preserve">  授权代表身份证（正反面）：</w:t>
                      </w:r>
                    </w:p>
                  </w:txbxContent>
                </v:textbox>
              </v:shape>
            </w:pict>
          </mc:Fallback>
        </mc:AlternateContent>
      </w:r>
    </w:p>
    <w:p w14:paraId="459C7FED">
      <w:pPr>
        <w:spacing w:line="460" w:lineRule="exact"/>
        <w:jc w:val="center"/>
        <w:rPr>
          <w:rFonts w:hint="eastAsia" w:ascii="宋体" w:hAnsi="宋体" w:eastAsia="宋体" w:cs="宋体"/>
          <w:b/>
          <w:bCs/>
          <w:color w:val="auto"/>
          <w:sz w:val="28"/>
          <w:szCs w:val="28"/>
          <w:highlight w:val="none"/>
        </w:rPr>
      </w:pPr>
    </w:p>
    <w:p w14:paraId="6A6B3C43">
      <w:pPr>
        <w:spacing w:line="460" w:lineRule="exact"/>
        <w:jc w:val="center"/>
        <w:rPr>
          <w:rFonts w:hint="eastAsia" w:ascii="宋体" w:hAnsi="宋体" w:eastAsia="宋体" w:cs="宋体"/>
          <w:b/>
          <w:bCs/>
          <w:color w:val="auto"/>
          <w:sz w:val="28"/>
          <w:szCs w:val="28"/>
          <w:highlight w:val="none"/>
        </w:rPr>
      </w:pPr>
    </w:p>
    <w:p w14:paraId="1352E556">
      <w:pPr>
        <w:spacing w:line="460" w:lineRule="exact"/>
        <w:jc w:val="center"/>
        <w:rPr>
          <w:rFonts w:hint="eastAsia" w:ascii="宋体" w:hAnsi="宋体" w:eastAsia="宋体" w:cs="宋体"/>
          <w:b/>
          <w:bCs/>
          <w:color w:val="auto"/>
          <w:sz w:val="28"/>
          <w:szCs w:val="28"/>
          <w:highlight w:val="none"/>
        </w:rPr>
      </w:pPr>
    </w:p>
    <w:p w14:paraId="3FE494C8">
      <w:pPr>
        <w:spacing w:line="460" w:lineRule="exact"/>
        <w:jc w:val="center"/>
        <w:rPr>
          <w:rFonts w:hint="eastAsia" w:ascii="宋体" w:hAnsi="宋体" w:eastAsia="宋体" w:cs="宋体"/>
          <w:b/>
          <w:bCs/>
          <w:color w:val="auto"/>
          <w:sz w:val="28"/>
          <w:szCs w:val="28"/>
          <w:highlight w:val="none"/>
        </w:rPr>
      </w:pPr>
    </w:p>
    <w:p w14:paraId="472C4984">
      <w:pPr>
        <w:spacing w:line="460" w:lineRule="exact"/>
        <w:jc w:val="center"/>
        <w:rPr>
          <w:rFonts w:hint="eastAsia" w:ascii="宋体" w:hAnsi="宋体" w:eastAsia="宋体" w:cs="宋体"/>
          <w:b/>
          <w:bCs/>
          <w:color w:val="auto"/>
          <w:sz w:val="28"/>
          <w:szCs w:val="28"/>
          <w:highlight w:val="none"/>
        </w:rPr>
      </w:pPr>
    </w:p>
    <w:p w14:paraId="2372E438">
      <w:pPr>
        <w:spacing w:line="460" w:lineRule="exact"/>
        <w:jc w:val="center"/>
        <w:rPr>
          <w:rFonts w:hint="eastAsia" w:ascii="宋体" w:hAnsi="宋体" w:eastAsia="宋体" w:cs="宋体"/>
          <w:b/>
          <w:bCs/>
          <w:color w:val="auto"/>
          <w:sz w:val="28"/>
          <w:szCs w:val="28"/>
          <w:highlight w:val="none"/>
        </w:rPr>
      </w:pPr>
    </w:p>
    <w:p w14:paraId="4904D5AB">
      <w:pPr>
        <w:spacing w:line="460" w:lineRule="exact"/>
        <w:jc w:val="center"/>
        <w:rPr>
          <w:rFonts w:hint="eastAsia" w:ascii="宋体" w:hAnsi="宋体" w:eastAsia="宋体" w:cs="宋体"/>
          <w:b/>
          <w:bCs/>
          <w:color w:val="auto"/>
          <w:sz w:val="28"/>
          <w:szCs w:val="28"/>
          <w:highlight w:val="none"/>
        </w:rPr>
      </w:pPr>
    </w:p>
    <w:p w14:paraId="479E979B">
      <w:pPr>
        <w:spacing w:line="460" w:lineRule="exact"/>
        <w:jc w:val="center"/>
        <w:rPr>
          <w:rFonts w:hint="eastAsia" w:ascii="宋体" w:hAnsi="宋体" w:eastAsia="宋体" w:cs="宋体"/>
          <w:b/>
          <w:bCs/>
          <w:color w:val="auto"/>
          <w:sz w:val="28"/>
          <w:szCs w:val="28"/>
          <w:highlight w:val="none"/>
        </w:rPr>
      </w:pPr>
    </w:p>
    <w:p w14:paraId="710DDCEB">
      <w:pPr>
        <w:spacing w:line="460" w:lineRule="exact"/>
        <w:jc w:val="center"/>
        <w:rPr>
          <w:rFonts w:hint="eastAsia" w:ascii="宋体" w:hAnsi="宋体" w:eastAsia="宋体" w:cs="宋体"/>
          <w:b/>
          <w:bCs/>
          <w:color w:val="auto"/>
          <w:sz w:val="28"/>
          <w:szCs w:val="28"/>
          <w:highlight w:val="none"/>
        </w:rPr>
      </w:pPr>
    </w:p>
    <w:p w14:paraId="484BD405">
      <w:pPr>
        <w:spacing w:line="460" w:lineRule="exact"/>
        <w:jc w:val="center"/>
        <w:rPr>
          <w:rFonts w:hint="eastAsia" w:ascii="宋体" w:hAnsi="宋体" w:eastAsia="宋体" w:cs="宋体"/>
          <w:b/>
          <w:bCs/>
          <w:color w:val="auto"/>
          <w:sz w:val="28"/>
          <w:szCs w:val="28"/>
          <w:highlight w:val="none"/>
        </w:rPr>
      </w:pPr>
    </w:p>
    <w:p w14:paraId="22CE85C0">
      <w:pPr>
        <w:spacing w:line="460" w:lineRule="exact"/>
        <w:jc w:val="center"/>
        <w:rPr>
          <w:rFonts w:hint="eastAsia" w:ascii="宋体" w:hAnsi="宋体" w:eastAsia="宋体" w:cs="宋体"/>
          <w:b/>
          <w:bCs/>
          <w:color w:val="auto"/>
          <w:sz w:val="28"/>
          <w:szCs w:val="28"/>
          <w:highlight w:val="none"/>
        </w:rPr>
      </w:pPr>
    </w:p>
    <w:p w14:paraId="39CB855B">
      <w:pPr>
        <w:spacing w:line="460" w:lineRule="exact"/>
        <w:jc w:val="center"/>
        <w:rPr>
          <w:rFonts w:hint="eastAsia" w:ascii="宋体" w:hAnsi="宋体" w:eastAsia="宋体" w:cs="宋体"/>
          <w:b/>
          <w:bCs/>
          <w:color w:val="auto"/>
          <w:sz w:val="28"/>
          <w:szCs w:val="28"/>
          <w:highlight w:val="none"/>
        </w:rPr>
      </w:pPr>
    </w:p>
    <w:p w14:paraId="440E825B">
      <w:pPr>
        <w:spacing w:line="460" w:lineRule="exact"/>
        <w:jc w:val="center"/>
        <w:rPr>
          <w:rFonts w:hint="eastAsia" w:ascii="宋体" w:hAnsi="宋体" w:eastAsia="宋体" w:cs="宋体"/>
          <w:b/>
          <w:bCs/>
          <w:color w:val="auto"/>
          <w:sz w:val="28"/>
          <w:szCs w:val="28"/>
          <w:highlight w:val="none"/>
        </w:rPr>
      </w:pPr>
    </w:p>
    <w:p w14:paraId="7856B8BE">
      <w:pPr>
        <w:spacing w:line="460" w:lineRule="exact"/>
        <w:jc w:val="center"/>
        <w:rPr>
          <w:rFonts w:hint="eastAsia" w:ascii="宋体" w:hAnsi="宋体" w:eastAsia="宋体" w:cs="宋体"/>
          <w:b/>
          <w:bCs/>
          <w:color w:val="auto"/>
          <w:sz w:val="28"/>
          <w:szCs w:val="28"/>
          <w:highlight w:val="none"/>
        </w:rPr>
      </w:pPr>
    </w:p>
    <w:p w14:paraId="6C8457BB">
      <w:pPr>
        <w:spacing w:line="460" w:lineRule="exact"/>
        <w:jc w:val="center"/>
        <w:rPr>
          <w:rFonts w:hint="eastAsia" w:ascii="宋体" w:hAnsi="宋体" w:eastAsia="宋体" w:cs="宋体"/>
          <w:b/>
          <w:bCs/>
          <w:color w:val="auto"/>
          <w:sz w:val="28"/>
          <w:szCs w:val="28"/>
          <w:highlight w:val="none"/>
        </w:rPr>
      </w:pPr>
    </w:p>
    <w:p w14:paraId="3552B9CA">
      <w:pPr>
        <w:spacing w:line="460" w:lineRule="exact"/>
        <w:jc w:val="center"/>
        <w:outlineLvl w:val="3"/>
        <w:rPr>
          <w:rFonts w:hint="eastAsia" w:ascii="宋体" w:hAnsi="宋体" w:eastAsia="宋体" w:cs="宋体"/>
          <w:b/>
          <w:bCs/>
          <w:color w:val="auto"/>
          <w:sz w:val="22"/>
          <w:szCs w:val="22"/>
          <w:highlight w:val="none"/>
        </w:rPr>
        <w:sectPr>
          <w:headerReference r:id="rId3" w:type="default"/>
          <w:footerReference r:id="rId4" w:type="default"/>
          <w:pgSz w:w="11906" w:h="16838"/>
          <w:pgMar w:top="1134" w:right="1134" w:bottom="1134" w:left="1134" w:header="850" w:footer="992" w:gutter="0"/>
          <w:cols w:space="720" w:num="1"/>
          <w:titlePg/>
          <w:docGrid w:type="lines" w:linePitch="312" w:charSpace="0"/>
        </w:sectPr>
      </w:pPr>
    </w:p>
    <w:p w14:paraId="239664EF">
      <w:pPr>
        <w:spacing w:line="400" w:lineRule="exact"/>
        <w:jc w:val="center"/>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2、投标人情况表</w:t>
      </w:r>
    </w:p>
    <w:p w14:paraId="24C47224">
      <w:pPr>
        <w:spacing w:line="36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项目编号：</w:t>
      </w:r>
      <w:r>
        <w:rPr>
          <w:rFonts w:hint="eastAsia" w:ascii="宋体" w:hAnsi="宋体" w:cs="宋体"/>
          <w:b w:val="0"/>
          <w:bCs w:val="0"/>
          <w:color w:val="auto"/>
          <w:sz w:val="22"/>
          <w:szCs w:val="22"/>
          <w:highlight w:val="none"/>
          <w:lang w:eastAsia="zh-CN"/>
        </w:rPr>
        <w:t>WZLCZB（W）-2025-04145</w:t>
      </w:r>
    </w:p>
    <w:p w14:paraId="7A16287A">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2"/>
          <w:szCs w:val="22"/>
          <w:highlight w:val="none"/>
          <w:lang w:eastAsia="zh-CN"/>
        </w:rPr>
      </w:pPr>
      <w:r>
        <w:rPr>
          <w:rFonts w:hint="eastAsia" w:ascii="宋体" w:hAnsi="宋体" w:eastAsia="宋体" w:cs="宋体"/>
          <w:b w:val="0"/>
          <w:bCs w:val="0"/>
          <w:color w:val="auto"/>
          <w:sz w:val="22"/>
          <w:szCs w:val="22"/>
          <w:highlight w:val="none"/>
        </w:rPr>
        <w:t>项目名称：</w:t>
      </w:r>
      <w:r>
        <w:rPr>
          <w:rFonts w:hint="eastAsia" w:ascii="宋体" w:hAnsi="宋体" w:cs="宋体"/>
          <w:b w:val="0"/>
          <w:bCs w:val="0"/>
          <w:color w:val="auto"/>
          <w:sz w:val="22"/>
          <w:szCs w:val="22"/>
          <w:highlight w:val="none"/>
          <w:lang w:eastAsia="zh-CN"/>
        </w:rPr>
        <w:t>育龄期女性多囊卵巢综合征课题医学检测外送服务</w:t>
      </w:r>
    </w:p>
    <w:tbl>
      <w:tblPr>
        <w:tblStyle w:val="52"/>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839"/>
        <w:gridCol w:w="731"/>
        <w:gridCol w:w="1697"/>
        <w:gridCol w:w="976"/>
        <w:gridCol w:w="985"/>
        <w:gridCol w:w="1383"/>
        <w:gridCol w:w="1500"/>
      </w:tblGrid>
      <w:tr w14:paraId="7201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noWrap w:val="0"/>
            <w:vAlign w:val="center"/>
          </w:tcPr>
          <w:p w14:paraId="3DD17834">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单位名称</w:t>
            </w:r>
          </w:p>
        </w:tc>
        <w:tc>
          <w:tcPr>
            <w:tcW w:w="1839" w:type="dxa"/>
            <w:noWrap w:val="0"/>
            <w:vAlign w:val="center"/>
          </w:tcPr>
          <w:p w14:paraId="32372E51">
            <w:pPr>
              <w:spacing w:line="480" w:lineRule="exact"/>
              <w:jc w:val="center"/>
              <w:rPr>
                <w:rFonts w:ascii="宋体" w:hAnsi="宋体" w:cs="宋体"/>
                <w:color w:val="auto"/>
                <w:sz w:val="22"/>
                <w:szCs w:val="22"/>
                <w:highlight w:val="none"/>
              </w:rPr>
            </w:pPr>
          </w:p>
        </w:tc>
        <w:tc>
          <w:tcPr>
            <w:tcW w:w="731" w:type="dxa"/>
            <w:noWrap w:val="0"/>
            <w:vAlign w:val="center"/>
          </w:tcPr>
          <w:p w14:paraId="3A17E2CE">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电话</w:t>
            </w:r>
          </w:p>
        </w:tc>
        <w:tc>
          <w:tcPr>
            <w:tcW w:w="1697" w:type="dxa"/>
            <w:noWrap w:val="0"/>
            <w:vAlign w:val="center"/>
          </w:tcPr>
          <w:p w14:paraId="3B0A2BEC">
            <w:pPr>
              <w:spacing w:line="480" w:lineRule="exact"/>
              <w:jc w:val="center"/>
              <w:rPr>
                <w:rFonts w:ascii="宋体" w:hAnsi="宋体" w:cs="宋体"/>
                <w:color w:val="auto"/>
                <w:sz w:val="22"/>
                <w:szCs w:val="22"/>
                <w:highlight w:val="none"/>
              </w:rPr>
            </w:pPr>
          </w:p>
        </w:tc>
        <w:tc>
          <w:tcPr>
            <w:tcW w:w="976" w:type="dxa"/>
            <w:noWrap w:val="0"/>
            <w:vAlign w:val="center"/>
          </w:tcPr>
          <w:p w14:paraId="03CEE840">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主管部门</w:t>
            </w:r>
          </w:p>
        </w:tc>
        <w:tc>
          <w:tcPr>
            <w:tcW w:w="985" w:type="dxa"/>
            <w:noWrap w:val="0"/>
            <w:vAlign w:val="center"/>
          </w:tcPr>
          <w:p w14:paraId="4BB64F02">
            <w:pPr>
              <w:spacing w:line="480" w:lineRule="exact"/>
              <w:jc w:val="center"/>
              <w:rPr>
                <w:rFonts w:ascii="宋体" w:hAnsi="宋体" w:cs="宋体"/>
                <w:color w:val="auto"/>
                <w:sz w:val="22"/>
                <w:szCs w:val="22"/>
                <w:highlight w:val="none"/>
              </w:rPr>
            </w:pPr>
          </w:p>
        </w:tc>
        <w:tc>
          <w:tcPr>
            <w:tcW w:w="1383" w:type="dxa"/>
            <w:noWrap w:val="0"/>
            <w:vAlign w:val="center"/>
          </w:tcPr>
          <w:p w14:paraId="530CC175">
            <w:pPr>
              <w:spacing w:line="4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企业负责人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职务</w:t>
            </w:r>
            <w:r>
              <w:rPr>
                <w:rFonts w:hint="eastAsia" w:ascii="宋体" w:hAnsi="宋体" w:cs="宋体"/>
                <w:color w:val="auto"/>
                <w:sz w:val="22"/>
                <w:szCs w:val="22"/>
                <w:highlight w:val="none"/>
                <w:lang w:eastAsia="zh-CN"/>
              </w:rPr>
              <w:t>）</w:t>
            </w:r>
          </w:p>
        </w:tc>
        <w:tc>
          <w:tcPr>
            <w:tcW w:w="1500" w:type="dxa"/>
            <w:noWrap w:val="0"/>
            <w:vAlign w:val="center"/>
          </w:tcPr>
          <w:p w14:paraId="5D6EE6FE">
            <w:pPr>
              <w:spacing w:line="480" w:lineRule="exact"/>
              <w:jc w:val="center"/>
              <w:rPr>
                <w:rFonts w:ascii="宋体" w:hAnsi="宋体" w:cs="宋体"/>
                <w:color w:val="auto"/>
                <w:sz w:val="22"/>
                <w:szCs w:val="22"/>
                <w:highlight w:val="none"/>
              </w:rPr>
            </w:pPr>
          </w:p>
        </w:tc>
      </w:tr>
      <w:tr w14:paraId="4C93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noWrap w:val="0"/>
            <w:vAlign w:val="center"/>
          </w:tcPr>
          <w:p w14:paraId="5BF10537">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地址</w:t>
            </w:r>
          </w:p>
        </w:tc>
        <w:tc>
          <w:tcPr>
            <w:tcW w:w="1839" w:type="dxa"/>
            <w:noWrap w:val="0"/>
            <w:vAlign w:val="center"/>
          </w:tcPr>
          <w:p w14:paraId="0E284737">
            <w:pPr>
              <w:spacing w:line="480" w:lineRule="exact"/>
              <w:jc w:val="center"/>
              <w:rPr>
                <w:rFonts w:ascii="宋体" w:hAnsi="宋体" w:cs="宋体"/>
                <w:color w:val="auto"/>
                <w:sz w:val="22"/>
                <w:szCs w:val="22"/>
                <w:highlight w:val="none"/>
              </w:rPr>
            </w:pPr>
          </w:p>
        </w:tc>
        <w:tc>
          <w:tcPr>
            <w:tcW w:w="731" w:type="dxa"/>
            <w:noWrap w:val="0"/>
            <w:vAlign w:val="center"/>
          </w:tcPr>
          <w:p w14:paraId="0BE97DDD">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传真</w:t>
            </w:r>
          </w:p>
        </w:tc>
        <w:tc>
          <w:tcPr>
            <w:tcW w:w="1697" w:type="dxa"/>
            <w:noWrap w:val="0"/>
            <w:vAlign w:val="center"/>
          </w:tcPr>
          <w:p w14:paraId="3315862B">
            <w:pPr>
              <w:spacing w:line="480" w:lineRule="exact"/>
              <w:jc w:val="center"/>
              <w:rPr>
                <w:rFonts w:ascii="宋体" w:hAnsi="宋体" w:cs="宋体"/>
                <w:color w:val="auto"/>
                <w:sz w:val="22"/>
                <w:szCs w:val="22"/>
                <w:highlight w:val="none"/>
              </w:rPr>
            </w:pPr>
          </w:p>
        </w:tc>
        <w:tc>
          <w:tcPr>
            <w:tcW w:w="976" w:type="dxa"/>
            <w:noWrap w:val="0"/>
            <w:vAlign w:val="center"/>
          </w:tcPr>
          <w:p w14:paraId="4621FB76">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企业性质</w:t>
            </w:r>
          </w:p>
        </w:tc>
        <w:tc>
          <w:tcPr>
            <w:tcW w:w="985" w:type="dxa"/>
            <w:noWrap w:val="0"/>
            <w:vAlign w:val="center"/>
          </w:tcPr>
          <w:p w14:paraId="328E12C4">
            <w:pPr>
              <w:spacing w:line="480" w:lineRule="exact"/>
              <w:jc w:val="center"/>
              <w:rPr>
                <w:rFonts w:ascii="宋体" w:hAnsi="宋体" w:cs="宋体"/>
                <w:color w:val="auto"/>
                <w:sz w:val="22"/>
                <w:szCs w:val="22"/>
                <w:highlight w:val="none"/>
              </w:rPr>
            </w:pPr>
          </w:p>
        </w:tc>
        <w:tc>
          <w:tcPr>
            <w:tcW w:w="1383" w:type="dxa"/>
            <w:noWrap w:val="0"/>
            <w:vAlign w:val="center"/>
          </w:tcPr>
          <w:p w14:paraId="58AD638D">
            <w:pPr>
              <w:spacing w:line="48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授权代表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职务</w:t>
            </w:r>
            <w:r>
              <w:rPr>
                <w:rFonts w:hint="eastAsia" w:ascii="宋体" w:hAnsi="宋体" w:cs="宋体"/>
                <w:color w:val="auto"/>
                <w:sz w:val="22"/>
                <w:szCs w:val="22"/>
                <w:highlight w:val="none"/>
                <w:lang w:eastAsia="zh-CN"/>
              </w:rPr>
              <w:t>）</w:t>
            </w:r>
          </w:p>
        </w:tc>
        <w:tc>
          <w:tcPr>
            <w:tcW w:w="1500" w:type="dxa"/>
            <w:noWrap w:val="0"/>
            <w:vAlign w:val="center"/>
          </w:tcPr>
          <w:p w14:paraId="5BC94AA7">
            <w:pPr>
              <w:spacing w:line="480" w:lineRule="exact"/>
              <w:jc w:val="center"/>
              <w:rPr>
                <w:rFonts w:ascii="宋体" w:hAnsi="宋体" w:cs="宋体"/>
                <w:color w:val="auto"/>
                <w:sz w:val="22"/>
                <w:szCs w:val="22"/>
                <w:highlight w:val="none"/>
              </w:rPr>
            </w:pPr>
          </w:p>
        </w:tc>
      </w:tr>
      <w:tr w14:paraId="6CD9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0" w:hRule="atLeast"/>
        </w:trPr>
        <w:tc>
          <w:tcPr>
            <w:tcW w:w="804" w:type="dxa"/>
            <w:noWrap w:val="0"/>
            <w:vAlign w:val="center"/>
          </w:tcPr>
          <w:p w14:paraId="1269BB69">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单位简介</w:t>
            </w:r>
          </w:p>
          <w:p w14:paraId="4A35C087">
            <w:pPr>
              <w:spacing w:line="4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及机构</w:t>
            </w:r>
          </w:p>
        </w:tc>
        <w:tc>
          <w:tcPr>
            <w:tcW w:w="9111" w:type="dxa"/>
            <w:gridSpan w:val="7"/>
            <w:noWrap w:val="0"/>
            <w:vAlign w:val="center"/>
          </w:tcPr>
          <w:p w14:paraId="7A406758">
            <w:pPr>
              <w:spacing w:line="480" w:lineRule="exact"/>
              <w:rPr>
                <w:rFonts w:ascii="宋体" w:hAnsi="宋体" w:cs="宋体"/>
                <w:color w:val="auto"/>
                <w:sz w:val="22"/>
                <w:szCs w:val="22"/>
                <w:highlight w:val="none"/>
              </w:rPr>
            </w:pPr>
          </w:p>
        </w:tc>
      </w:tr>
    </w:tbl>
    <w:p w14:paraId="0FE12830">
      <w:pPr>
        <w:pStyle w:val="6"/>
        <w:rPr>
          <w:rFonts w:hint="eastAsia"/>
        </w:rPr>
        <w:sectPr>
          <w:pgSz w:w="11906" w:h="16838"/>
          <w:pgMar w:top="1134" w:right="1134" w:bottom="1134" w:left="1134" w:header="850" w:footer="992" w:gutter="0"/>
          <w:cols w:space="720" w:num="1"/>
          <w:docGrid w:type="lines" w:linePitch="321" w:charSpace="0"/>
        </w:sectPr>
      </w:pPr>
    </w:p>
    <w:p w14:paraId="7935874C">
      <w:pPr>
        <w:spacing w:line="400" w:lineRule="exact"/>
        <w:jc w:val="center"/>
        <w:outlineLvl w:val="3"/>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val="zh-CN" w:eastAsia="zh-CN"/>
        </w:rPr>
        <w:t>偏离表（</w:t>
      </w:r>
      <w:r>
        <w:rPr>
          <w:rFonts w:hint="eastAsia" w:ascii="宋体" w:hAnsi="宋体" w:eastAsia="宋体" w:cs="宋体"/>
          <w:b/>
          <w:bCs/>
          <w:color w:val="auto"/>
          <w:sz w:val="28"/>
          <w:szCs w:val="28"/>
          <w:highlight w:val="none"/>
          <w:lang w:val="en-US" w:eastAsia="zh-CN"/>
        </w:rPr>
        <w:t>商务、技术偏离</w:t>
      </w:r>
      <w:r>
        <w:rPr>
          <w:rFonts w:hint="eastAsia" w:ascii="宋体" w:hAnsi="宋体" w:eastAsia="宋体" w:cs="宋体"/>
          <w:b/>
          <w:bCs/>
          <w:color w:val="auto"/>
          <w:sz w:val="28"/>
          <w:szCs w:val="28"/>
          <w:highlight w:val="none"/>
          <w:lang w:val="zh-CN" w:eastAsia="zh-CN"/>
        </w:rPr>
        <w:t>）</w:t>
      </w:r>
    </w:p>
    <w:p w14:paraId="0B0E6C76">
      <w:pPr>
        <w:spacing w:line="360" w:lineRule="auto"/>
        <w:rPr>
          <w:rFonts w:hint="eastAsia" w:ascii="宋体" w:hAnsi="宋体" w:eastAsia="宋体" w:cs="宋体"/>
          <w:b w:val="0"/>
          <w:bCs w:val="0"/>
          <w:color w:val="auto"/>
          <w:sz w:val="22"/>
          <w:szCs w:val="22"/>
          <w:highlight w:val="none"/>
        </w:rPr>
      </w:pPr>
    </w:p>
    <w:p w14:paraId="4990B127">
      <w:pPr>
        <w:spacing w:line="36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项目编号：</w:t>
      </w:r>
      <w:r>
        <w:rPr>
          <w:rFonts w:hint="eastAsia" w:ascii="宋体" w:hAnsi="宋体" w:cs="宋体"/>
          <w:b w:val="0"/>
          <w:bCs w:val="0"/>
          <w:color w:val="auto"/>
          <w:sz w:val="22"/>
          <w:szCs w:val="22"/>
          <w:highlight w:val="none"/>
          <w:lang w:eastAsia="zh-CN"/>
        </w:rPr>
        <w:t>WZLCZB（W）-2025-04145</w:t>
      </w:r>
    </w:p>
    <w:p w14:paraId="6FF81D3E">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2"/>
          <w:szCs w:val="22"/>
          <w:highlight w:val="none"/>
          <w:lang w:eastAsia="zh-CN"/>
        </w:rPr>
      </w:pPr>
      <w:r>
        <w:rPr>
          <w:rFonts w:hint="eastAsia" w:ascii="宋体" w:hAnsi="宋体" w:eastAsia="宋体" w:cs="宋体"/>
          <w:b w:val="0"/>
          <w:bCs w:val="0"/>
          <w:color w:val="auto"/>
          <w:sz w:val="22"/>
          <w:szCs w:val="22"/>
          <w:highlight w:val="none"/>
        </w:rPr>
        <w:t>项目名称：</w:t>
      </w:r>
      <w:r>
        <w:rPr>
          <w:rFonts w:hint="eastAsia" w:ascii="宋体" w:hAnsi="宋体" w:cs="宋体"/>
          <w:b w:val="0"/>
          <w:bCs w:val="0"/>
          <w:color w:val="auto"/>
          <w:sz w:val="22"/>
          <w:szCs w:val="22"/>
          <w:highlight w:val="none"/>
          <w:lang w:eastAsia="zh-CN"/>
        </w:rPr>
        <w:t>育龄期女性多囊卵巢综合征课题医学检测外送服务</w:t>
      </w:r>
    </w:p>
    <w:tbl>
      <w:tblPr>
        <w:tblStyle w:val="52"/>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687"/>
        <w:gridCol w:w="3402"/>
        <w:gridCol w:w="1580"/>
      </w:tblGrid>
      <w:tr w14:paraId="586A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1" w:type="dxa"/>
            <w:shd w:val="clear" w:color="auto" w:fill="FFFFFF"/>
            <w:vAlign w:val="center"/>
          </w:tcPr>
          <w:p w14:paraId="2535E09D">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  号</w:t>
            </w:r>
          </w:p>
        </w:tc>
        <w:tc>
          <w:tcPr>
            <w:tcW w:w="3687" w:type="dxa"/>
            <w:shd w:val="clear" w:color="auto" w:fill="FFFFFF"/>
            <w:vAlign w:val="center"/>
          </w:tcPr>
          <w:p w14:paraId="6AE9BC6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招标文件</w:t>
            </w:r>
          </w:p>
          <w:p w14:paraId="4B6EE7C0">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规格要求</w:t>
            </w:r>
          </w:p>
        </w:tc>
        <w:tc>
          <w:tcPr>
            <w:tcW w:w="3402" w:type="dxa"/>
            <w:shd w:val="clear" w:color="auto" w:fill="FFFFFF"/>
            <w:vAlign w:val="center"/>
          </w:tcPr>
          <w:p w14:paraId="5F5B1EDB">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投标文件</w:t>
            </w:r>
          </w:p>
          <w:p w14:paraId="5867FC95">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对应规格</w:t>
            </w:r>
          </w:p>
        </w:tc>
        <w:tc>
          <w:tcPr>
            <w:tcW w:w="1580" w:type="dxa"/>
            <w:shd w:val="clear" w:color="auto" w:fill="FFFFFF"/>
            <w:vAlign w:val="center"/>
          </w:tcPr>
          <w:p w14:paraId="21F3FAF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   明</w:t>
            </w:r>
          </w:p>
        </w:tc>
      </w:tr>
      <w:tr w14:paraId="76DE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91" w:type="dxa"/>
            <w:vAlign w:val="center"/>
          </w:tcPr>
          <w:p w14:paraId="280D5700">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3687" w:type="dxa"/>
            <w:vAlign w:val="center"/>
          </w:tcPr>
          <w:p w14:paraId="3102D925">
            <w:pPr>
              <w:jc w:val="center"/>
              <w:rPr>
                <w:rFonts w:hint="eastAsia" w:ascii="宋体" w:hAnsi="宋体" w:eastAsia="宋体" w:cs="宋体"/>
                <w:color w:val="auto"/>
                <w:sz w:val="22"/>
                <w:szCs w:val="22"/>
                <w:highlight w:val="none"/>
              </w:rPr>
            </w:pPr>
          </w:p>
        </w:tc>
        <w:tc>
          <w:tcPr>
            <w:tcW w:w="3402" w:type="dxa"/>
            <w:vAlign w:val="center"/>
          </w:tcPr>
          <w:p w14:paraId="13A7974E">
            <w:pPr>
              <w:jc w:val="center"/>
              <w:rPr>
                <w:rFonts w:hint="eastAsia" w:ascii="宋体" w:hAnsi="宋体" w:eastAsia="宋体" w:cs="宋体"/>
                <w:color w:val="auto"/>
                <w:sz w:val="22"/>
                <w:szCs w:val="22"/>
                <w:highlight w:val="none"/>
              </w:rPr>
            </w:pPr>
          </w:p>
        </w:tc>
        <w:tc>
          <w:tcPr>
            <w:tcW w:w="1580" w:type="dxa"/>
            <w:vAlign w:val="center"/>
          </w:tcPr>
          <w:p w14:paraId="675D57AC">
            <w:pPr>
              <w:jc w:val="center"/>
              <w:rPr>
                <w:rFonts w:hint="eastAsia" w:ascii="宋体" w:hAnsi="宋体" w:eastAsia="宋体" w:cs="宋体"/>
                <w:color w:val="auto"/>
                <w:sz w:val="22"/>
                <w:szCs w:val="22"/>
                <w:highlight w:val="none"/>
              </w:rPr>
            </w:pPr>
          </w:p>
        </w:tc>
      </w:tr>
      <w:tr w14:paraId="6FBD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A79D2AF">
            <w:pPr>
              <w:jc w:val="center"/>
              <w:rPr>
                <w:rFonts w:hint="eastAsia" w:ascii="宋体" w:hAnsi="宋体" w:eastAsia="宋体" w:cs="宋体"/>
                <w:color w:val="auto"/>
                <w:sz w:val="22"/>
                <w:szCs w:val="22"/>
                <w:highlight w:val="none"/>
              </w:rPr>
            </w:pPr>
          </w:p>
        </w:tc>
        <w:tc>
          <w:tcPr>
            <w:tcW w:w="3687" w:type="dxa"/>
            <w:vAlign w:val="center"/>
          </w:tcPr>
          <w:p w14:paraId="64B1E830">
            <w:pPr>
              <w:jc w:val="center"/>
              <w:rPr>
                <w:rFonts w:hint="eastAsia" w:ascii="宋体" w:hAnsi="宋体" w:eastAsia="宋体" w:cs="宋体"/>
                <w:color w:val="auto"/>
                <w:sz w:val="22"/>
                <w:szCs w:val="22"/>
                <w:highlight w:val="none"/>
              </w:rPr>
            </w:pPr>
          </w:p>
        </w:tc>
        <w:tc>
          <w:tcPr>
            <w:tcW w:w="3402" w:type="dxa"/>
            <w:vAlign w:val="center"/>
          </w:tcPr>
          <w:p w14:paraId="151C1580">
            <w:pPr>
              <w:jc w:val="center"/>
              <w:rPr>
                <w:rFonts w:hint="eastAsia" w:ascii="宋体" w:hAnsi="宋体" w:eastAsia="宋体" w:cs="宋体"/>
                <w:color w:val="auto"/>
                <w:sz w:val="22"/>
                <w:szCs w:val="22"/>
                <w:highlight w:val="none"/>
              </w:rPr>
            </w:pPr>
          </w:p>
        </w:tc>
        <w:tc>
          <w:tcPr>
            <w:tcW w:w="1580" w:type="dxa"/>
            <w:vAlign w:val="center"/>
          </w:tcPr>
          <w:p w14:paraId="79DDF8E1">
            <w:pPr>
              <w:jc w:val="center"/>
              <w:rPr>
                <w:rFonts w:hint="eastAsia" w:ascii="宋体" w:hAnsi="宋体" w:eastAsia="宋体" w:cs="宋体"/>
                <w:color w:val="auto"/>
                <w:sz w:val="22"/>
                <w:szCs w:val="22"/>
                <w:highlight w:val="none"/>
              </w:rPr>
            </w:pPr>
          </w:p>
        </w:tc>
      </w:tr>
      <w:tr w14:paraId="3479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11C35A7">
            <w:pPr>
              <w:jc w:val="center"/>
              <w:rPr>
                <w:rFonts w:hint="eastAsia" w:ascii="宋体" w:hAnsi="宋体" w:eastAsia="宋体" w:cs="宋体"/>
                <w:color w:val="auto"/>
                <w:sz w:val="22"/>
                <w:szCs w:val="22"/>
                <w:highlight w:val="none"/>
              </w:rPr>
            </w:pPr>
          </w:p>
        </w:tc>
        <w:tc>
          <w:tcPr>
            <w:tcW w:w="3687" w:type="dxa"/>
            <w:vAlign w:val="center"/>
          </w:tcPr>
          <w:p w14:paraId="0C219343">
            <w:pPr>
              <w:jc w:val="center"/>
              <w:rPr>
                <w:rFonts w:hint="eastAsia" w:ascii="宋体" w:hAnsi="宋体" w:eastAsia="宋体" w:cs="宋体"/>
                <w:color w:val="auto"/>
                <w:sz w:val="22"/>
                <w:szCs w:val="22"/>
                <w:highlight w:val="none"/>
              </w:rPr>
            </w:pPr>
          </w:p>
        </w:tc>
        <w:tc>
          <w:tcPr>
            <w:tcW w:w="3402" w:type="dxa"/>
            <w:vAlign w:val="center"/>
          </w:tcPr>
          <w:p w14:paraId="5E30D7B4">
            <w:pPr>
              <w:jc w:val="center"/>
              <w:rPr>
                <w:rFonts w:hint="eastAsia" w:ascii="宋体" w:hAnsi="宋体" w:eastAsia="宋体" w:cs="宋体"/>
                <w:color w:val="auto"/>
                <w:sz w:val="22"/>
                <w:szCs w:val="22"/>
                <w:highlight w:val="none"/>
              </w:rPr>
            </w:pPr>
          </w:p>
        </w:tc>
        <w:tc>
          <w:tcPr>
            <w:tcW w:w="1580" w:type="dxa"/>
            <w:vAlign w:val="center"/>
          </w:tcPr>
          <w:p w14:paraId="53AA8591">
            <w:pPr>
              <w:jc w:val="center"/>
              <w:rPr>
                <w:rFonts w:hint="eastAsia" w:ascii="宋体" w:hAnsi="宋体" w:eastAsia="宋体" w:cs="宋体"/>
                <w:color w:val="auto"/>
                <w:sz w:val="22"/>
                <w:szCs w:val="22"/>
                <w:highlight w:val="none"/>
              </w:rPr>
            </w:pPr>
          </w:p>
        </w:tc>
      </w:tr>
      <w:tr w14:paraId="1206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5164C66">
            <w:pPr>
              <w:jc w:val="center"/>
              <w:rPr>
                <w:rFonts w:hint="eastAsia" w:ascii="宋体" w:hAnsi="宋体" w:eastAsia="宋体" w:cs="宋体"/>
                <w:color w:val="auto"/>
                <w:sz w:val="22"/>
                <w:szCs w:val="22"/>
                <w:highlight w:val="none"/>
              </w:rPr>
            </w:pPr>
          </w:p>
        </w:tc>
        <w:tc>
          <w:tcPr>
            <w:tcW w:w="3687" w:type="dxa"/>
            <w:vAlign w:val="center"/>
          </w:tcPr>
          <w:p w14:paraId="0758B8AA">
            <w:pPr>
              <w:jc w:val="center"/>
              <w:rPr>
                <w:rFonts w:hint="eastAsia" w:ascii="宋体" w:hAnsi="宋体" w:eastAsia="宋体" w:cs="宋体"/>
                <w:color w:val="auto"/>
                <w:sz w:val="22"/>
                <w:szCs w:val="22"/>
                <w:highlight w:val="none"/>
              </w:rPr>
            </w:pPr>
          </w:p>
        </w:tc>
        <w:tc>
          <w:tcPr>
            <w:tcW w:w="3402" w:type="dxa"/>
            <w:vAlign w:val="center"/>
          </w:tcPr>
          <w:p w14:paraId="56FC2DBA">
            <w:pPr>
              <w:jc w:val="center"/>
              <w:rPr>
                <w:rFonts w:hint="eastAsia" w:ascii="宋体" w:hAnsi="宋体" w:eastAsia="宋体" w:cs="宋体"/>
                <w:color w:val="auto"/>
                <w:sz w:val="22"/>
                <w:szCs w:val="22"/>
                <w:highlight w:val="none"/>
              </w:rPr>
            </w:pPr>
          </w:p>
        </w:tc>
        <w:tc>
          <w:tcPr>
            <w:tcW w:w="1580" w:type="dxa"/>
            <w:vAlign w:val="center"/>
          </w:tcPr>
          <w:p w14:paraId="23589439">
            <w:pPr>
              <w:jc w:val="center"/>
              <w:rPr>
                <w:rFonts w:hint="eastAsia" w:ascii="宋体" w:hAnsi="宋体" w:eastAsia="宋体" w:cs="宋体"/>
                <w:color w:val="auto"/>
                <w:sz w:val="22"/>
                <w:szCs w:val="22"/>
                <w:highlight w:val="none"/>
              </w:rPr>
            </w:pPr>
          </w:p>
        </w:tc>
      </w:tr>
      <w:tr w14:paraId="258A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AB1DC07">
            <w:pPr>
              <w:jc w:val="center"/>
              <w:rPr>
                <w:rFonts w:hint="eastAsia" w:ascii="宋体" w:hAnsi="宋体" w:eastAsia="宋体" w:cs="宋体"/>
                <w:color w:val="auto"/>
                <w:sz w:val="22"/>
                <w:szCs w:val="22"/>
                <w:highlight w:val="none"/>
              </w:rPr>
            </w:pPr>
          </w:p>
        </w:tc>
        <w:tc>
          <w:tcPr>
            <w:tcW w:w="3687" w:type="dxa"/>
            <w:vAlign w:val="center"/>
          </w:tcPr>
          <w:p w14:paraId="18340B07">
            <w:pPr>
              <w:jc w:val="center"/>
              <w:rPr>
                <w:rFonts w:hint="eastAsia" w:ascii="宋体" w:hAnsi="宋体" w:eastAsia="宋体" w:cs="宋体"/>
                <w:color w:val="auto"/>
                <w:sz w:val="22"/>
                <w:szCs w:val="22"/>
                <w:highlight w:val="none"/>
              </w:rPr>
            </w:pPr>
          </w:p>
        </w:tc>
        <w:tc>
          <w:tcPr>
            <w:tcW w:w="3402" w:type="dxa"/>
            <w:vAlign w:val="center"/>
          </w:tcPr>
          <w:p w14:paraId="6EAE5B47">
            <w:pPr>
              <w:jc w:val="center"/>
              <w:rPr>
                <w:rFonts w:hint="eastAsia" w:ascii="宋体" w:hAnsi="宋体" w:eastAsia="宋体" w:cs="宋体"/>
                <w:color w:val="auto"/>
                <w:sz w:val="22"/>
                <w:szCs w:val="22"/>
                <w:highlight w:val="none"/>
              </w:rPr>
            </w:pPr>
          </w:p>
        </w:tc>
        <w:tc>
          <w:tcPr>
            <w:tcW w:w="1580" w:type="dxa"/>
            <w:vAlign w:val="center"/>
          </w:tcPr>
          <w:p w14:paraId="3DEB1CD6">
            <w:pPr>
              <w:jc w:val="center"/>
              <w:rPr>
                <w:rFonts w:hint="eastAsia" w:ascii="宋体" w:hAnsi="宋体" w:eastAsia="宋体" w:cs="宋体"/>
                <w:color w:val="auto"/>
                <w:sz w:val="22"/>
                <w:szCs w:val="22"/>
                <w:highlight w:val="none"/>
              </w:rPr>
            </w:pPr>
          </w:p>
        </w:tc>
      </w:tr>
      <w:tr w14:paraId="069A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8B6F0E1">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3687" w:type="dxa"/>
            <w:vAlign w:val="center"/>
          </w:tcPr>
          <w:p w14:paraId="7C8028DD">
            <w:pPr>
              <w:jc w:val="center"/>
              <w:rPr>
                <w:rFonts w:hint="eastAsia" w:ascii="宋体" w:hAnsi="宋体" w:eastAsia="宋体" w:cs="宋体"/>
                <w:color w:val="auto"/>
                <w:sz w:val="22"/>
                <w:szCs w:val="22"/>
                <w:highlight w:val="none"/>
              </w:rPr>
            </w:pPr>
          </w:p>
        </w:tc>
        <w:tc>
          <w:tcPr>
            <w:tcW w:w="3402" w:type="dxa"/>
            <w:vAlign w:val="center"/>
          </w:tcPr>
          <w:p w14:paraId="360CDF5A">
            <w:pPr>
              <w:jc w:val="center"/>
              <w:rPr>
                <w:rFonts w:hint="eastAsia" w:ascii="宋体" w:hAnsi="宋体" w:eastAsia="宋体" w:cs="宋体"/>
                <w:color w:val="auto"/>
                <w:sz w:val="22"/>
                <w:szCs w:val="22"/>
                <w:highlight w:val="none"/>
              </w:rPr>
            </w:pPr>
          </w:p>
        </w:tc>
        <w:tc>
          <w:tcPr>
            <w:tcW w:w="1580" w:type="dxa"/>
            <w:vAlign w:val="center"/>
          </w:tcPr>
          <w:p w14:paraId="1C6AF58F">
            <w:pPr>
              <w:jc w:val="center"/>
              <w:rPr>
                <w:rFonts w:hint="eastAsia" w:ascii="宋体" w:hAnsi="宋体" w:eastAsia="宋体" w:cs="宋体"/>
                <w:color w:val="auto"/>
                <w:sz w:val="22"/>
                <w:szCs w:val="22"/>
                <w:highlight w:val="none"/>
              </w:rPr>
            </w:pPr>
          </w:p>
        </w:tc>
      </w:tr>
      <w:tr w14:paraId="3E2F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1FEFFD8">
            <w:pPr>
              <w:jc w:val="center"/>
              <w:rPr>
                <w:rFonts w:hint="eastAsia" w:ascii="宋体" w:hAnsi="宋体" w:eastAsia="宋体" w:cs="宋体"/>
                <w:color w:val="auto"/>
                <w:sz w:val="22"/>
                <w:szCs w:val="22"/>
                <w:highlight w:val="none"/>
              </w:rPr>
            </w:pPr>
          </w:p>
        </w:tc>
        <w:tc>
          <w:tcPr>
            <w:tcW w:w="3687" w:type="dxa"/>
            <w:vAlign w:val="center"/>
          </w:tcPr>
          <w:p w14:paraId="2044B991">
            <w:pPr>
              <w:jc w:val="center"/>
              <w:rPr>
                <w:rFonts w:hint="eastAsia" w:ascii="宋体" w:hAnsi="宋体" w:eastAsia="宋体" w:cs="宋体"/>
                <w:color w:val="auto"/>
                <w:sz w:val="22"/>
                <w:szCs w:val="22"/>
                <w:highlight w:val="none"/>
              </w:rPr>
            </w:pPr>
          </w:p>
        </w:tc>
        <w:tc>
          <w:tcPr>
            <w:tcW w:w="3402" w:type="dxa"/>
            <w:vAlign w:val="center"/>
          </w:tcPr>
          <w:p w14:paraId="5D3FDF8E">
            <w:pPr>
              <w:jc w:val="center"/>
              <w:rPr>
                <w:rFonts w:hint="eastAsia" w:ascii="宋体" w:hAnsi="宋体" w:eastAsia="宋体" w:cs="宋体"/>
                <w:color w:val="auto"/>
                <w:sz w:val="22"/>
                <w:szCs w:val="22"/>
                <w:highlight w:val="none"/>
              </w:rPr>
            </w:pPr>
          </w:p>
        </w:tc>
        <w:tc>
          <w:tcPr>
            <w:tcW w:w="1580" w:type="dxa"/>
            <w:vAlign w:val="center"/>
          </w:tcPr>
          <w:p w14:paraId="162A2488">
            <w:pPr>
              <w:jc w:val="center"/>
              <w:rPr>
                <w:rFonts w:hint="eastAsia" w:ascii="宋体" w:hAnsi="宋体" w:eastAsia="宋体" w:cs="宋体"/>
                <w:color w:val="auto"/>
                <w:sz w:val="22"/>
                <w:szCs w:val="22"/>
                <w:highlight w:val="none"/>
              </w:rPr>
            </w:pPr>
          </w:p>
        </w:tc>
      </w:tr>
      <w:tr w14:paraId="1352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2137348">
            <w:pPr>
              <w:jc w:val="center"/>
              <w:rPr>
                <w:rFonts w:hint="eastAsia" w:ascii="宋体" w:hAnsi="宋体" w:eastAsia="宋体" w:cs="宋体"/>
                <w:color w:val="auto"/>
                <w:sz w:val="22"/>
                <w:szCs w:val="22"/>
                <w:highlight w:val="none"/>
              </w:rPr>
            </w:pPr>
          </w:p>
        </w:tc>
        <w:tc>
          <w:tcPr>
            <w:tcW w:w="3687" w:type="dxa"/>
            <w:vAlign w:val="center"/>
          </w:tcPr>
          <w:p w14:paraId="28FE7891">
            <w:pPr>
              <w:jc w:val="center"/>
              <w:rPr>
                <w:rFonts w:hint="eastAsia" w:ascii="宋体" w:hAnsi="宋体" w:eastAsia="宋体" w:cs="宋体"/>
                <w:color w:val="auto"/>
                <w:sz w:val="22"/>
                <w:szCs w:val="22"/>
                <w:highlight w:val="none"/>
              </w:rPr>
            </w:pPr>
          </w:p>
        </w:tc>
        <w:tc>
          <w:tcPr>
            <w:tcW w:w="3402" w:type="dxa"/>
            <w:vAlign w:val="center"/>
          </w:tcPr>
          <w:p w14:paraId="71D9AB6A">
            <w:pPr>
              <w:jc w:val="center"/>
              <w:rPr>
                <w:rFonts w:hint="eastAsia" w:ascii="宋体" w:hAnsi="宋体" w:eastAsia="宋体" w:cs="宋体"/>
                <w:color w:val="auto"/>
                <w:sz w:val="22"/>
                <w:szCs w:val="22"/>
                <w:highlight w:val="none"/>
              </w:rPr>
            </w:pPr>
          </w:p>
        </w:tc>
        <w:tc>
          <w:tcPr>
            <w:tcW w:w="1580" w:type="dxa"/>
            <w:vAlign w:val="center"/>
          </w:tcPr>
          <w:p w14:paraId="0C013840">
            <w:pPr>
              <w:jc w:val="center"/>
              <w:rPr>
                <w:rFonts w:hint="eastAsia" w:ascii="宋体" w:hAnsi="宋体" w:eastAsia="宋体" w:cs="宋体"/>
                <w:color w:val="auto"/>
                <w:sz w:val="22"/>
                <w:szCs w:val="22"/>
                <w:highlight w:val="none"/>
              </w:rPr>
            </w:pPr>
          </w:p>
        </w:tc>
      </w:tr>
      <w:tr w14:paraId="285B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D257BDE">
            <w:pPr>
              <w:jc w:val="center"/>
              <w:rPr>
                <w:rFonts w:hint="eastAsia" w:ascii="宋体" w:hAnsi="宋体" w:eastAsia="宋体" w:cs="宋体"/>
                <w:color w:val="auto"/>
                <w:sz w:val="22"/>
                <w:szCs w:val="22"/>
                <w:highlight w:val="none"/>
              </w:rPr>
            </w:pPr>
          </w:p>
        </w:tc>
        <w:tc>
          <w:tcPr>
            <w:tcW w:w="3687" w:type="dxa"/>
            <w:vAlign w:val="center"/>
          </w:tcPr>
          <w:p w14:paraId="636C35A7">
            <w:pPr>
              <w:jc w:val="center"/>
              <w:rPr>
                <w:rFonts w:hint="eastAsia" w:ascii="宋体" w:hAnsi="宋体" w:eastAsia="宋体" w:cs="宋体"/>
                <w:color w:val="auto"/>
                <w:sz w:val="22"/>
                <w:szCs w:val="22"/>
                <w:highlight w:val="none"/>
              </w:rPr>
            </w:pPr>
          </w:p>
        </w:tc>
        <w:tc>
          <w:tcPr>
            <w:tcW w:w="3402" w:type="dxa"/>
            <w:vAlign w:val="center"/>
          </w:tcPr>
          <w:p w14:paraId="181DACFF">
            <w:pPr>
              <w:jc w:val="center"/>
              <w:rPr>
                <w:rFonts w:hint="eastAsia" w:ascii="宋体" w:hAnsi="宋体" w:eastAsia="宋体" w:cs="宋体"/>
                <w:color w:val="auto"/>
                <w:sz w:val="22"/>
                <w:szCs w:val="22"/>
                <w:highlight w:val="none"/>
              </w:rPr>
            </w:pPr>
          </w:p>
        </w:tc>
        <w:tc>
          <w:tcPr>
            <w:tcW w:w="1580" w:type="dxa"/>
            <w:vAlign w:val="center"/>
          </w:tcPr>
          <w:p w14:paraId="62F2326F">
            <w:pPr>
              <w:jc w:val="center"/>
              <w:rPr>
                <w:rFonts w:hint="eastAsia" w:ascii="宋体" w:hAnsi="宋体" w:eastAsia="宋体" w:cs="宋体"/>
                <w:color w:val="auto"/>
                <w:sz w:val="22"/>
                <w:szCs w:val="22"/>
                <w:highlight w:val="none"/>
              </w:rPr>
            </w:pPr>
          </w:p>
        </w:tc>
      </w:tr>
    </w:tbl>
    <w:p w14:paraId="49561E5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注： 如有偏离，必须在偏离表中进行详细对比说明并注明正偏离和负偏离，如不说明偏离情况，视为完全响应采购文件要求无偏离</w:t>
      </w:r>
      <w:r>
        <w:rPr>
          <w:rFonts w:hint="eastAsia" w:ascii="宋体" w:hAnsi="宋体" w:cs="宋体"/>
          <w:b/>
          <w:bCs/>
          <w:color w:val="auto"/>
          <w:sz w:val="22"/>
          <w:szCs w:val="22"/>
          <w:highlight w:val="none"/>
          <w:lang w:eastAsia="zh-CN"/>
        </w:rPr>
        <w:t>。</w:t>
      </w:r>
    </w:p>
    <w:p w14:paraId="31535F4A">
      <w:pPr>
        <w:spacing w:line="460" w:lineRule="exact"/>
        <w:ind w:firstLine="4400" w:firstLineChars="2000"/>
        <w:rPr>
          <w:rFonts w:hint="eastAsia" w:ascii="宋体" w:hAnsi="宋体" w:eastAsia="宋体" w:cs="宋体"/>
          <w:color w:val="auto"/>
          <w:sz w:val="22"/>
          <w:szCs w:val="22"/>
          <w:highlight w:val="none"/>
        </w:rPr>
      </w:pPr>
    </w:p>
    <w:p w14:paraId="6ACB0540">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0C754C75">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color w:val="auto"/>
          <w:sz w:val="22"/>
          <w:szCs w:val="22"/>
          <w:highlight w:val="none"/>
        </w:rPr>
        <w:t>：</w:t>
      </w:r>
    </w:p>
    <w:p w14:paraId="471BE219">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14:paraId="099BE60C">
      <w:pPr>
        <w:rPr>
          <w:rFonts w:hint="eastAsia" w:ascii="宋体" w:hAnsi="宋体" w:eastAsia="宋体" w:cs="宋体"/>
          <w:b/>
          <w:color w:val="auto"/>
          <w:sz w:val="24"/>
          <w:highlight w:val="none"/>
        </w:rPr>
      </w:pPr>
      <w:bookmarkStart w:id="41" w:name="_Toc415152386"/>
      <w:r>
        <w:rPr>
          <w:rFonts w:hint="eastAsia" w:ascii="宋体" w:hAnsi="宋体" w:eastAsia="宋体" w:cs="宋体"/>
          <w:b/>
          <w:color w:val="auto"/>
          <w:sz w:val="24"/>
          <w:highlight w:val="none"/>
        </w:rPr>
        <w:br w:type="page"/>
      </w:r>
    </w:p>
    <w:bookmarkEnd w:id="41"/>
    <w:p w14:paraId="6A9A60B9">
      <w:pPr>
        <w:spacing w:line="400" w:lineRule="exact"/>
        <w:jc w:val="center"/>
        <w:outlineLvl w:val="3"/>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rPr>
        <w:t>4、项目响应</w:t>
      </w:r>
    </w:p>
    <w:p w14:paraId="1D2989E4">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WZLCZB（W）-2025-04145</w:t>
      </w:r>
    </w:p>
    <w:p w14:paraId="0F767C5D">
      <w:pPr>
        <w:keepNext/>
        <w:spacing w:line="360" w:lineRule="auto"/>
        <w:rPr>
          <w:rFonts w:hint="eastAsia" w:ascii="新宋体" w:hAnsi="新宋体" w:eastAsia="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育龄期女性多囊卵巢综合征课题医学检测外送服务</w:t>
      </w:r>
    </w:p>
    <w:tbl>
      <w:tblPr>
        <w:tblStyle w:val="52"/>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5798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0AE6B761">
            <w:pPr>
              <w:spacing w:line="360" w:lineRule="auto"/>
              <w:rPr>
                <w:rFonts w:ascii="宋体" w:hAnsi="宋体" w:cs="宋体"/>
                <w:color w:val="auto"/>
                <w:sz w:val="22"/>
                <w:szCs w:val="22"/>
                <w:highlight w:val="none"/>
              </w:rPr>
            </w:pPr>
          </w:p>
        </w:tc>
      </w:tr>
    </w:tbl>
    <w:p w14:paraId="1E3B8E21">
      <w:pPr>
        <w:pStyle w:val="29"/>
        <w:spacing w:line="400" w:lineRule="atLeast"/>
        <w:rPr>
          <w:rFonts w:ascii="新宋体" w:hAnsi="新宋体" w:eastAsia="新宋体"/>
          <w:color w:val="auto"/>
          <w:sz w:val="22"/>
          <w:szCs w:val="22"/>
          <w:highlight w:val="none"/>
        </w:rPr>
      </w:pPr>
    </w:p>
    <w:p w14:paraId="2F322248">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4D184E8F">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3CFAFE59">
      <w:pPr>
        <w:rPr>
          <w:rFonts w:hint="eastAsia" w:ascii="宋体" w:hAnsi="宋体" w:eastAsia="宋体" w:cs="宋体"/>
          <w:b/>
          <w:bCs/>
          <w:color w:val="auto"/>
          <w:sz w:val="28"/>
          <w:szCs w:val="28"/>
          <w:highlight w:val="none"/>
          <w:lang w:val="en-US" w:eastAsia="zh-CN"/>
        </w:rPr>
      </w:pPr>
      <w:r>
        <w:rPr>
          <w:rFonts w:hint="eastAsia" w:ascii="宋体" w:hAnsi="宋体" w:cs="宋体"/>
          <w:color w:val="auto"/>
          <w:sz w:val="22"/>
          <w:szCs w:val="22"/>
          <w:highlight w:val="none"/>
        </w:rPr>
        <w:t>日期：</w:t>
      </w:r>
    </w:p>
    <w:p w14:paraId="1B1EFFFC">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49D8AD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8"/>
          <w:szCs w:val="28"/>
          <w:highlight w:val="none"/>
          <w:lang w:val="zh-CN" w:eastAsia="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、投标人</w:t>
      </w:r>
      <w:r>
        <w:rPr>
          <w:rFonts w:hint="eastAsia" w:ascii="宋体" w:hAnsi="宋体" w:cs="宋体"/>
          <w:b/>
          <w:bCs/>
          <w:color w:val="auto"/>
          <w:sz w:val="28"/>
          <w:szCs w:val="28"/>
          <w:highlight w:val="none"/>
          <w:lang w:val="en-US" w:eastAsia="zh-CN"/>
        </w:rPr>
        <w:t>情况</w:t>
      </w:r>
    </w:p>
    <w:p w14:paraId="3EB0B7DF">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WZLCZB（W）-2025-04145</w:t>
      </w:r>
    </w:p>
    <w:p w14:paraId="3F858994">
      <w:pPr>
        <w:spacing w:line="360" w:lineRule="auto"/>
        <w:rPr>
          <w:rFonts w:hint="eastAsia" w:ascii="宋体" w:hAnsi="宋体" w:cs="宋体"/>
          <w:b w:val="0"/>
          <w:bCs w:val="0"/>
          <w:color w:val="auto"/>
          <w:sz w:val="22"/>
          <w:szCs w:val="18"/>
          <w:highlight w:val="none"/>
          <w:lang w:val="en-US"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育龄期女性多囊卵巢综合征课题医学检测外送服务</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2370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vAlign w:val="center"/>
          </w:tcPr>
          <w:p w14:paraId="14DE56FC">
            <w:pPr>
              <w:spacing w:line="360" w:lineRule="auto"/>
              <w:rPr>
                <w:rFonts w:ascii="宋体" w:hAnsi="宋体" w:cs="宋体"/>
                <w:color w:val="auto"/>
                <w:sz w:val="22"/>
                <w:szCs w:val="22"/>
                <w:highlight w:val="none"/>
              </w:rPr>
            </w:pPr>
          </w:p>
        </w:tc>
      </w:tr>
    </w:tbl>
    <w:p w14:paraId="5BE03AF1">
      <w:pPr>
        <w:pStyle w:val="29"/>
        <w:spacing w:line="400" w:lineRule="atLeast"/>
        <w:rPr>
          <w:rFonts w:ascii="新宋体" w:hAnsi="新宋体" w:eastAsia="新宋体"/>
          <w:color w:val="auto"/>
          <w:sz w:val="22"/>
          <w:szCs w:val="22"/>
          <w:highlight w:val="none"/>
        </w:rPr>
      </w:pPr>
    </w:p>
    <w:p w14:paraId="022FB556">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1304371B">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7E1D0F8E">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52DD732D">
      <w:pPr>
        <w:spacing w:line="460" w:lineRule="exact"/>
        <w:ind w:firstLine="5060" w:firstLineChars="2300"/>
        <w:rPr>
          <w:rFonts w:ascii="新宋体" w:hAnsi="新宋体" w:eastAsia="新宋体"/>
          <w:color w:val="auto"/>
          <w:sz w:val="22"/>
          <w:szCs w:val="22"/>
          <w:highlight w:val="none"/>
        </w:rPr>
      </w:pPr>
    </w:p>
    <w:p w14:paraId="1CE303E9">
      <w:pPr>
        <w:spacing w:line="460" w:lineRule="exact"/>
        <w:ind w:firstLine="5060" w:firstLineChars="2300"/>
        <w:rPr>
          <w:rFonts w:ascii="新宋体" w:hAnsi="新宋体" w:eastAsia="新宋体"/>
          <w:color w:val="auto"/>
          <w:sz w:val="22"/>
          <w:szCs w:val="22"/>
          <w:highlight w:val="none"/>
        </w:rPr>
      </w:pPr>
    </w:p>
    <w:p w14:paraId="1A6F133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8"/>
          <w:szCs w:val="28"/>
          <w:highlight w:val="none"/>
          <w:lang w:val="zh-CN" w:eastAsia="zh-CN"/>
        </w:rPr>
      </w:pP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zh-CN" w:eastAsia="zh-CN"/>
        </w:rPr>
        <w:t>、实施方案评价</w:t>
      </w:r>
    </w:p>
    <w:p w14:paraId="52D5F0F4">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WZLCZB（W）-2025-04145</w:t>
      </w:r>
    </w:p>
    <w:p w14:paraId="21B952ED">
      <w:pPr>
        <w:keepNext/>
        <w:spacing w:line="360" w:lineRule="auto"/>
        <w:rPr>
          <w:rFonts w:hint="eastAsia" w:ascii="新宋体" w:hAnsi="新宋体" w:eastAsia="宋体" w:cs="新宋体"/>
          <w:b/>
          <w:bCs/>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育龄期女性多囊卵巢综合征课题医学检测外送服务</w:t>
      </w:r>
    </w:p>
    <w:tbl>
      <w:tblPr>
        <w:tblStyle w:val="52"/>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0558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6CC336B1">
            <w:pPr>
              <w:spacing w:line="360" w:lineRule="auto"/>
              <w:rPr>
                <w:rFonts w:ascii="宋体" w:hAnsi="宋体" w:cs="宋体"/>
                <w:color w:val="auto"/>
                <w:sz w:val="22"/>
                <w:szCs w:val="22"/>
                <w:highlight w:val="none"/>
              </w:rPr>
            </w:pPr>
          </w:p>
        </w:tc>
      </w:tr>
    </w:tbl>
    <w:p w14:paraId="7F9582E1">
      <w:pPr>
        <w:spacing w:line="400" w:lineRule="exact"/>
        <w:ind w:firstLine="4620" w:firstLineChars="2100"/>
        <w:rPr>
          <w:rFonts w:ascii="新宋体" w:hAnsi="新宋体" w:eastAsia="新宋体" w:cs="新宋体"/>
          <w:color w:val="auto"/>
          <w:sz w:val="22"/>
          <w:szCs w:val="22"/>
          <w:highlight w:val="none"/>
        </w:rPr>
      </w:pPr>
    </w:p>
    <w:p w14:paraId="22CE6989">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AE5FB6C">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07D1AB18">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4CFFA9A0">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11B6B74E">
      <w:pPr>
        <w:spacing w:line="360" w:lineRule="auto"/>
        <w:ind w:firstLine="689" w:firstLineChars="245"/>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7</w:t>
      </w:r>
      <w:r>
        <w:rPr>
          <w:rFonts w:hint="eastAsia" w:ascii="宋体" w:hAnsi="宋体" w:cs="宋体"/>
          <w:b/>
          <w:bCs/>
          <w:color w:val="auto"/>
          <w:sz w:val="28"/>
          <w:szCs w:val="28"/>
          <w:highlight w:val="none"/>
        </w:rPr>
        <w:t>、服务团队</w:t>
      </w:r>
    </w:p>
    <w:p w14:paraId="79A211CF">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WZLCZB（W）-2025-04145</w:t>
      </w:r>
    </w:p>
    <w:p w14:paraId="2F314B66">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育龄期女性多囊卵巢综合征课题医学检测外送服务</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3137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vAlign w:val="center"/>
          </w:tcPr>
          <w:p w14:paraId="13C6351F">
            <w:pPr>
              <w:spacing w:line="360" w:lineRule="auto"/>
              <w:rPr>
                <w:rFonts w:ascii="宋体" w:hAnsi="宋体" w:cs="宋体"/>
                <w:color w:val="auto"/>
                <w:sz w:val="22"/>
                <w:szCs w:val="22"/>
                <w:highlight w:val="none"/>
              </w:rPr>
            </w:pPr>
          </w:p>
        </w:tc>
      </w:tr>
    </w:tbl>
    <w:p w14:paraId="57428164">
      <w:pPr>
        <w:pStyle w:val="29"/>
        <w:spacing w:line="400" w:lineRule="atLeast"/>
        <w:rPr>
          <w:rFonts w:hAnsi="宋体" w:cs="宋体"/>
          <w:color w:val="auto"/>
          <w:sz w:val="22"/>
          <w:szCs w:val="22"/>
          <w:highlight w:val="none"/>
        </w:rPr>
      </w:pPr>
    </w:p>
    <w:p w14:paraId="58C996EB">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5257A0A">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1845AAAB">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1A0D5CA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7EF3E8F">
      <w:pPr>
        <w:spacing w:line="400" w:lineRule="exact"/>
        <w:jc w:val="center"/>
        <w:outlineLvl w:val="3"/>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、实验室仪器</w:t>
      </w:r>
    </w:p>
    <w:p w14:paraId="60AAC1CD">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WZLCZB（W）-2025-04145</w:t>
      </w:r>
    </w:p>
    <w:p w14:paraId="677ED140">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育龄期女性多囊卵巢综合征课题医学检测外送服务</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74C5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vAlign w:val="center"/>
          </w:tcPr>
          <w:p w14:paraId="7E806905">
            <w:pPr>
              <w:spacing w:line="360" w:lineRule="auto"/>
              <w:rPr>
                <w:rFonts w:ascii="宋体" w:hAnsi="宋体" w:cs="宋体"/>
                <w:color w:val="auto"/>
                <w:sz w:val="22"/>
                <w:szCs w:val="22"/>
                <w:highlight w:val="none"/>
              </w:rPr>
            </w:pPr>
          </w:p>
        </w:tc>
      </w:tr>
    </w:tbl>
    <w:p w14:paraId="022FC7B9">
      <w:pPr>
        <w:pStyle w:val="29"/>
        <w:spacing w:line="400" w:lineRule="atLeast"/>
        <w:rPr>
          <w:rFonts w:hAnsi="宋体" w:cs="宋体"/>
          <w:color w:val="auto"/>
          <w:sz w:val="22"/>
          <w:szCs w:val="22"/>
          <w:highlight w:val="none"/>
        </w:rPr>
      </w:pPr>
    </w:p>
    <w:p w14:paraId="02EFBB0E">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155C5397">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2BD138AD">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721339C8">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C739697">
      <w:pPr>
        <w:spacing w:line="400" w:lineRule="exact"/>
        <w:jc w:val="center"/>
        <w:outlineLvl w:val="3"/>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9</w:t>
      </w:r>
      <w:r>
        <w:rPr>
          <w:rFonts w:hint="eastAsia" w:ascii="宋体" w:hAnsi="宋体" w:cs="宋体"/>
          <w:b/>
          <w:bCs/>
          <w:color w:val="auto"/>
          <w:sz w:val="28"/>
          <w:szCs w:val="28"/>
          <w:highlight w:val="none"/>
        </w:rPr>
        <w:t>、质量控制</w:t>
      </w:r>
    </w:p>
    <w:p w14:paraId="3B935476">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WZLCZB（W）-2025-04145</w:t>
      </w:r>
    </w:p>
    <w:p w14:paraId="752D504A">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育龄期女性多囊卵巢综合征课题医学检测外送服务</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7995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vAlign w:val="center"/>
          </w:tcPr>
          <w:p w14:paraId="150E5168">
            <w:pPr>
              <w:spacing w:line="360" w:lineRule="auto"/>
              <w:rPr>
                <w:rFonts w:ascii="宋体" w:hAnsi="宋体" w:cs="宋体"/>
                <w:color w:val="auto"/>
                <w:sz w:val="22"/>
                <w:szCs w:val="22"/>
                <w:highlight w:val="none"/>
              </w:rPr>
            </w:pPr>
          </w:p>
        </w:tc>
      </w:tr>
    </w:tbl>
    <w:p w14:paraId="61E78F0F">
      <w:pPr>
        <w:pStyle w:val="29"/>
        <w:spacing w:line="400" w:lineRule="atLeast"/>
        <w:rPr>
          <w:rFonts w:hAnsi="宋体" w:cs="宋体"/>
          <w:color w:val="auto"/>
          <w:sz w:val="22"/>
          <w:szCs w:val="22"/>
          <w:highlight w:val="none"/>
        </w:rPr>
      </w:pPr>
    </w:p>
    <w:p w14:paraId="5C60ED10">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34CEAF2">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7B2E9E97">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22FD7504">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0BE0B018">
      <w:pPr>
        <w:spacing w:line="400" w:lineRule="exact"/>
        <w:jc w:val="center"/>
        <w:outlineLvl w:val="3"/>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rPr>
        <w:t>、应急能力</w:t>
      </w:r>
    </w:p>
    <w:p w14:paraId="2FE45ECB">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WZLCZB（W）-2025-04145</w:t>
      </w:r>
    </w:p>
    <w:p w14:paraId="356DFF83">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育龄期女性多囊卵巢综合征课题医学检测外送服务</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7EC6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vAlign w:val="center"/>
          </w:tcPr>
          <w:p w14:paraId="55152B9E">
            <w:pPr>
              <w:spacing w:line="360" w:lineRule="auto"/>
              <w:rPr>
                <w:rFonts w:ascii="宋体" w:hAnsi="宋体" w:cs="宋体"/>
                <w:color w:val="auto"/>
                <w:sz w:val="22"/>
                <w:szCs w:val="22"/>
                <w:highlight w:val="none"/>
              </w:rPr>
            </w:pPr>
          </w:p>
        </w:tc>
      </w:tr>
    </w:tbl>
    <w:p w14:paraId="04187FFF">
      <w:pPr>
        <w:pStyle w:val="29"/>
        <w:spacing w:line="400" w:lineRule="atLeast"/>
        <w:rPr>
          <w:rFonts w:hAnsi="宋体" w:cs="宋体"/>
          <w:color w:val="auto"/>
          <w:sz w:val="22"/>
          <w:szCs w:val="22"/>
          <w:highlight w:val="none"/>
        </w:rPr>
      </w:pPr>
    </w:p>
    <w:p w14:paraId="106F56B3">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191E7C37">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47D32235">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5E21E583">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54B3B52C">
      <w:pPr>
        <w:spacing w:line="400" w:lineRule="exact"/>
        <w:jc w:val="center"/>
        <w:outlineLvl w:val="3"/>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11</w:t>
      </w:r>
      <w:r>
        <w:rPr>
          <w:rFonts w:hint="eastAsia" w:ascii="宋体" w:hAnsi="宋体" w:cs="宋体"/>
          <w:b/>
          <w:bCs/>
          <w:color w:val="auto"/>
          <w:sz w:val="28"/>
          <w:szCs w:val="28"/>
          <w:highlight w:val="none"/>
        </w:rPr>
        <w:t>、增值服务</w:t>
      </w:r>
    </w:p>
    <w:p w14:paraId="177A1934">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WZLCZB（W）-2025-04145</w:t>
      </w:r>
    </w:p>
    <w:p w14:paraId="2BA61551">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育龄期女性多囊卵巢综合征课题医学检测外送服务</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0D8F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vAlign w:val="center"/>
          </w:tcPr>
          <w:p w14:paraId="5E8DFA9C">
            <w:pPr>
              <w:spacing w:line="360" w:lineRule="auto"/>
              <w:rPr>
                <w:rFonts w:ascii="宋体" w:hAnsi="宋体" w:cs="宋体"/>
                <w:color w:val="auto"/>
                <w:sz w:val="22"/>
                <w:szCs w:val="22"/>
                <w:highlight w:val="none"/>
              </w:rPr>
            </w:pPr>
          </w:p>
        </w:tc>
      </w:tr>
    </w:tbl>
    <w:p w14:paraId="051FA882">
      <w:pPr>
        <w:pStyle w:val="29"/>
        <w:spacing w:line="400" w:lineRule="atLeast"/>
        <w:rPr>
          <w:rFonts w:hAnsi="宋体" w:cs="宋体"/>
          <w:color w:val="auto"/>
          <w:sz w:val="22"/>
          <w:szCs w:val="22"/>
          <w:highlight w:val="none"/>
        </w:rPr>
      </w:pPr>
    </w:p>
    <w:p w14:paraId="354B32EA">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4B6E3E8D">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24FAA24">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0B56D981">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45E5C297">
      <w:pPr>
        <w:spacing w:line="400" w:lineRule="exact"/>
        <w:jc w:val="center"/>
        <w:outlineLvl w:val="3"/>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12</w:t>
      </w:r>
      <w:r>
        <w:rPr>
          <w:rFonts w:hint="eastAsia" w:ascii="宋体" w:hAnsi="宋体" w:cs="宋体"/>
          <w:b/>
          <w:bCs/>
          <w:color w:val="auto"/>
          <w:sz w:val="28"/>
          <w:szCs w:val="28"/>
          <w:highlight w:val="none"/>
        </w:rPr>
        <w:t>、业绩</w:t>
      </w:r>
    </w:p>
    <w:p w14:paraId="271CD47A">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WZLCZB（W）-2025-04145</w:t>
      </w:r>
    </w:p>
    <w:p w14:paraId="0BAF2BF4">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育龄期女性多囊卵巢综合征课题医学检测外送服务</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0E36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63839A67">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069" w:type="dxa"/>
            <w:noWrap w:val="0"/>
            <w:vAlign w:val="center"/>
          </w:tcPr>
          <w:p w14:paraId="0C173914">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用户名称</w:t>
            </w:r>
          </w:p>
        </w:tc>
        <w:tc>
          <w:tcPr>
            <w:tcW w:w="2437" w:type="dxa"/>
            <w:noWrap w:val="0"/>
            <w:vAlign w:val="center"/>
          </w:tcPr>
          <w:p w14:paraId="79E9724B">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项目名称</w:t>
            </w:r>
          </w:p>
        </w:tc>
        <w:tc>
          <w:tcPr>
            <w:tcW w:w="1737" w:type="dxa"/>
            <w:noWrap w:val="0"/>
            <w:vAlign w:val="center"/>
          </w:tcPr>
          <w:p w14:paraId="2004C2A7">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合同金额</w:t>
            </w:r>
          </w:p>
        </w:tc>
        <w:tc>
          <w:tcPr>
            <w:tcW w:w="1737" w:type="dxa"/>
            <w:noWrap w:val="0"/>
            <w:vAlign w:val="center"/>
          </w:tcPr>
          <w:p w14:paraId="09829A25">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联系方式</w:t>
            </w:r>
          </w:p>
        </w:tc>
        <w:tc>
          <w:tcPr>
            <w:tcW w:w="926" w:type="dxa"/>
            <w:noWrap w:val="0"/>
            <w:vAlign w:val="center"/>
          </w:tcPr>
          <w:p w14:paraId="36096A96">
            <w:pPr>
              <w:spacing w:line="380" w:lineRule="exact"/>
              <w:ind w:left="442" w:hanging="442" w:hangingChars="20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14:paraId="0D09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B2E3B5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17F0161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410FC3E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6EAB63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B4D3769">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2EDFB5D7">
            <w:pPr>
              <w:spacing w:line="380" w:lineRule="exact"/>
              <w:ind w:left="442" w:hanging="442" w:hangingChars="200"/>
              <w:jc w:val="center"/>
              <w:rPr>
                <w:rFonts w:hint="eastAsia" w:ascii="宋体" w:hAnsi="宋体" w:eastAsia="宋体" w:cs="宋体"/>
                <w:b/>
                <w:bCs/>
                <w:color w:val="auto"/>
                <w:sz w:val="22"/>
                <w:szCs w:val="22"/>
                <w:highlight w:val="none"/>
              </w:rPr>
            </w:pPr>
          </w:p>
        </w:tc>
      </w:tr>
      <w:tr w14:paraId="0855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F561FEE">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7596B1BA">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53D85FE7">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298CAB61">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7716545C">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4E626C6C">
            <w:pPr>
              <w:spacing w:line="380" w:lineRule="exact"/>
              <w:ind w:left="442" w:hanging="442" w:hangingChars="200"/>
              <w:jc w:val="center"/>
              <w:rPr>
                <w:rFonts w:hint="eastAsia" w:ascii="宋体" w:hAnsi="宋体" w:eastAsia="宋体" w:cs="宋体"/>
                <w:b/>
                <w:bCs/>
                <w:color w:val="auto"/>
                <w:sz w:val="22"/>
                <w:szCs w:val="22"/>
                <w:highlight w:val="none"/>
              </w:rPr>
            </w:pPr>
          </w:p>
        </w:tc>
      </w:tr>
      <w:tr w14:paraId="7069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12343C8">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32538B31">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00B2163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C5E844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7461E8D7">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12A1D40F">
            <w:pPr>
              <w:spacing w:line="380" w:lineRule="exact"/>
              <w:ind w:left="442" w:hanging="442" w:hangingChars="200"/>
              <w:jc w:val="center"/>
              <w:rPr>
                <w:rFonts w:hint="eastAsia" w:ascii="宋体" w:hAnsi="宋体" w:eastAsia="宋体" w:cs="宋体"/>
                <w:b/>
                <w:bCs/>
                <w:color w:val="auto"/>
                <w:sz w:val="22"/>
                <w:szCs w:val="22"/>
                <w:highlight w:val="none"/>
              </w:rPr>
            </w:pPr>
          </w:p>
        </w:tc>
      </w:tr>
      <w:tr w14:paraId="20B4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307548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2720699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176525A7">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023C99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A6BA549">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13CE1040">
            <w:pPr>
              <w:spacing w:line="380" w:lineRule="exact"/>
              <w:ind w:left="442" w:hanging="442" w:hangingChars="200"/>
              <w:jc w:val="center"/>
              <w:rPr>
                <w:rFonts w:hint="eastAsia" w:ascii="宋体" w:hAnsi="宋体" w:eastAsia="宋体" w:cs="宋体"/>
                <w:b/>
                <w:bCs/>
                <w:color w:val="auto"/>
                <w:sz w:val="22"/>
                <w:szCs w:val="22"/>
                <w:highlight w:val="none"/>
              </w:rPr>
            </w:pPr>
          </w:p>
        </w:tc>
      </w:tr>
      <w:tr w14:paraId="30BF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F5FB12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67D7D730">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165F1AA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EBB20B2">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CE94699">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2BC13109">
            <w:pPr>
              <w:spacing w:line="380" w:lineRule="exact"/>
              <w:ind w:left="442" w:hanging="442" w:hangingChars="200"/>
              <w:jc w:val="center"/>
              <w:rPr>
                <w:rFonts w:hint="eastAsia" w:ascii="宋体" w:hAnsi="宋体" w:eastAsia="宋体" w:cs="宋体"/>
                <w:b/>
                <w:bCs/>
                <w:color w:val="auto"/>
                <w:sz w:val="22"/>
                <w:szCs w:val="22"/>
                <w:highlight w:val="none"/>
              </w:rPr>
            </w:pPr>
          </w:p>
        </w:tc>
      </w:tr>
      <w:tr w14:paraId="2B85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6061C3A">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4D76F8E8">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7B89098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1ACB049">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2A231BA">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3666EED7">
            <w:pPr>
              <w:spacing w:line="380" w:lineRule="exact"/>
              <w:ind w:left="442" w:hanging="442" w:hangingChars="200"/>
              <w:jc w:val="center"/>
              <w:rPr>
                <w:rFonts w:hint="eastAsia" w:ascii="宋体" w:hAnsi="宋体" w:eastAsia="宋体" w:cs="宋体"/>
                <w:b/>
                <w:bCs/>
                <w:color w:val="auto"/>
                <w:sz w:val="22"/>
                <w:szCs w:val="22"/>
                <w:highlight w:val="none"/>
              </w:rPr>
            </w:pPr>
          </w:p>
        </w:tc>
      </w:tr>
      <w:tr w14:paraId="3502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56F6B5A">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54A2BC42">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6B232A9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431736CB">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496EF303">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7CC8453D">
            <w:pPr>
              <w:spacing w:line="380" w:lineRule="exact"/>
              <w:ind w:left="442" w:hanging="442" w:hangingChars="200"/>
              <w:jc w:val="center"/>
              <w:rPr>
                <w:rFonts w:hint="eastAsia" w:ascii="宋体" w:hAnsi="宋体" w:eastAsia="宋体" w:cs="宋体"/>
                <w:b/>
                <w:bCs/>
                <w:color w:val="auto"/>
                <w:sz w:val="22"/>
                <w:szCs w:val="22"/>
                <w:highlight w:val="none"/>
              </w:rPr>
            </w:pPr>
          </w:p>
        </w:tc>
      </w:tr>
      <w:tr w14:paraId="72CF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575DC80">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4A2F83D4">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732B7BF3">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5EE9D02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690233F0">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6EDF3799">
            <w:pPr>
              <w:spacing w:line="380" w:lineRule="exact"/>
              <w:ind w:left="442" w:hanging="442" w:hangingChars="200"/>
              <w:jc w:val="center"/>
              <w:rPr>
                <w:rFonts w:hint="eastAsia" w:ascii="宋体" w:hAnsi="宋体" w:eastAsia="宋体" w:cs="宋体"/>
                <w:b/>
                <w:bCs/>
                <w:color w:val="auto"/>
                <w:sz w:val="22"/>
                <w:szCs w:val="22"/>
                <w:highlight w:val="none"/>
              </w:rPr>
            </w:pPr>
          </w:p>
        </w:tc>
      </w:tr>
      <w:tr w14:paraId="7D97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535333A">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4CF661DE">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24E33E0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91CEFCA">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7058288">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39BB1E42">
            <w:pPr>
              <w:spacing w:line="380" w:lineRule="exact"/>
              <w:ind w:left="442" w:hanging="442" w:hangingChars="200"/>
              <w:jc w:val="center"/>
              <w:rPr>
                <w:rFonts w:hint="eastAsia" w:ascii="宋体" w:hAnsi="宋体" w:eastAsia="宋体" w:cs="宋体"/>
                <w:b/>
                <w:bCs/>
                <w:color w:val="auto"/>
                <w:sz w:val="22"/>
                <w:szCs w:val="22"/>
                <w:highlight w:val="none"/>
              </w:rPr>
            </w:pPr>
          </w:p>
        </w:tc>
      </w:tr>
      <w:tr w14:paraId="449C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E550DD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4FFA699D">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18F5DB5F">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4628766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B555BCC">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31A3ACB1">
            <w:pPr>
              <w:spacing w:line="380" w:lineRule="exact"/>
              <w:ind w:left="442" w:hanging="442" w:hangingChars="200"/>
              <w:jc w:val="center"/>
              <w:rPr>
                <w:rFonts w:hint="eastAsia" w:ascii="宋体" w:hAnsi="宋体" w:eastAsia="宋体" w:cs="宋体"/>
                <w:b/>
                <w:bCs/>
                <w:color w:val="auto"/>
                <w:sz w:val="22"/>
                <w:szCs w:val="22"/>
                <w:highlight w:val="none"/>
              </w:rPr>
            </w:pPr>
          </w:p>
        </w:tc>
      </w:tr>
      <w:tr w14:paraId="271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A39A350">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4D331E3E">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4D7CDC6C">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28679FAE">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9E583CF">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7988CDD">
            <w:pPr>
              <w:spacing w:line="380" w:lineRule="exact"/>
              <w:ind w:left="442" w:hanging="442" w:hangingChars="200"/>
              <w:jc w:val="center"/>
              <w:rPr>
                <w:rFonts w:hint="eastAsia" w:ascii="宋体" w:hAnsi="宋体" w:eastAsia="宋体" w:cs="宋体"/>
                <w:b/>
                <w:bCs/>
                <w:color w:val="auto"/>
                <w:sz w:val="22"/>
                <w:szCs w:val="22"/>
                <w:highlight w:val="none"/>
              </w:rPr>
            </w:pPr>
          </w:p>
        </w:tc>
      </w:tr>
      <w:tr w14:paraId="66A5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275F717">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54F644F9">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10164C34">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9EA8AC6">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7D4EEF70">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2BE3A593">
            <w:pPr>
              <w:spacing w:line="380" w:lineRule="exact"/>
              <w:ind w:left="442" w:hanging="442" w:hangingChars="200"/>
              <w:jc w:val="center"/>
              <w:rPr>
                <w:rFonts w:hint="eastAsia" w:ascii="宋体" w:hAnsi="宋体" w:eastAsia="宋体" w:cs="宋体"/>
                <w:b/>
                <w:bCs/>
                <w:color w:val="auto"/>
                <w:sz w:val="22"/>
                <w:szCs w:val="22"/>
                <w:highlight w:val="none"/>
              </w:rPr>
            </w:pPr>
          </w:p>
        </w:tc>
      </w:tr>
      <w:tr w14:paraId="2B93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77EB49C">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36829D08">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6DE8350D">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5C692A8">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1BA3EAEC">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0D80B9DD">
            <w:pPr>
              <w:spacing w:line="380" w:lineRule="exact"/>
              <w:ind w:left="442" w:hanging="442" w:hangingChars="200"/>
              <w:jc w:val="center"/>
              <w:rPr>
                <w:rFonts w:hint="eastAsia" w:ascii="宋体" w:hAnsi="宋体" w:eastAsia="宋体" w:cs="宋体"/>
                <w:b/>
                <w:bCs/>
                <w:color w:val="auto"/>
                <w:sz w:val="22"/>
                <w:szCs w:val="22"/>
                <w:highlight w:val="none"/>
              </w:rPr>
            </w:pPr>
          </w:p>
        </w:tc>
      </w:tr>
      <w:tr w14:paraId="4D6C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94497B5">
            <w:pPr>
              <w:spacing w:line="380" w:lineRule="exact"/>
              <w:ind w:left="442" w:hanging="442" w:hangingChars="200"/>
              <w:jc w:val="center"/>
              <w:rPr>
                <w:rFonts w:hint="eastAsia" w:ascii="宋体" w:hAnsi="宋体" w:eastAsia="宋体" w:cs="宋体"/>
                <w:b/>
                <w:bCs/>
                <w:color w:val="auto"/>
                <w:sz w:val="22"/>
                <w:szCs w:val="22"/>
                <w:highlight w:val="none"/>
              </w:rPr>
            </w:pPr>
          </w:p>
        </w:tc>
        <w:tc>
          <w:tcPr>
            <w:tcW w:w="2069" w:type="dxa"/>
            <w:noWrap w:val="0"/>
            <w:vAlign w:val="center"/>
          </w:tcPr>
          <w:p w14:paraId="2276783B">
            <w:pPr>
              <w:spacing w:line="380" w:lineRule="exact"/>
              <w:ind w:left="442" w:hanging="442" w:hangingChars="200"/>
              <w:jc w:val="center"/>
              <w:rPr>
                <w:rFonts w:hint="eastAsia" w:ascii="宋体" w:hAnsi="宋体" w:eastAsia="宋体" w:cs="宋体"/>
                <w:b/>
                <w:bCs/>
                <w:color w:val="auto"/>
                <w:sz w:val="22"/>
                <w:szCs w:val="22"/>
                <w:highlight w:val="none"/>
              </w:rPr>
            </w:pPr>
          </w:p>
        </w:tc>
        <w:tc>
          <w:tcPr>
            <w:tcW w:w="2437" w:type="dxa"/>
            <w:noWrap w:val="0"/>
            <w:vAlign w:val="center"/>
          </w:tcPr>
          <w:p w14:paraId="1C3796E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3F9A3235">
            <w:pPr>
              <w:spacing w:line="380" w:lineRule="exact"/>
              <w:ind w:left="442" w:hanging="442" w:hangingChars="200"/>
              <w:jc w:val="center"/>
              <w:rPr>
                <w:rFonts w:hint="eastAsia" w:ascii="宋体" w:hAnsi="宋体" w:eastAsia="宋体" w:cs="宋体"/>
                <w:b/>
                <w:bCs/>
                <w:color w:val="auto"/>
                <w:sz w:val="22"/>
                <w:szCs w:val="22"/>
                <w:highlight w:val="none"/>
              </w:rPr>
            </w:pPr>
          </w:p>
        </w:tc>
        <w:tc>
          <w:tcPr>
            <w:tcW w:w="1737" w:type="dxa"/>
            <w:noWrap w:val="0"/>
            <w:vAlign w:val="center"/>
          </w:tcPr>
          <w:p w14:paraId="0959831F">
            <w:pPr>
              <w:spacing w:line="380" w:lineRule="exact"/>
              <w:ind w:left="442" w:hanging="442" w:hangingChars="200"/>
              <w:jc w:val="center"/>
              <w:rPr>
                <w:rFonts w:hint="eastAsia" w:ascii="宋体" w:hAnsi="宋体" w:eastAsia="宋体" w:cs="宋体"/>
                <w:b/>
                <w:bCs/>
                <w:color w:val="auto"/>
                <w:sz w:val="22"/>
                <w:szCs w:val="22"/>
                <w:highlight w:val="none"/>
              </w:rPr>
            </w:pPr>
          </w:p>
        </w:tc>
        <w:tc>
          <w:tcPr>
            <w:tcW w:w="926" w:type="dxa"/>
            <w:noWrap w:val="0"/>
            <w:vAlign w:val="center"/>
          </w:tcPr>
          <w:p w14:paraId="7C03D0D6">
            <w:pPr>
              <w:spacing w:line="380" w:lineRule="exact"/>
              <w:ind w:left="442" w:hanging="442" w:hangingChars="200"/>
              <w:jc w:val="center"/>
              <w:rPr>
                <w:rFonts w:hint="eastAsia" w:ascii="宋体" w:hAnsi="宋体" w:eastAsia="宋体" w:cs="宋体"/>
                <w:b/>
                <w:bCs/>
                <w:color w:val="auto"/>
                <w:sz w:val="22"/>
                <w:szCs w:val="22"/>
                <w:highlight w:val="none"/>
              </w:rPr>
            </w:pPr>
          </w:p>
        </w:tc>
      </w:tr>
    </w:tbl>
    <w:p w14:paraId="44EE6660">
      <w:pPr>
        <w:pStyle w:val="29"/>
        <w:spacing w:line="400" w:lineRule="atLeast"/>
        <w:rPr>
          <w:rFonts w:hAnsi="宋体" w:cs="宋体"/>
          <w:color w:val="auto"/>
          <w:sz w:val="22"/>
          <w:szCs w:val="22"/>
          <w:highlight w:val="none"/>
        </w:rPr>
      </w:pPr>
    </w:p>
    <w:p w14:paraId="3213EAAB">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4390CEFD">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2DEC00BF">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1B8A3B0B">
      <w:pPr>
        <w:spacing w:line="460" w:lineRule="exact"/>
        <w:rPr>
          <w:rFonts w:hint="eastAsia" w:ascii="宋体" w:hAnsi="宋体" w:eastAsia="宋体" w:cs="宋体"/>
          <w:color w:val="auto"/>
          <w:sz w:val="22"/>
          <w:szCs w:val="22"/>
          <w:highlight w:val="none"/>
        </w:rPr>
      </w:pPr>
    </w:p>
    <w:p w14:paraId="789AEAEF">
      <w:pPr>
        <w:spacing w:line="380" w:lineRule="exact"/>
        <w:ind w:firstLine="4400" w:firstLineChars="2000"/>
        <w:rPr>
          <w:rFonts w:hint="eastAsia" w:ascii="宋体" w:hAnsi="宋体" w:eastAsia="宋体" w:cs="宋体"/>
          <w:color w:val="auto"/>
          <w:sz w:val="22"/>
          <w:szCs w:val="22"/>
          <w:highlight w:val="none"/>
        </w:rPr>
      </w:pPr>
    </w:p>
    <w:p w14:paraId="2DECAC0F">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48FC85F1">
      <w:pPr>
        <w:rPr>
          <w:rFonts w:ascii="新宋体" w:hAnsi="新宋体" w:eastAsia="新宋体"/>
          <w:color w:val="auto"/>
          <w:sz w:val="22"/>
          <w:szCs w:val="22"/>
          <w:highlight w:val="none"/>
        </w:rPr>
        <w:sectPr>
          <w:pgSz w:w="11906" w:h="16838"/>
          <w:pgMar w:top="1134" w:right="1134" w:bottom="1134" w:left="1134" w:header="850" w:footer="992" w:gutter="0"/>
          <w:cols w:space="720" w:num="1"/>
          <w:docGrid w:type="lines" w:linePitch="321" w:charSpace="0"/>
        </w:sectPr>
      </w:pPr>
    </w:p>
    <w:p w14:paraId="5C8C0724">
      <w:pPr>
        <w:pStyle w:val="2"/>
        <w:numPr>
          <w:ilvl w:val="0"/>
          <w:numId w:val="3"/>
        </w:numPr>
        <w:bidi w:val="0"/>
        <w:rPr>
          <w:rFonts w:hint="eastAsia" w:ascii="宋体" w:hAnsi="宋体" w:eastAsia="宋体" w:cs="宋体"/>
          <w:b/>
          <w:color w:val="auto"/>
          <w:highlight w:val="none"/>
        </w:rPr>
      </w:pPr>
      <w:r>
        <w:rPr>
          <w:rFonts w:hint="eastAsia" w:ascii="宋体" w:hAnsi="宋体" w:eastAsia="宋体" w:cs="宋体"/>
          <w:lang w:val="en-US" w:eastAsia="zh-CN"/>
        </w:rPr>
        <w:t xml:space="preserve">  </w:t>
      </w:r>
      <w:r>
        <w:rPr>
          <w:rFonts w:hint="eastAsia" w:ascii="宋体" w:hAnsi="宋体" w:eastAsia="宋体" w:cs="宋体"/>
        </w:rPr>
        <w:t xml:space="preserve"> </w:t>
      </w:r>
      <w:bookmarkStart w:id="42" w:name="_Toc3381"/>
      <w:bookmarkStart w:id="43" w:name="_Toc10142"/>
      <w:bookmarkStart w:id="44" w:name="_Toc221356895"/>
      <w:bookmarkStart w:id="45" w:name="_Toc221356958"/>
      <w:r>
        <w:rPr>
          <w:rFonts w:hint="eastAsia" w:ascii="宋体" w:hAnsi="宋体" w:eastAsia="宋体" w:cs="宋体"/>
        </w:rPr>
        <w:t>项目技术规范和服务要求</w:t>
      </w:r>
      <w:bookmarkEnd w:id="42"/>
      <w:bookmarkEnd w:id="43"/>
    </w:p>
    <w:bookmarkEnd w:id="44"/>
    <w:bookmarkEnd w:id="45"/>
    <w:p w14:paraId="4B7E790E">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1、转运标本种类：</w:t>
      </w:r>
      <w:r>
        <w:rPr>
          <w:rFonts w:hint="eastAsia" w:ascii="宋体" w:hAnsi="宋体" w:eastAsia="宋体" w:cs="宋体"/>
          <w:bCs/>
          <w:color w:val="auto"/>
          <w:sz w:val="22"/>
          <w:szCs w:val="22"/>
          <w:highlight w:val="none"/>
        </w:rPr>
        <w:t>血清。</w:t>
      </w:r>
    </w:p>
    <w:p w14:paraId="21C39DD8">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2、标本收取及报告：</w:t>
      </w:r>
    </w:p>
    <w:p w14:paraId="3E7C67F0">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2.1标本需投标人每日</w:t>
      </w:r>
      <w:r>
        <w:rPr>
          <w:rFonts w:hint="eastAsia" w:ascii="宋体" w:hAnsi="宋体" w:cs="宋体"/>
          <w:color w:val="auto"/>
          <w:sz w:val="22"/>
          <w:szCs w:val="22"/>
          <w:highlight w:val="none"/>
          <w:lang w:val="en-US" w:eastAsia="zh-CN"/>
        </w:rPr>
        <w:t>上</w:t>
      </w:r>
      <w:r>
        <w:rPr>
          <w:rFonts w:hint="eastAsia" w:ascii="宋体" w:hAnsi="宋体" w:eastAsia="宋体" w:cs="宋体"/>
          <w:color w:val="auto"/>
          <w:sz w:val="22"/>
          <w:szCs w:val="22"/>
          <w:highlight w:val="none"/>
        </w:rPr>
        <w:t>门收取，收取人员必须当场确认采集量和标本类型是否符合要求，如不符及时和检验</w:t>
      </w:r>
      <w:r>
        <w:rPr>
          <w:rFonts w:hint="eastAsia" w:ascii="宋体" w:hAnsi="宋体" w:cs="宋体"/>
          <w:color w:val="auto"/>
          <w:sz w:val="22"/>
          <w:szCs w:val="22"/>
          <w:highlight w:val="none"/>
          <w:lang w:val="en-US" w:eastAsia="zh-CN"/>
        </w:rPr>
        <w:t>科</w:t>
      </w:r>
      <w:r>
        <w:rPr>
          <w:rFonts w:hint="eastAsia" w:ascii="宋体" w:hAnsi="宋体" w:eastAsia="宋体" w:cs="宋体"/>
          <w:color w:val="auto"/>
          <w:sz w:val="22"/>
          <w:szCs w:val="22"/>
          <w:highlight w:val="none"/>
        </w:rPr>
        <w:t>人员联系。</w:t>
      </w:r>
    </w:p>
    <w:p w14:paraId="3A6F061B">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2.2收样后三个工作日内出具报告，所有报告单可在网上查询，并与医院</w:t>
      </w:r>
      <w:r>
        <w:rPr>
          <w:rFonts w:hint="eastAsia" w:ascii="宋体" w:hAnsi="宋体" w:cs="宋体"/>
          <w:color w:val="auto"/>
          <w:sz w:val="22"/>
          <w:szCs w:val="22"/>
          <w:highlight w:val="none"/>
          <w:u w:val="single"/>
          <w:lang w:val="en-US" w:eastAsia="zh-CN"/>
        </w:rPr>
        <w:t>LIS</w:t>
      </w:r>
      <w:r>
        <w:rPr>
          <w:rFonts w:hint="eastAsia" w:ascii="宋体" w:hAnsi="宋体" w:eastAsia="宋体" w:cs="宋体"/>
          <w:color w:val="auto"/>
          <w:sz w:val="22"/>
          <w:szCs w:val="22"/>
          <w:highlight w:val="none"/>
        </w:rPr>
        <w:t>系统相连接，接口相关费用由中标单位支付。</w:t>
      </w:r>
    </w:p>
    <w:p w14:paraId="747DD717">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3、运输冷链系统要求</w:t>
      </w:r>
    </w:p>
    <w:p w14:paraId="21BD5A2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所有样本的运送必须符合样本运输管理要求，并严格按照样本保存要求的温度进行转运。</w:t>
      </w:r>
    </w:p>
    <w:p w14:paraId="55B10149">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3.2具备完善的冷链运输体系，必须配置专用冷链运输箱，运输箱必须有相应的温度记录装置，每周至少一次的清洁消毒，确保样本质量和环境安全。</w:t>
      </w:r>
    </w:p>
    <w:p w14:paraId="78D61BE9">
      <w:pPr>
        <w:keepNext w:val="0"/>
        <w:keepLines w:val="0"/>
        <w:pageBreakBefore w:val="0"/>
        <w:widowControl w:val="0"/>
        <w:numPr>
          <w:ilvl w:val="0"/>
          <w:numId w:val="4"/>
        </w:numPr>
        <w:kinsoku/>
        <w:wordWrap/>
        <w:overflowPunct/>
        <w:topLinePunct w:val="0"/>
        <w:autoSpaceDE/>
        <w:autoSpaceDN/>
        <w:bidi w:val="0"/>
        <w:snapToGrid w:val="0"/>
        <w:spacing w:line="4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标本安全管理：</w:t>
      </w:r>
    </w:p>
    <w:p w14:paraId="6B2B8286">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样本交接及运送过程必须符合样本的安全管理要求，符合《病原微生物实验室生物安全管理条例》、《可感染人类的高致病性病原微生物菌（毒）种或样本运输管理规定》等相关法律法规规章涉及的生物安全规定。</w:t>
      </w:r>
    </w:p>
    <w:p w14:paraId="5C29166F">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需要按照国家相关规定要求，对检测的标本进行妥善保管。</w:t>
      </w:r>
    </w:p>
    <w:p w14:paraId="39B4BA1F">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5、标本运输要求：</w:t>
      </w:r>
      <w:r>
        <w:rPr>
          <w:rFonts w:hint="eastAsia" w:ascii="宋体" w:hAnsi="宋体" w:eastAsia="宋体" w:cs="宋体"/>
          <w:color w:val="auto"/>
          <w:sz w:val="22"/>
          <w:szCs w:val="22"/>
          <w:highlight w:val="none"/>
        </w:rPr>
        <w:t>运输车辆拥有运输标本专业设备如生物安全转运箱，并装有处置生物安全应急事件的应急箱及消毒用喷壶,可以应对突发生物安全事件的现场处置。</w:t>
      </w:r>
    </w:p>
    <w:p w14:paraId="1D4A4C52">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6、标本转运制度：</w:t>
      </w:r>
      <w:r>
        <w:rPr>
          <w:rFonts w:hint="eastAsia" w:ascii="宋体" w:hAnsi="宋体" w:eastAsia="宋体" w:cs="宋体"/>
          <w:color w:val="auto"/>
          <w:sz w:val="22"/>
          <w:szCs w:val="22"/>
          <w:highlight w:val="none"/>
        </w:rPr>
        <w:t>提供</w:t>
      </w:r>
      <w:r>
        <w:rPr>
          <w:rFonts w:hint="eastAsia" w:ascii="宋体" w:hAnsi="宋体" w:eastAsia="宋体" w:cs="宋体"/>
          <w:bCs/>
          <w:color w:val="auto"/>
          <w:sz w:val="22"/>
          <w:szCs w:val="22"/>
          <w:highlight w:val="none"/>
        </w:rPr>
        <w:t>标本转</w:t>
      </w:r>
      <w:r>
        <w:rPr>
          <w:rFonts w:hint="eastAsia" w:ascii="宋体" w:hAnsi="宋体" w:eastAsia="宋体" w:cs="宋体"/>
          <w:color w:val="auto"/>
          <w:sz w:val="22"/>
          <w:szCs w:val="22"/>
          <w:highlight w:val="none"/>
        </w:rPr>
        <w:t>运物流流程规章制度（包括标本运输紧急预案）及工作各环节操作说明书。</w:t>
      </w:r>
    </w:p>
    <w:p w14:paraId="4C49DADD">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7、物流规划方案：</w:t>
      </w:r>
      <w:r>
        <w:rPr>
          <w:rFonts w:hint="eastAsia" w:ascii="宋体" w:hAnsi="宋体" w:eastAsia="宋体" w:cs="宋体"/>
          <w:color w:val="auto"/>
          <w:sz w:val="22"/>
          <w:szCs w:val="22"/>
          <w:highlight w:val="none"/>
        </w:rPr>
        <w:t>提供整个物流的完整书面规划方案，安全措施、应急预案等等。</w:t>
      </w:r>
    </w:p>
    <w:p w14:paraId="243D3573">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8、外送服务费：</w:t>
      </w:r>
      <w:r>
        <w:rPr>
          <w:rFonts w:hint="eastAsia" w:ascii="宋体" w:hAnsi="宋体" w:eastAsia="宋体" w:cs="宋体"/>
          <w:color w:val="auto"/>
          <w:sz w:val="22"/>
          <w:szCs w:val="22"/>
          <w:highlight w:val="none"/>
        </w:rPr>
        <w:t>本项目投标报价包含自投标人上门接收样本至院方收到检测报告期间所产生的费用，包括但不限于检测服务费、检测报告费和其他外送标本检验等及其涉及的运费、油费、保险费、工资、水电费、设备折旧费、税费等全部费用。</w:t>
      </w:r>
    </w:p>
    <w:p w14:paraId="1D59A69C">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9、质量要求：</w:t>
      </w:r>
    </w:p>
    <w:p w14:paraId="54C1DA70">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9.1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需按照采购人的要求定期维护提交质量控制数据记录。</w:t>
      </w:r>
    </w:p>
    <w:p w14:paraId="5B3A182B">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9.2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对所出的检测报告负责，建立全面的质量管理体系，落实全面质量管理与改进制度，严格按照SOP文件执行，开展室内质控，并参加国家临检中心室间质评，确保检验结果准确可靠。</w:t>
      </w:r>
    </w:p>
    <w:p w14:paraId="260217C8">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b/>
          <w:bCs/>
          <w:color w:val="auto"/>
          <w:sz w:val="22"/>
          <w:szCs w:val="22"/>
          <w:highlight w:val="none"/>
        </w:rPr>
      </w:pPr>
    </w:p>
    <w:p w14:paraId="64539983">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b/>
          <w:bCs/>
          <w:color w:val="auto"/>
          <w:sz w:val="22"/>
          <w:szCs w:val="22"/>
          <w:highlight w:val="none"/>
        </w:rPr>
      </w:pPr>
    </w:p>
    <w:p w14:paraId="59DD0D1C">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10、检测内容</w:t>
      </w:r>
    </w:p>
    <w:tbl>
      <w:tblPr>
        <w:tblStyle w:val="53"/>
        <w:tblW w:w="51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728"/>
        <w:gridCol w:w="6348"/>
        <w:gridCol w:w="1350"/>
      </w:tblGrid>
      <w:tr w14:paraId="6C25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4705EE6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序号</w:t>
            </w:r>
          </w:p>
        </w:tc>
        <w:tc>
          <w:tcPr>
            <w:tcW w:w="847" w:type="pct"/>
            <w:vAlign w:val="center"/>
          </w:tcPr>
          <w:p w14:paraId="1E298A8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检测项目名称</w:t>
            </w:r>
          </w:p>
        </w:tc>
        <w:tc>
          <w:tcPr>
            <w:tcW w:w="3111" w:type="pct"/>
            <w:vAlign w:val="center"/>
          </w:tcPr>
          <w:p w14:paraId="4D3C7BE3">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项目内容</w:t>
            </w:r>
          </w:p>
        </w:tc>
        <w:tc>
          <w:tcPr>
            <w:tcW w:w="661" w:type="pct"/>
            <w:vAlign w:val="center"/>
          </w:tcPr>
          <w:p w14:paraId="72D2EC4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检测方法</w:t>
            </w:r>
          </w:p>
        </w:tc>
      </w:tr>
      <w:tr w14:paraId="1976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restart"/>
            <w:vAlign w:val="center"/>
          </w:tcPr>
          <w:p w14:paraId="309DEA60">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p>
        </w:tc>
        <w:tc>
          <w:tcPr>
            <w:tcW w:w="847" w:type="pct"/>
            <w:vMerge w:val="restart"/>
            <w:vAlign w:val="center"/>
          </w:tcPr>
          <w:p w14:paraId="3ABFC3B9">
            <w:pPr>
              <w:keepNext w:val="0"/>
              <w:keepLines w:val="0"/>
              <w:pageBreakBefore w:val="0"/>
              <w:widowControl w:val="0"/>
              <w:kinsoku/>
              <w:wordWrap/>
              <w:overflowPunct/>
              <w:topLinePunct w:val="0"/>
              <w:autoSpaceDE/>
              <w:autoSpaceDN/>
              <w:bidi w:val="0"/>
              <w:spacing w:line="460" w:lineRule="exact"/>
              <w:jc w:val="center"/>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多囊卵巢综合征（PCOS）诊断激素检测</w:t>
            </w:r>
          </w:p>
        </w:tc>
        <w:tc>
          <w:tcPr>
            <w:tcW w:w="3111" w:type="pct"/>
            <w:vAlign w:val="center"/>
          </w:tcPr>
          <w:p w14:paraId="2EB36F24">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cs="宋体" w:eastAsiaTheme="minorEastAsia"/>
                <w:b/>
                <w:color w:val="auto"/>
                <w:sz w:val="22"/>
                <w:szCs w:val="22"/>
                <w:highlight w:val="none"/>
                <w:lang w:eastAsia="zh-CN"/>
              </w:rPr>
            </w:pPr>
            <w:r>
              <w:rPr>
                <w:rFonts w:hint="eastAsia" w:ascii="宋体" w:hAnsi="宋体" w:eastAsia="宋体" w:cs="宋体"/>
                <w:color w:val="auto"/>
                <w:sz w:val="22"/>
                <w:szCs w:val="22"/>
                <w:highlight w:val="none"/>
              </w:rPr>
              <w:t>黄体生成激素（LH）、卵泡刺激激素（FSH）、促甲状腺激素（TSH）、雌二醇（E2）、泌乳素（PRL）、单体泌乳素（PRL）、抗缪勒管激素（AMH）</w:t>
            </w:r>
            <w:r>
              <w:rPr>
                <w:rFonts w:hint="eastAsia" w:ascii="宋体" w:hAnsi="宋体" w:eastAsia="宋体" w:cs="宋体"/>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eastAsia="zh-CN"/>
              </w:rPr>
              <w:t>性激素结合球蛋白SHGB</w:t>
            </w:r>
            <w:r>
              <w:rPr>
                <w:rFonts w:hint="eastAsia" w:asciiTheme="minorEastAsia" w:hAnsi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C肽</w:t>
            </w:r>
          </w:p>
        </w:tc>
        <w:tc>
          <w:tcPr>
            <w:tcW w:w="661" w:type="pct"/>
            <w:vAlign w:val="center"/>
          </w:tcPr>
          <w:p w14:paraId="300DC076">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化学发光法</w:t>
            </w:r>
          </w:p>
        </w:tc>
      </w:tr>
      <w:tr w14:paraId="6AA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14:paraId="347BB00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val="0"/>
                <w:bCs w:val="0"/>
                <w:color w:val="auto"/>
                <w:sz w:val="22"/>
                <w:szCs w:val="22"/>
                <w:highlight w:val="none"/>
              </w:rPr>
            </w:pPr>
          </w:p>
        </w:tc>
        <w:tc>
          <w:tcPr>
            <w:tcW w:w="847" w:type="pct"/>
            <w:vMerge w:val="continue"/>
            <w:vAlign w:val="center"/>
          </w:tcPr>
          <w:p w14:paraId="10C2938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val="0"/>
                <w:bCs w:val="0"/>
                <w:color w:val="auto"/>
                <w:sz w:val="22"/>
                <w:szCs w:val="22"/>
                <w:highlight w:val="none"/>
              </w:rPr>
            </w:pPr>
          </w:p>
        </w:tc>
        <w:tc>
          <w:tcPr>
            <w:tcW w:w="3111" w:type="pct"/>
            <w:vAlign w:val="center"/>
          </w:tcPr>
          <w:p w14:paraId="6EDABCAF">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孕酮（P）、睾酮（TT）、双氢睾酮（DHT）、游离睾酮(FT)、雄烯二酮（A4）、脱氢表雄酮（DHEA）、脱氢表雄酮硫酸酯（DHEAS）、17-α羟孕酮(17-OHPG)、17-羟孕烯醇酮、孕烯醇酮、11-脱氧皮质醇、11-脱氧皮质酮、皮质醇、醛固酮</w:t>
            </w:r>
            <w:r>
              <w:rPr>
                <w:rFonts w:hint="eastAsia" w:ascii="宋体" w:hAnsi="宋体" w:eastAsia="宋体" w:cs="宋体"/>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雌酮</w:t>
            </w:r>
            <w:r>
              <w:rPr>
                <w:rFonts w:hint="eastAsia" w:asciiTheme="minorEastAsia" w:hAnsi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雌三醇</w:t>
            </w:r>
          </w:p>
        </w:tc>
        <w:tc>
          <w:tcPr>
            <w:tcW w:w="661" w:type="pct"/>
            <w:vAlign w:val="center"/>
          </w:tcPr>
          <w:p w14:paraId="3F63D944">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质谱法</w:t>
            </w:r>
          </w:p>
        </w:tc>
      </w:tr>
      <w:tr w14:paraId="080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restart"/>
            <w:vAlign w:val="center"/>
          </w:tcPr>
          <w:p w14:paraId="340C8C4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2</w:t>
            </w:r>
          </w:p>
        </w:tc>
        <w:tc>
          <w:tcPr>
            <w:tcW w:w="847" w:type="pct"/>
            <w:vMerge w:val="restart"/>
            <w:vAlign w:val="center"/>
          </w:tcPr>
          <w:p w14:paraId="4189692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val="0"/>
                <w:bCs w:val="0"/>
                <w:color w:val="auto"/>
                <w:sz w:val="22"/>
                <w:szCs w:val="22"/>
                <w:highlight w:val="none"/>
              </w:rPr>
            </w:pPr>
            <w:r>
              <w:rPr>
                <w:rFonts w:ascii="宋体" w:hAnsi="宋体" w:eastAsia="宋体" w:cs="宋体"/>
                <w:b w:val="0"/>
                <w:bCs w:val="0"/>
                <w:color w:val="auto"/>
                <w:sz w:val="22"/>
                <w:szCs w:val="22"/>
                <w:highlight w:val="none"/>
              </w:rPr>
              <w:t>多囊卵巢综合征（PCOS）</w:t>
            </w:r>
            <w:r>
              <w:rPr>
                <w:rFonts w:hint="eastAsia" w:ascii="宋体" w:hAnsi="宋体" w:eastAsia="宋体" w:cs="宋体"/>
                <w:b w:val="0"/>
                <w:bCs w:val="0"/>
                <w:color w:val="auto"/>
                <w:sz w:val="22"/>
                <w:szCs w:val="22"/>
                <w:highlight w:val="none"/>
                <w:lang w:val="en-US" w:eastAsia="zh-CN"/>
              </w:rPr>
              <w:t>随访</w:t>
            </w:r>
            <w:r>
              <w:rPr>
                <w:rFonts w:ascii="宋体" w:hAnsi="宋体" w:eastAsia="宋体" w:cs="宋体"/>
                <w:b w:val="0"/>
                <w:bCs w:val="0"/>
                <w:color w:val="auto"/>
                <w:sz w:val="22"/>
                <w:szCs w:val="22"/>
                <w:highlight w:val="none"/>
              </w:rPr>
              <w:t>激素</w:t>
            </w:r>
            <w:r>
              <w:rPr>
                <w:rFonts w:hint="eastAsia" w:ascii="宋体" w:hAnsi="宋体" w:eastAsia="宋体" w:cs="宋体"/>
                <w:b w:val="0"/>
                <w:bCs w:val="0"/>
                <w:color w:val="auto"/>
                <w:sz w:val="22"/>
                <w:szCs w:val="22"/>
                <w:highlight w:val="none"/>
                <w:lang w:val="en-US" w:eastAsia="zh-CN"/>
              </w:rPr>
              <w:t>评估</w:t>
            </w:r>
          </w:p>
        </w:tc>
        <w:tc>
          <w:tcPr>
            <w:tcW w:w="3111" w:type="pct"/>
            <w:vAlign w:val="center"/>
          </w:tcPr>
          <w:p w14:paraId="50838449">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eastAsia="zh-CN"/>
              </w:rPr>
              <w:t>黄体生成激素（LH）、卵泡刺激激素（FSH）、雌二醇（E2）、抗缪勒管激素（AMH）</w:t>
            </w:r>
          </w:p>
        </w:tc>
        <w:tc>
          <w:tcPr>
            <w:tcW w:w="661" w:type="pct"/>
            <w:vAlign w:val="center"/>
          </w:tcPr>
          <w:p w14:paraId="248867D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Cs/>
                <w:color w:val="auto"/>
                <w:sz w:val="22"/>
                <w:szCs w:val="22"/>
                <w:highlight w:val="none"/>
              </w:rPr>
            </w:pPr>
            <w:r>
              <w:rPr>
                <w:rFonts w:hint="eastAsia" w:ascii="宋体" w:hAnsi="宋体" w:eastAsia="宋体" w:cs="宋体"/>
                <w:b w:val="0"/>
                <w:bCs/>
                <w:color w:val="auto"/>
                <w:sz w:val="22"/>
                <w:szCs w:val="22"/>
                <w:highlight w:val="none"/>
                <w:vertAlign w:val="baseline"/>
                <w:lang w:val="en-US" w:eastAsia="zh-CN"/>
              </w:rPr>
              <w:t>化学发光法</w:t>
            </w:r>
          </w:p>
        </w:tc>
      </w:tr>
      <w:tr w14:paraId="3764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14:paraId="2078BC45">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val="0"/>
                <w:bCs w:val="0"/>
                <w:color w:val="auto"/>
                <w:sz w:val="22"/>
                <w:szCs w:val="22"/>
                <w:highlight w:val="none"/>
                <w:lang w:val="en-US" w:eastAsia="zh-CN"/>
              </w:rPr>
            </w:pPr>
          </w:p>
        </w:tc>
        <w:tc>
          <w:tcPr>
            <w:tcW w:w="847" w:type="pct"/>
            <w:vMerge w:val="continue"/>
            <w:vAlign w:val="center"/>
          </w:tcPr>
          <w:p w14:paraId="4B69BD7B">
            <w:pPr>
              <w:keepNext w:val="0"/>
              <w:keepLines w:val="0"/>
              <w:pageBreakBefore w:val="0"/>
              <w:widowControl w:val="0"/>
              <w:kinsoku/>
              <w:wordWrap/>
              <w:overflowPunct/>
              <w:topLinePunct w:val="0"/>
              <w:autoSpaceDE/>
              <w:autoSpaceDN/>
              <w:bidi w:val="0"/>
              <w:spacing w:line="460" w:lineRule="exact"/>
              <w:jc w:val="center"/>
              <w:textAlignment w:val="auto"/>
              <w:rPr>
                <w:rFonts w:ascii="宋体" w:hAnsi="宋体" w:eastAsia="宋体" w:cs="宋体"/>
                <w:b w:val="0"/>
                <w:bCs w:val="0"/>
                <w:color w:val="auto"/>
                <w:sz w:val="22"/>
                <w:szCs w:val="22"/>
                <w:highlight w:val="none"/>
              </w:rPr>
            </w:pPr>
          </w:p>
        </w:tc>
        <w:tc>
          <w:tcPr>
            <w:tcW w:w="3111" w:type="pct"/>
            <w:vAlign w:val="center"/>
          </w:tcPr>
          <w:p w14:paraId="618437BD">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孕酮（P）、睾酮（TT）、双氢睾酮（DHT）、游离睾酮(FT)、雄烯二酮（A4）、脱氢表雄酮（DHEA）、脱氢表雄酮硫酸酯（DHEAS）</w:t>
            </w:r>
          </w:p>
        </w:tc>
        <w:tc>
          <w:tcPr>
            <w:tcW w:w="661" w:type="pct"/>
            <w:vAlign w:val="center"/>
          </w:tcPr>
          <w:p w14:paraId="4B7C905B">
            <w:pPr>
              <w:keepNext w:val="0"/>
              <w:keepLines w:val="0"/>
              <w:pageBreakBefore w:val="0"/>
              <w:widowControl w:val="0"/>
              <w:kinsoku/>
              <w:wordWrap/>
              <w:overflowPunct/>
              <w:topLinePunct w:val="0"/>
              <w:autoSpaceDE/>
              <w:autoSpaceDN/>
              <w:bidi w:val="0"/>
              <w:spacing w:line="460" w:lineRule="exact"/>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质谱法</w:t>
            </w:r>
          </w:p>
        </w:tc>
      </w:tr>
    </w:tbl>
    <w:p w14:paraId="39ACF8DC">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b/>
          <w:color w:val="auto"/>
          <w:sz w:val="22"/>
          <w:szCs w:val="22"/>
          <w:highlight w:val="none"/>
        </w:rPr>
      </w:pPr>
    </w:p>
    <w:p w14:paraId="6B1FBD06">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11、其它要求：</w:t>
      </w:r>
    </w:p>
    <w:p w14:paraId="2E0B2B49">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中标后协助医院开展多囊卵巢综合征（PCOS）项目相关的科研研究。</w:t>
      </w:r>
    </w:p>
    <w:p w14:paraId="00DC1AA2">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需提供专业客户服务人员。服务时效：日常电话及时应答，投诉2小时内回复。</w:t>
      </w:r>
    </w:p>
    <w:p w14:paraId="36DB169C">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11.3当招标人对</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实验室的检验结果有疑义或异议时，可要求</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实验室重新检验或再委托第三方检验。这种情况下所发生的费用，由责任方承担。</w:t>
      </w:r>
    </w:p>
    <w:p w14:paraId="0363C6BB">
      <w:pPr>
        <w:keepNext w:val="0"/>
        <w:keepLines w:val="0"/>
        <w:pageBreakBefore w:val="0"/>
        <w:widowControl w:val="0"/>
        <w:kinsoku/>
        <w:wordWrap/>
        <w:overflowPunct/>
        <w:topLinePunct w:val="0"/>
        <w:autoSpaceDE/>
        <w:autoSpaceDN/>
        <w:bidi w:val="0"/>
        <w:snapToGrid w:val="0"/>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11.4合作的第三方检测机构不得转委托，如存在层层委托现象，医院一经发现有权终止合同。</w:t>
      </w:r>
    </w:p>
    <w:p w14:paraId="4BC06AA4">
      <w:pPr>
        <w:keepNext w:val="0"/>
        <w:keepLines w:val="0"/>
        <w:pageBreakBefore w:val="0"/>
        <w:widowControl w:val="0"/>
        <w:numPr>
          <w:ilvl w:val="0"/>
          <w:numId w:val="0"/>
        </w:numPr>
        <w:kinsoku/>
        <w:wordWrap/>
        <w:overflowPunct/>
        <w:topLinePunct w:val="0"/>
        <w:bidi w:val="0"/>
        <w:spacing w:line="460" w:lineRule="exact"/>
        <w:textAlignment w:val="auto"/>
        <w:rPr>
          <w:rFonts w:hint="eastAsia" w:ascii="宋体" w:hAnsi="宋体" w:eastAsia="宋体" w:cs="宋体"/>
        </w:rPr>
      </w:pPr>
      <w:r>
        <w:rPr>
          <w:rFonts w:hint="eastAsia" w:ascii="宋体" w:hAnsi="宋体" w:eastAsia="宋体" w:cs="宋体"/>
          <w:color w:val="auto"/>
          <w:sz w:val="22"/>
          <w:szCs w:val="22"/>
          <w:highlight w:val="none"/>
          <w:lang w:val="en-US" w:eastAsia="zh-CN"/>
        </w:rPr>
        <w:t>11.5报价要求：两个检测项目进行一个折扣率报价。</w:t>
      </w:r>
      <w:r>
        <w:rPr>
          <w:rFonts w:hint="eastAsia" w:ascii="宋体" w:hAnsi="宋体" w:cs="宋体"/>
          <w:b w:val="0"/>
          <w:bCs/>
          <w:color w:val="auto"/>
          <w:sz w:val="22"/>
          <w:szCs w:val="22"/>
          <w:highlight w:val="none"/>
          <w:lang w:val="en-US" w:eastAsia="zh-CN"/>
        </w:rPr>
        <w:t>检测服务费用每月结算一次，甲方在收到乙方开具的增值税发票后三个月内支付相应金额的服务费。合同签订后开展项目的业务量以甲方出具的报告内容和数量为准。</w:t>
      </w:r>
      <w:r>
        <w:rPr>
          <w:rFonts w:hint="eastAsia" w:ascii="宋体" w:hAnsi="宋体" w:eastAsia="宋体" w:cs="宋体"/>
          <w:color w:val="auto"/>
          <w:sz w:val="22"/>
          <w:szCs w:val="22"/>
          <w:highlight w:val="none"/>
        </w:rPr>
        <w:t>收费标准相应服务项目的收费标准×中标折扣×业务量=</w:t>
      </w:r>
      <w:r>
        <w:rPr>
          <w:rFonts w:hint="eastAsia" w:ascii="宋体" w:hAnsi="宋体" w:eastAsia="宋体" w:cs="宋体"/>
          <w:color w:val="auto"/>
          <w:sz w:val="22"/>
          <w:szCs w:val="22"/>
          <w:highlight w:val="none"/>
          <w:lang w:val="en-US" w:eastAsia="zh-CN"/>
        </w:rPr>
        <w:t>结算</w:t>
      </w:r>
      <w:r>
        <w:rPr>
          <w:rFonts w:hint="eastAsia" w:ascii="宋体" w:hAnsi="宋体" w:eastAsia="宋体" w:cs="宋体"/>
          <w:color w:val="auto"/>
          <w:sz w:val="22"/>
          <w:szCs w:val="22"/>
          <w:highlight w:val="none"/>
        </w:rPr>
        <w:t>价款。</w:t>
      </w:r>
      <w:r>
        <w:rPr>
          <w:rFonts w:hint="eastAsia" w:ascii="宋体" w:hAnsi="宋体" w:eastAsia="宋体" w:cs="宋体"/>
          <w:b/>
          <w:color w:val="auto"/>
          <w:sz w:val="30"/>
          <w:highlight w:val="none"/>
        </w:rPr>
        <w:br w:type="page"/>
      </w:r>
    </w:p>
    <w:p w14:paraId="295228E9">
      <w:pPr>
        <w:pStyle w:val="2"/>
        <w:bidi w:val="0"/>
        <w:rPr>
          <w:rFonts w:hint="eastAsia" w:ascii="宋体" w:hAnsi="宋体" w:eastAsia="宋体" w:cs="宋体"/>
        </w:rPr>
      </w:pPr>
      <w:bookmarkStart w:id="46" w:name="_Toc30323"/>
      <w:bookmarkStart w:id="47" w:name="_Toc18194"/>
      <w:r>
        <w:rPr>
          <w:rFonts w:hint="eastAsia" w:ascii="宋体" w:hAnsi="宋体" w:eastAsia="宋体" w:cs="宋体"/>
        </w:rPr>
        <w:t>第五部分   评标原则及方法</w:t>
      </w:r>
      <w:bookmarkEnd w:id="46"/>
      <w:bookmarkEnd w:id="47"/>
    </w:p>
    <w:p w14:paraId="099B61B9">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根据《中华人民共和国政府采购法》、《政府采购货物和服务招标投标管理办法》、《中华人民共和国政府采购法实施条例》和《关于进一步规范政府采购活动的若干意见》等相关法规特制定以下评标办法。</w:t>
      </w:r>
    </w:p>
    <w:p w14:paraId="79C0C554">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auto"/>
          <w:sz w:val="22"/>
          <w:szCs w:val="22"/>
          <w:highlight w:val="none"/>
        </w:rPr>
      </w:pPr>
      <w:bookmarkStart w:id="48" w:name="_Toc15713"/>
      <w:bookmarkStart w:id="49" w:name="_Toc4407"/>
      <w:r>
        <w:rPr>
          <w:rFonts w:hint="eastAsia" w:ascii="宋体" w:hAnsi="宋体" w:eastAsia="宋体" w:cs="宋体"/>
          <w:b/>
          <w:color w:val="auto"/>
          <w:sz w:val="22"/>
          <w:szCs w:val="22"/>
          <w:highlight w:val="none"/>
        </w:rPr>
        <w:t>一、总 则</w:t>
      </w:r>
      <w:bookmarkEnd w:id="48"/>
      <w:bookmarkEnd w:id="49"/>
    </w:p>
    <w:p w14:paraId="65E34442">
      <w:pPr>
        <w:spacing w:line="460" w:lineRule="exact"/>
        <w:ind w:firstLine="539" w:firstLineChars="245"/>
        <w:rPr>
          <w:rFonts w:hint="eastAsia" w:ascii="宋体" w:hAnsi="宋体" w:eastAsia="宋体" w:cs="宋体"/>
          <w:b/>
          <w:color w:val="auto"/>
          <w:sz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2A05F10D">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auto"/>
          <w:sz w:val="22"/>
          <w:szCs w:val="22"/>
          <w:highlight w:val="none"/>
        </w:rPr>
      </w:pPr>
      <w:bookmarkStart w:id="50" w:name="_Toc24468"/>
      <w:bookmarkStart w:id="51" w:name="_Toc23152"/>
      <w:r>
        <w:rPr>
          <w:rFonts w:hint="eastAsia" w:ascii="宋体" w:hAnsi="宋体" w:eastAsia="宋体" w:cs="宋体"/>
          <w:b/>
          <w:color w:val="auto"/>
          <w:sz w:val="22"/>
          <w:szCs w:val="22"/>
          <w:highlight w:val="none"/>
        </w:rPr>
        <w:t>二、评标组织</w:t>
      </w:r>
      <w:bookmarkEnd w:id="50"/>
      <w:bookmarkEnd w:id="51"/>
    </w:p>
    <w:p w14:paraId="7712374C">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评标工作由招标人组建的评标委员会负责，评标全过程由有关部门指导监督。</w:t>
      </w:r>
    </w:p>
    <w:p w14:paraId="321C2870">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auto"/>
          <w:sz w:val="22"/>
          <w:szCs w:val="22"/>
          <w:highlight w:val="none"/>
        </w:rPr>
      </w:pPr>
      <w:bookmarkStart w:id="52" w:name="_Toc15153"/>
      <w:bookmarkStart w:id="53" w:name="_Toc67"/>
      <w:r>
        <w:rPr>
          <w:rFonts w:hint="eastAsia" w:ascii="宋体" w:hAnsi="宋体" w:eastAsia="宋体" w:cs="宋体"/>
          <w:b/>
          <w:color w:val="auto"/>
          <w:sz w:val="22"/>
          <w:szCs w:val="22"/>
          <w:highlight w:val="none"/>
        </w:rPr>
        <w:t>三、评标程序</w:t>
      </w:r>
      <w:bookmarkEnd w:id="52"/>
      <w:bookmarkEnd w:id="53"/>
    </w:p>
    <w:p w14:paraId="2479AF30">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1、评标委员按照招标文件中规定的评标方法和标准，对投标文件进行商务和技术评估，综合比较与评价</w:t>
      </w:r>
      <w:r>
        <w:rPr>
          <w:rFonts w:hint="eastAsia" w:ascii="宋体" w:hAnsi="宋体" w:eastAsia="宋体" w:cs="宋体"/>
          <w:color w:val="auto"/>
          <w:sz w:val="22"/>
          <w:szCs w:val="22"/>
          <w:highlight w:val="none"/>
        </w:rPr>
        <w:t>，根据综合评审结果，提交评审报告。</w:t>
      </w:r>
    </w:p>
    <w:p w14:paraId="659CEA3A">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2、提供相同品牌产品且通过资格审查、符合性审查的不同投标人参加同一合同项下投标的,按一家投标人计算,评审后综合得分最高的同品牌投标人获得中标人推荐资格；综合得分相同的,报价最低一家供应商获得中标人推荐资格；均相同时采取随机抽取方式确认一个投标人获得中标人推荐资格,其他同品牌投标人不作为中标候选人。</w:t>
      </w:r>
    </w:p>
    <w:p w14:paraId="5B896E9F">
      <w:pPr>
        <w:spacing w:line="460" w:lineRule="exact"/>
        <w:ind w:firstLine="539" w:firstLineChars="245"/>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非单一产品采购项目，应当根据采购项目技术构成、产品价格比重等合理确定核心产品。多家投标人提供的核心产品品牌相同的，按前款规定处理。</w:t>
      </w:r>
    </w:p>
    <w:p w14:paraId="5B5FCFCF">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auto"/>
          <w:sz w:val="22"/>
          <w:szCs w:val="22"/>
          <w:highlight w:val="none"/>
        </w:rPr>
      </w:pPr>
      <w:bookmarkStart w:id="54" w:name="_Toc24825"/>
      <w:bookmarkStart w:id="55" w:name="_Toc11306"/>
      <w:r>
        <w:rPr>
          <w:rFonts w:hint="eastAsia" w:ascii="宋体" w:hAnsi="宋体" w:eastAsia="宋体" w:cs="宋体"/>
          <w:b/>
          <w:color w:val="auto"/>
          <w:sz w:val="22"/>
          <w:szCs w:val="22"/>
          <w:highlight w:val="none"/>
        </w:rPr>
        <w:t>四、评标办法</w:t>
      </w:r>
      <w:bookmarkEnd w:id="54"/>
      <w:bookmarkEnd w:id="55"/>
    </w:p>
    <w:p w14:paraId="095EC7B8">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w:t>
      </w:r>
      <w:r>
        <w:rPr>
          <w:rFonts w:hint="eastAsia" w:ascii="宋体" w:hAnsi="宋体" w:eastAsia="宋体" w:cs="宋体"/>
          <w:b/>
          <w:color w:val="auto"/>
          <w:sz w:val="22"/>
          <w:szCs w:val="22"/>
          <w:highlight w:val="none"/>
        </w:rPr>
        <w:t>总分设定为100分：技术标70分（权值70%），商务标（报价）30分（权值30%）。</w:t>
      </w:r>
    </w:p>
    <w:p w14:paraId="36382735">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auto"/>
          <w:sz w:val="22"/>
          <w:szCs w:val="22"/>
          <w:highlight w:val="none"/>
        </w:rPr>
      </w:pPr>
      <w:bookmarkStart w:id="56" w:name="_Toc11450"/>
      <w:bookmarkStart w:id="57" w:name="_Toc1535"/>
      <w:r>
        <w:rPr>
          <w:rFonts w:hint="eastAsia" w:ascii="宋体" w:hAnsi="宋体" w:eastAsia="宋体" w:cs="宋体"/>
          <w:b/>
          <w:color w:val="auto"/>
          <w:sz w:val="22"/>
          <w:szCs w:val="22"/>
          <w:highlight w:val="none"/>
        </w:rPr>
        <w:t>评分细则</w:t>
      </w:r>
      <w:bookmarkEnd w:id="56"/>
      <w:bookmarkEnd w:id="57"/>
    </w:p>
    <w:p w14:paraId="08F07C6B">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1、技术分的评定：技术标70分（权值70%）</w:t>
      </w:r>
    </w:p>
    <w:p w14:paraId="604AEFEB">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hAnsi="宋体" w:eastAsia="宋体" w:cs="宋体"/>
          <w:color w:val="auto"/>
          <w:sz w:val="22"/>
          <w:highlight w:val="none"/>
        </w:rPr>
        <w:t>各评标委员会成员对各投标人的各项评分内容评分的算术平均值为各投标人技术分得分</w:t>
      </w:r>
      <w:r>
        <w:rPr>
          <w:rFonts w:hint="eastAsia" w:ascii="宋体" w:hAnsi="宋体" w:eastAsia="宋体" w:cs="宋体"/>
          <w:color w:val="auto"/>
          <w:sz w:val="22"/>
          <w:szCs w:val="22"/>
          <w:highlight w:val="none"/>
        </w:rPr>
        <w:t>（小数点后按四舍五入保留2位）。</w:t>
      </w:r>
    </w:p>
    <w:tbl>
      <w:tblPr>
        <w:tblStyle w:val="52"/>
        <w:tblW w:w="494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499"/>
        <w:gridCol w:w="6701"/>
        <w:gridCol w:w="780"/>
      </w:tblGrid>
      <w:tr w14:paraId="0BA9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91" w:type="pct"/>
            <w:tcBorders>
              <w:bottom w:val="single" w:color="auto" w:sz="4" w:space="0"/>
            </w:tcBorders>
            <w:vAlign w:val="center"/>
          </w:tcPr>
          <w:p w14:paraId="626FBF1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序号</w:t>
            </w:r>
          </w:p>
        </w:tc>
        <w:tc>
          <w:tcPr>
            <w:tcW w:w="769" w:type="pct"/>
            <w:tcBorders>
              <w:bottom w:val="single" w:color="auto" w:sz="4" w:space="0"/>
            </w:tcBorders>
            <w:vAlign w:val="center"/>
          </w:tcPr>
          <w:p w14:paraId="5959466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评标内容</w:t>
            </w:r>
          </w:p>
        </w:tc>
        <w:tc>
          <w:tcPr>
            <w:tcW w:w="3438" w:type="pct"/>
            <w:tcBorders>
              <w:bottom w:val="single" w:color="auto" w:sz="4" w:space="0"/>
            </w:tcBorders>
            <w:vAlign w:val="center"/>
          </w:tcPr>
          <w:p w14:paraId="229E820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zh-CN"/>
              </w:rPr>
              <w:t>评标标准</w:t>
            </w:r>
          </w:p>
        </w:tc>
        <w:tc>
          <w:tcPr>
            <w:tcW w:w="400" w:type="pct"/>
            <w:tcBorders>
              <w:bottom w:val="single" w:color="auto" w:sz="4" w:space="0"/>
            </w:tcBorders>
            <w:vAlign w:val="center"/>
          </w:tcPr>
          <w:p w14:paraId="191629F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r>
      <w:tr w14:paraId="080D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91" w:type="pct"/>
            <w:tcBorders>
              <w:top w:val="single" w:color="auto" w:sz="4" w:space="0"/>
              <w:left w:val="single" w:color="auto" w:sz="4" w:space="0"/>
              <w:bottom w:val="single" w:color="auto" w:sz="4" w:space="0"/>
              <w:right w:val="single" w:color="auto" w:sz="4" w:space="0"/>
            </w:tcBorders>
            <w:vAlign w:val="center"/>
          </w:tcPr>
          <w:p w14:paraId="736439F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769" w:type="pct"/>
            <w:tcBorders>
              <w:top w:val="single" w:color="auto" w:sz="4" w:space="0"/>
              <w:left w:val="single" w:color="auto" w:sz="4" w:space="0"/>
              <w:bottom w:val="single" w:color="auto" w:sz="4" w:space="0"/>
              <w:right w:val="single" w:color="auto" w:sz="4" w:space="0"/>
            </w:tcBorders>
            <w:vAlign w:val="center"/>
          </w:tcPr>
          <w:p w14:paraId="5633C24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项目响应</w:t>
            </w:r>
          </w:p>
        </w:tc>
        <w:tc>
          <w:tcPr>
            <w:tcW w:w="3438" w:type="pct"/>
            <w:tcBorders>
              <w:top w:val="single" w:color="auto" w:sz="4" w:space="0"/>
              <w:left w:val="single" w:color="auto" w:sz="4" w:space="0"/>
              <w:bottom w:val="single" w:color="auto" w:sz="4" w:space="0"/>
              <w:right w:val="single" w:color="auto" w:sz="4" w:space="0"/>
            </w:tcBorders>
            <w:vAlign w:val="center"/>
          </w:tcPr>
          <w:p w14:paraId="3BAB7131">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b/>
                <w:bCs/>
                <w:color w:val="auto"/>
                <w:sz w:val="22"/>
                <w:szCs w:val="22"/>
                <w:highlight w:val="none"/>
                <w:lang w:val="zh-CN"/>
              </w:rPr>
            </w:pPr>
            <w:r>
              <w:rPr>
                <w:rFonts w:hint="eastAsia" w:ascii="宋体" w:hAnsi="宋体" w:eastAsia="宋体" w:cs="宋体"/>
                <w:color w:val="auto"/>
                <w:sz w:val="22"/>
                <w:szCs w:val="22"/>
                <w:highlight w:val="none"/>
              </w:rPr>
              <w:t>根据投标人检测项目开展的完整性打分，能自主完本项目全部检测指标的得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分，少一项扣1分。扣完为止。提供合作医疗机构真实检验报告单，不提供不得分。</w:t>
            </w:r>
          </w:p>
        </w:tc>
        <w:tc>
          <w:tcPr>
            <w:tcW w:w="400" w:type="pct"/>
            <w:tcBorders>
              <w:top w:val="single" w:color="auto" w:sz="4" w:space="0"/>
              <w:left w:val="single" w:color="auto" w:sz="4" w:space="0"/>
              <w:bottom w:val="single" w:color="auto" w:sz="4" w:space="0"/>
              <w:right w:val="single" w:color="auto" w:sz="4" w:space="0"/>
            </w:tcBorders>
            <w:vAlign w:val="center"/>
          </w:tcPr>
          <w:p w14:paraId="58A1A25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p>
        </w:tc>
      </w:tr>
      <w:tr w14:paraId="634B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391" w:type="pct"/>
            <w:vMerge w:val="restart"/>
            <w:tcBorders>
              <w:top w:val="single" w:color="auto" w:sz="4" w:space="0"/>
            </w:tcBorders>
            <w:vAlign w:val="center"/>
          </w:tcPr>
          <w:p w14:paraId="1825C3D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769" w:type="pct"/>
            <w:vMerge w:val="restart"/>
            <w:tcBorders>
              <w:top w:val="single" w:color="auto" w:sz="4" w:space="0"/>
            </w:tcBorders>
            <w:vAlign w:val="center"/>
          </w:tcPr>
          <w:p w14:paraId="7E08174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lang w:val="en-US" w:eastAsia="zh-CN"/>
              </w:rPr>
              <w:t>情况</w:t>
            </w:r>
          </w:p>
        </w:tc>
        <w:tc>
          <w:tcPr>
            <w:tcW w:w="3438" w:type="pct"/>
            <w:tcBorders>
              <w:top w:val="single" w:color="auto" w:sz="4" w:space="0"/>
            </w:tcBorders>
            <w:vAlign w:val="center"/>
          </w:tcPr>
          <w:p w14:paraId="052D4408">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投标人取得二级</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以上生物安全实验室证书的得1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7BED8C99">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投标人具备临床基因扩增检验实验室技术验收合格证书得1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400" w:type="pct"/>
            <w:tcBorders>
              <w:top w:val="single" w:color="auto" w:sz="4" w:space="0"/>
            </w:tcBorders>
            <w:vAlign w:val="center"/>
          </w:tcPr>
          <w:p w14:paraId="11FEF35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59D1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vMerge w:val="continue"/>
            <w:vAlign w:val="center"/>
          </w:tcPr>
          <w:p w14:paraId="6022DAC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769" w:type="pct"/>
            <w:vMerge w:val="continue"/>
            <w:vAlign w:val="center"/>
          </w:tcPr>
          <w:p w14:paraId="71BD844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3438" w:type="pct"/>
            <w:vAlign w:val="center"/>
          </w:tcPr>
          <w:p w14:paraId="1A096172">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在国家卫生健康委或其直属单位开展本项目相关的课题，并提供相关证明文件，符合的得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分，不符合的不得分。</w:t>
            </w:r>
          </w:p>
        </w:tc>
        <w:tc>
          <w:tcPr>
            <w:tcW w:w="400" w:type="pct"/>
            <w:vAlign w:val="center"/>
          </w:tcPr>
          <w:p w14:paraId="1F612B9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r>
      <w:tr w14:paraId="4930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91" w:type="pct"/>
            <w:vMerge w:val="continue"/>
            <w:vAlign w:val="center"/>
          </w:tcPr>
          <w:p w14:paraId="7E31A24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769" w:type="pct"/>
            <w:vMerge w:val="continue"/>
            <w:vAlign w:val="center"/>
          </w:tcPr>
          <w:p w14:paraId="313793A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3438" w:type="pct"/>
            <w:vAlign w:val="center"/>
          </w:tcPr>
          <w:p w14:paraId="34336B8D">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与全国排名前十的综合性三甲医院合作，共同建立PCOS相关激素指标的质谱法参考范围，并提供相关证明文件（真实性可查），符合的得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分，不符合的不得分。</w:t>
            </w:r>
          </w:p>
        </w:tc>
        <w:tc>
          <w:tcPr>
            <w:tcW w:w="400" w:type="pct"/>
            <w:vAlign w:val="center"/>
          </w:tcPr>
          <w:p w14:paraId="73231EF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r>
      <w:tr w14:paraId="52AD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1" w:type="pct"/>
            <w:vMerge w:val="continue"/>
            <w:vAlign w:val="center"/>
          </w:tcPr>
          <w:p w14:paraId="57EEB60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769" w:type="pct"/>
            <w:vMerge w:val="continue"/>
            <w:vAlign w:val="center"/>
          </w:tcPr>
          <w:p w14:paraId="0849790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3438" w:type="pct"/>
            <w:vAlign w:val="center"/>
          </w:tcPr>
          <w:p w14:paraId="64916B8A">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具有采购项目检测方法相关的专利，提供专利证书得3分。</w:t>
            </w:r>
          </w:p>
        </w:tc>
        <w:tc>
          <w:tcPr>
            <w:tcW w:w="400" w:type="pct"/>
            <w:vAlign w:val="center"/>
          </w:tcPr>
          <w:p w14:paraId="34A6341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3B84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91" w:type="pct"/>
            <w:vMerge w:val="restart"/>
            <w:vAlign w:val="center"/>
          </w:tcPr>
          <w:p w14:paraId="2B762B0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769" w:type="pct"/>
            <w:vMerge w:val="restart"/>
            <w:vAlign w:val="center"/>
          </w:tcPr>
          <w:p w14:paraId="225CE3F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实施方案评价</w:t>
            </w:r>
          </w:p>
        </w:tc>
        <w:tc>
          <w:tcPr>
            <w:tcW w:w="3438" w:type="pct"/>
            <w:vAlign w:val="center"/>
          </w:tcPr>
          <w:p w14:paraId="50FE24A9">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样本收集过程（</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55478C91">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①服务质量控制措施是否合理可行；②服务保障措施是否合理可行；③服务流程是否规范；三个方面内容，内容完整满足实际采购需求的得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分，每缺少一项内容扣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分；某项内容有但不完整、不完全满足实际采购需求的扣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扣完为止。</w:t>
            </w:r>
          </w:p>
        </w:tc>
        <w:tc>
          <w:tcPr>
            <w:tcW w:w="400" w:type="pct"/>
            <w:vAlign w:val="center"/>
          </w:tcPr>
          <w:p w14:paraId="57B9FEC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r>
      <w:tr w14:paraId="278E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vMerge w:val="continue"/>
            <w:vAlign w:val="center"/>
          </w:tcPr>
          <w:p w14:paraId="531A5EF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769" w:type="pct"/>
            <w:vMerge w:val="continue"/>
            <w:vAlign w:val="center"/>
          </w:tcPr>
          <w:p w14:paraId="196C6EF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3438" w:type="pct"/>
            <w:vAlign w:val="center"/>
          </w:tcPr>
          <w:p w14:paraId="514C9FA7">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运输过程（</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2607D16A">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①服务质量控制措施是否合理可行；②服务保障措施是否合理可行；③服务流程是否规范；三个方面内容，内容完整满足实际采购需求的得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分，每缺少一项内容扣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分；某项内容有但不完整、不完全满足实际采购需求的扣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扣完为止。</w:t>
            </w:r>
          </w:p>
        </w:tc>
        <w:tc>
          <w:tcPr>
            <w:tcW w:w="400" w:type="pct"/>
            <w:vAlign w:val="center"/>
          </w:tcPr>
          <w:p w14:paraId="5F19FC8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r>
      <w:tr w14:paraId="3279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91" w:type="pct"/>
            <w:vMerge w:val="continue"/>
            <w:vAlign w:val="center"/>
          </w:tcPr>
          <w:p w14:paraId="2A6C6D8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769" w:type="pct"/>
            <w:vMerge w:val="continue"/>
            <w:vAlign w:val="center"/>
          </w:tcPr>
          <w:p w14:paraId="73B2ACF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3438" w:type="pct"/>
            <w:vAlign w:val="center"/>
          </w:tcPr>
          <w:p w14:paraId="1C6F2E85">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检测过程（</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1D54972D">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①服务质量控制措施是否合理可行；②服务保障措施是否合理可行；③服务流程是否规范；三个方面内容，内容完整满足实际采购需求的得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分，每缺少一项内容扣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分；某项内容有但不完整、不完全满足实际采购需求的扣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扣完为止。</w:t>
            </w:r>
          </w:p>
        </w:tc>
        <w:tc>
          <w:tcPr>
            <w:tcW w:w="400" w:type="pct"/>
            <w:vAlign w:val="center"/>
          </w:tcPr>
          <w:p w14:paraId="05BAE50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r>
      <w:tr w14:paraId="28E9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vAlign w:val="center"/>
          </w:tcPr>
          <w:p w14:paraId="63C7C4F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769" w:type="pct"/>
            <w:vAlign w:val="center"/>
          </w:tcPr>
          <w:p w14:paraId="73258DB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服务团队</w:t>
            </w:r>
          </w:p>
        </w:tc>
        <w:tc>
          <w:tcPr>
            <w:tcW w:w="3438" w:type="pct"/>
            <w:tcBorders>
              <w:bottom w:val="single" w:color="auto" w:sz="4" w:space="0"/>
            </w:tcBorders>
            <w:vAlign w:val="center"/>
          </w:tcPr>
          <w:p w14:paraId="1275A9F8">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配备1名临床类执业医师且具有副高及以上职称得2分；</w:t>
            </w:r>
          </w:p>
          <w:p w14:paraId="22829DE5">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配备5名及以上医学检验专业的临床检测人员得2分，其中具有副高及以上职称的每人加</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分，最多加</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19267A4A">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需提供</w:t>
            </w:r>
            <w:r>
              <w:rPr>
                <w:rFonts w:hint="eastAsia" w:ascii="宋体" w:hAnsi="宋体" w:eastAsia="宋体" w:cs="宋体"/>
                <w:color w:val="auto"/>
                <w:sz w:val="22"/>
                <w:szCs w:val="22"/>
                <w:highlight w:val="none"/>
                <w:lang w:val="en-US" w:eastAsia="zh-CN"/>
              </w:rPr>
              <w:t>职称</w:t>
            </w:r>
            <w:r>
              <w:rPr>
                <w:rFonts w:hint="eastAsia" w:ascii="宋体" w:hAnsi="宋体" w:eastAsia="宋体" w:cs="宋体"/>
                <w:color w:val="auto"/>
                <w:sz w:val="22"/>
                <w:szCs w:val="22"/>
                <w:highlight w:val="none"/>
              </w:rPr>
              <w:t>证书扫描件及本单位近一个月社保证明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如为退休人员，提供返聘合同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，否则不得分。</w:t>
            </w:r>
          </w:p>
        </w:tc>
        <w:tc>
          <w:tcPr>
            <w:tcW w:w="400" w:type="pct"/>
            <w:vAlign w:val="center"/>
          </w:tcPr>
          <w:p w14:paraId="1167874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r>
      <w:tr w14:paraId="6AC6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91" w:type="pct"/>
            <w:vAlign w:val="center"/>
          </w:tcPr>
          <w:p w14:paraId="1834916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769" w:type="pct"/>
            <w:vAlign w:val="center"/>
          </w:tcPr>
          <w:p w14:paraId="2186774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实验室仪器</w:t>
            </w:r>
          </w:p>
        </w:tc>
        <w:tc>
          <w:tcPr>
            <w:tcW w:w="3438" w:type="pct"/>
            <w:vAlign w:val="center"/>
          </w:tcPr>
          <w:p w14:paraId="5E6C8E7F">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具备的实验室主要检测仪器设备配置情况综合比较评议：仪器配置满足检测内容需求，且有10台</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以上质谱仪的得5分；仪器配置不满足对应检测内容需求或质谱仪数量不足的，不得分。</w:t>
            </w:r>
          </w:p>
          <w:p w14:paraId="4EA24749">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提供仪器注册证及质谱仪购买发票，不提供或提供证明资料不全不得分。</w:t>
            </w:r>
          </w:p>
        </w:tc>
        <w:tc>
          <w:tcPr>
            <w:tcW w:w="400" w:type="pct"/>
            <w:vAlign w:val="center"/>
          </w:tcPr>
          <w:p w14:paraId="7D95BC1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r>
      <w:tr w14:paraId="091D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91" w:type="pct"/>
            <w:vAlign w:val="center"/>
          </w:tcPr>
          <w:p w14:paraId="1110EAC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769" w:type="pct"/>
            <w:vAlign w:val="center"/>
          </w:tcPr>
          <w:p w14:paraId="2809DA3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质量控制</w:t>
            </w:r>
          </w:p>
        </w:tc>
        <w:tc>
          <w:tcPr>
            <w:tcW w:w="3438" w:type="pct"/>
            <w:vAlign w:val="center"/>
          </w:tcPr>
          <w:p w14:paraId="24705567">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lang w:val="en-US" w:eastAsia="zh-CN"/>
              </w:rPr>
              <w:t>制定</w:t>
            </w:r>
            <w:r>
              <w:rPr>
                <w:rFonts w:hint="eastAsia" w:ascii="宋体" w:hAnsi="宋体" w:eastAsia="宋体" w:cs="宋体"/>
                <w:color w:val="auto"/>
                <w:sz w:val="22"/>
                <w:szCs w:val="22"/>
                <w:highlight w:val="none"/>
              </w:rPr>
              <w:t>的实验室质量保证措施方案，从质量控制措施的完善性、可行性、操作性三方面进行评议：方案合理可行的得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分，方案基本合理可行的得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分，方案有欠缺的得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分，未提供或不合理的得0分。</w:t>
            </w:r>
          </w:p>
        </w:tc>
        <w:tc>
          <w:tcPr>
            <w:tcW w:w="400" w:type="pct"/>
            <w:vAlign w:val="center"/>
          </w:tcPr>
          <w:p w14:paraId="0D96021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r>
      <w:tr w14:paraId="2FE9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91" w:type="pct"/>
            <w:vAlign w:val="center"/>
          </w:tcPr>
          <w:p w14:paraId="4939E06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769" w:type="pct"/>
            <w:vAlign w:val="center"/>
          </w:tcPr>
          <w:p w14:paraId="7E6BB12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应急能力</w:t>
            </w:r>
          </w:p>
        </w:tc>
        <w:tc>
          <w:tcPr>
            <w:tcW w:w="3438" w:type="pct"/>
            <w:vAlign w:val="center"/>
          </w:tcPr>
          <w:p w14:paraId="6DD45C14">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制定的</w:t>
            </w:r>
            <w:r>
              <w:rPr>
                <w:rFonts w:hint="eastAsia" w:ascii="宋体" w:hAnsi="宋体" w:eastAsia="宋体" w:cs="宋体"/>
                <w:color w:val="auto"/>
                <w:sz w:val="22"/>
                <w:szCs w:val="22"/>
                <w:highlight w:val="none"/>
                <w:lang w:val="en-US" w:eastAsia="zh-CN"/>
              </w:rPr>
              <w:t>应急</w:t>
            </w:r>
            <w:r>
              <w:rPr>
                <w:rFonts w:hint="eastAsia" w:ascii="宋体" w:hAnsi="宋体" w:eastAsia="宋体" w:cs="宋体"/>
                <w:color w:val="auto"/>
                <w:sz w:val="22"/>
                <w:szCs w:val="22"/>
                <w:highlight w:val="none"/>
              </w:rPr>
              <w:t>方案</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针对性、合理性、全面性、可行性等方面进行综合评审。</w:t>
            </w:r>
            <w:r>
              <w:rPr>
                <w:rFonts w:hint="eastAsia" w:ascii="宋体" w:hAnsi="宋体" w:eastAsia="宋体" w:cs="宋体"/>
                <w:b w:val="0"/>
                <w:bCs w:val="0"/>
                <w:color w:val="auto"/>
                <w:sz w:val="22"/>
                <w:szCs w:val="22"/>
                <w:highlight w:val="none"/>
              </w:rPr>
              <w:t>方案针对性强，能够有效的预见可能发生的问题并能够顺利解决问题的得</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分；方案针对突发应急问题预见性和处理能力均有所不足的得</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分；未提供或不合理的得0分。</w:t>
            </w:r>
          </w:p>
        </w:tc>
        <w:tc>
          <w:tcPr>
            <w:tcW w:w="400" w:type="pct"/>
            <w:vAlign w:val="center"/>
          </w:tcPr>
          <w:p w14:paraId="445E765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r>
      <w:tr w14:paraId="3F2A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91" w:type="pct"/>
            <w:vMerge w:val="restart"/>
            <w:vAlign w:val="center"/>
          </w:tcPr>
          <w:p w14:paraId="305DB08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769" w:type="pct"/>
            <w:vMerge w:val="restart"/>
            <w:vAlign w:val="center"/>
          </w:tcPr>
          <w:p w14:paraId="1B34BF2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增值服务</w:t>
            </w:r>
          </w:p>
        </w:tc>
        <w:tc>
          <w:tcPr>
            <w:tcW w:w="3438" w:type="pct"/>
            <w:vAlign w:val="center"/>
          </w:tcPr>
          <w:p w14:paraId="2078792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提供的增值服务方案及有实质性承诺进行评议</w:t>
            </w:r>
            <w:r>
              <w:rPr>
                <w:rFonts w:hint="eastAsia" w:ascii="宋体" w:hAnsi="宋体" w:eastAsia="宋体" w:cs="宋体"/>
                <w:color w:val="auto"/>
                <w:sz w:val="22"/>
                <w:szCs w:val="22"/>
                <w:highlight w:val="none"/>
                <w:lang w:eastAsia="zh-CN"/>
              </w:rPr>
              <w:t>：</w:t>
            </w:r>
          </w:p>
          <w:p w14:paraId="35BF09D4">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评标委员会根据①建议合理且具有针对性和可行性；②承诺切实可行，符合采购需求，具有实质性优惠措施进行评议；每提供一项增值服务或实质性承诺的得1分，最高得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c>
          <w:tcPr>
            <w:tcW w:w="400" w:type="pct"/>
            <w:vAlign w:val="center"/>
          </w:tcPr>
          <w:p w14:paraId="7A0BB68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p>
        </w:tc>
      </w:tr>
      <w:tr w14:paraId="19B3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91" w:type="pct"/>
            <w:vMerge w:val="continue"/>
            <w:vAlign w:val="center"/>
          </w:tcPr>
          <w:p w14:paraId="7D49006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769" w:type="pct"/>
            <w:vMerge w:val="continue"/>
            <w:vAlign w:val="center"/>
          </w:tcPr>
          <w:p w14:paraId="15ED7AE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p>
        </w:tc>
        <w:tc>
          <w:tcPr>
            <w:tcW w:w="3438" w:type="pct"/>
            <w:vAlign w:val="center"/>
          </w:tcPr>
          <w:p w14:paraId="59657613">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lang w:val="en-US" w:eastAsia="zh-CN"/>
              </w:rPr>
              <w:t>具备</w:t>
            </w:r>
            <w:r>
              <w:rPr>
                <w:rFonts w:hint="eastAsia" w:ascii="宋体" w:hAnsi="宋体" w:eastAsia="宋体" w:cs="宋体"/>
                <w:color w:val="auto"/>
                <w:sz w:val="22"/>
                <w:szCs w:val="22"/>
                <w:highlight w:val="none"/>
              </w:rPr>
              <w:t>多囊卵巢综合征（PCOS）</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的科研数据平台。提供平台截图及网址得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分，不提供或提供证明资料不全不得分。</w:t>
            </w:r>
          </w:p>
        </w:tc>
        <w:tc>
          <w:tcPr>
            <w:tcW w:w="400" w:type="pct"/>
            <w:vAlign w:val="center"/>
          </w:tcPr>
          <w:p w14:paraId="4E56426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r>
      <w:tr w14:paraId="3EB7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91" w:type="pct"/>
            <w:vAlign w:val="center"/>
          </w:tcPr>
          <w:p w14:paraId="0485990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769" w:type="pct"/>
            <w:vAlign w:val="center"/>
          </w:tcPr>
          <w:p w14:paraId="4E5A8EE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w:t>
            </w:r>
          </w:p>
        </w:tc>
        <w:tc>
          <w:tcPr>
            <w:tcW w:w="3438" w:type="pct"/>
            <w:vAlign w:val="center"/>
          </w:tcPr>
          <w:p w14:paraId="1ABA305F">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年1月以来</w:t>
            </w:r>
            <w:r>
              <w:rPr>
                <w:rFonts w:hint="eastAsia" w:ascii="宋体" w:hAnsi="宋体" w:eastAsia="宋体" w:cs="宋体"/>
                <w:color w:val="auto"/>
                <w:sz w:val="22"/>
                <w:szCs w:val="22"/>
                <w:highlight w:val="none"/>
                <w:lang w:val="en-US" w:eastAsia="zh-CN"/>
              </w:rPr>
              <w:t>三级医院</w:t>
            </w:r>
            <w:r>
              <w:rPr>
                <w:rFonts w:hint="eastAsia" w:ascii="宋体" w:hAnsi="宋体" w:eastAsia="宋体" w:cs="宋体"/>
                <w:color w:val="auto"/>
                <w:sz w:val="22"/>
                <w:szCs w:val="22"/>
                <w:highlight w:val="none"/>
              </w:rPr>
              <w:t>多囊卵巢综合征（PCOS）激素检测项目外送服务合同，每个业绩得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。（提供同类项目业绩合作合同复印件</w:t>
            </w:r>
            <w:r>
              <w:rPr>
                <w:rFonts w:hint="eastAsia" w:ascii="宋体" w:hAnsi="宋体" w:eastAsia="宋体" w:cs="宋体"/>
                <w:color w:val="auto"/>
                <w:sz w:val="22"/>
                <w:szCs w:val="22"/>
                <w:highlight w:val="none"/>
                <w:lang w:val="en-US" w:eastAsia="zh-CN"/>
              </w:rPr>
              <w:t>并加盖投标人公章，与同一采购人签订的多份合同视为一个业绩</w:t>
            </w:r>
            <w:r>
              <w:rPr>
                <w:rFonts w:hint="eastAsia" w:ascii="宋体" w:hAnsi="宋体" w:eastAsia="宋体" w:cs="宋体"/>
                <w:color w:val="auto"/>
                <w:sz w:val="22"/>
                <w:szCs w:val="22"/>
                <w:highlight w:val="none"/>
                <w:lang w:eastAsia="zh-CN"/>
              </w:rPr>
              <w:t>）</w:t>
            </w:r>
          </w:p>
        </w:tc>
        <w:tc>
          <w:tcPr>
            <w:tcW w:w="400" w:type="pct"/>
            <w:vAlign w:val="center"/>
          </w:tcPr>
          <w:p w14:paraId="2361ADF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p>
        </w:tc>
      </w:tr>
    </w:tbl>
    <w:p w14:paraId="669EC54B">
      <w:pPr>
        <w:pStyle w:val="22"/>
        <w:spacing w:line="460" w:lineRule="exact"/>
        <w:ind w:firstLine="0"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2、报价评分（30分）（权值30%）：</w:t>
      </w:r>
    </w:p>
    <w:p w14:paraId="294B2E74">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满足招标文件要求且投标报价最低的投标报价为评标基准价，其余投标人投标报价与该基准价对比，计算出商务报价评分值（保留小数2位）：</w:t>
      </w:r>
    </w:p>
    <w:p w14:paraId="45064B71">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1）有效投标人的投标报价等于评标基准价时其报价分为满分30分；</w:t>
      </w:r>
    </w:p>
    <w:p w14:paraId="1FF490E9">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2）其他投标人的价格分按以下公式计算：</w:t>
      </w:r>
    </w:p>
    <w:p w14:paraId="76167CC4">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投标报价得分=（评分基准价/投标人投标报价）× 价格权值 ×100（保留小数2位）</w:t>
      </w:r>
    </w:p>
    <w:p w14:paraId="72C7122C">
      <w:pPr>
        <w:numPr>
          <w:ilvl w:val="0"/>
          <w:numId w:val="0"/>
        </w:num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lang w:val="en-US" w:eastAsia="zh-CN" w:bidi="ar-SA"/>
        </w:rPr>
        <w:t>3、</w:t>
      </w:r>
      <w:r>
        <w:rPr>
          <w:rFonts w:hint="eastAsia" w:ascii="宋体" w:hAnsi="宋体" w:eastAsia="宋体" w:cs="宋体"/>
          <w:color w:val="auto"/>
          <w:sz w:val="22"/>
          <w:szCs w:val="22"/>
          <w:highlight w:val="none"/>
        </w:rPr>
        <w:t>有效投标人的综合得分为技术分和商务（报价）分的总和。</w:t>
      </w:r>
    </w:p>
    <w:p w14:paraId="79EA6930">
      <w:pPr>
        <w:numPr>
          <w:ilvl w:val="0"/>
          <w:numId w:val="0"/>
        </w:numPr>
        <w:spacing w:line="460" w:lineRule="exact"/>
        <w:ind w:firstLine="539" w:firstLineChars="245"/>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cs="宋体"/>
          <w:b w:val="0"/>
          <w:bCs w:val="0"/>
          <w:color w:val="auto"/>
          <w:kern w:val="2"/>
          <w:sz w:val="22"/>
          <w:szCs w:val="22"/>
          <w:highlight w:val="none"/>
          <w:u w:val="none"/>
          <w:lang w:val="en-US" w:eastAsia="zh-CN" w:bidi="ar-SA"/>
        </w:rPr>
        <w:t>4</w:t>
      </w:r>
      <w:r>
        <w:rPr>
          <w:rFonts w:hint="eastAsia" w:ascii="宋体" w:hAnsi="宋体" w:eastAsia="宋体" w:cs="宋体"/>
          <w:b w:val="0"/>
          <w:bCs w:val="0"/>
          <w:color w:val="auto"/>
          <w:kern w:val="2"/>
          <w:sz w:val="22"/>
          <w:szCs w:val="22"/>
          <w:highlight w:val="none"/>
          <w:u w:val="none"/>
          <w:lang w:val="en-US" w:eastAsia="zh-CN" w:bidi="ar-S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3B9401">
      <w:pPr>
        <w:spacing w:line="460" w:lineRule="exact"/>
        <w:ind w:firstLine="541" w:firstLineChars="245"/>
        <w:outlineLvl w:val="1"/>
        <w:rPr>
          <w:rFonts w:hint="eastAsia" w:ascii="宋体" w:hAnsi="宋体" w:eastAsia="宋体" w:cs="宋体"/>
          <w:b/>
          <w:bCs/>
          <w:color w:val="auto"/>
          <w:sz w:val="22"/>
          <w:szCs w:val="22"/>
          <w:highlight w:val="none"/>
        </w:rPr>
      </w:pPr>
      <w:bookmarkStart w:id="58" w:name="_Toc2482"/>
      <w:bookmarkStart w:id="59" w:name="_Toc4727"/>
      <w:r>
        <w:rPr>
          <w:rFonts w:hint="eastAsia" w:ascii="宋体" w:hAnsi="宋体" w:eastAsia="宋体" w:cs="宋体"/>
          <w:b/>
          <w:bCs/>
          <w:color w:val="auto"/>
          <w:sz w:val="22"/>
          <w:szCs w:val="22"/>
          <w:highlight w:val="none"/>
        </w:rPr>
        <w:t>六、定标办法</w:t>
      </w:r>
      <w:bookmarkEnd w:id="58"/>
      <w:bookmarkEnd w:id="59"/>
    </w:p>
    <w:p w14:paraId="24C10EE2">
      <w:pPr>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确定中标候选人</w:t>
      </w:r>
    </w:p>
    <w:p w14:paraId="29E77FEF">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1.1由评标委员会确定中标候选人。</w:t>
      </w:r>
    </w:p>
    <w:p w14:paraId="06455E77">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32416A4F">
      <w:pPr>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2、确定中标人</w:t>
      </w:r>
    </w:p>
    <w:p w14:paraId="411CAF67">
      <w:pPr>
        <w:spacing w:line="46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2.1招标人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14EFA290">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2.2如中标人放弃中标；或未能在规定时间内与招标人签订合同的；或者经质疑，招标人审查后，确因排名第一的候选人在本次采购活动中存在违法违规行为或其他原因使质疑成立的，招标人可以</w:t>
      </w:r>
      <w:r>
        <w:rPr>
          <w:rFonts w:hint="eastAsia" w:ascii="宋体" w:hAnsi="宋体" w:cs="宋体"/>
          <w:color w:val="auto"/>
          <w:sz w:val="22"/>
          <w:szCs w:val="22"/>
          <w:highlight w:val="none"/>
          <w:lang w:val="en-US" w:eastAsia="zh-CN"/>
        </w:rPr>
        <w:t>依法</w:t>
      </w:r>
      <w:r>
        <w:rPr>
          <w:rFonts w:hint="eastAsia" w:ascii="宋体" w:hAnsi="宋体" w:eastAsia="宋体" w:cs="宋体"/>
          <w:color w:val="auto"/>
          <w:sz w:val="22"/>
          <w:szCs w:val="22"/>
          <w:highlight w:val="none"/>
        </w:rPr>
        <w:t>视情况直接确定排名第二的候选人为中标人或重新组织招标。</w:t>
      </w:r>
    </w:p>
    <w:p w14:paraId="0E417446">
      <w:pPr>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中标人确定后，招标人将在指定媒体公告中标结果，招标人向中标人发出中标通知书。</w:t>
      </w:r>
    </w:p>
    <w:p w14:paraId="05722E0E">
      <w:pPr>
        <w:spacing w:line="460" w:lineRule="exact"/>
        <w:ind w:firstLine="541" w:firstLineChars="245"/>
        <w:outlineLvl w:val="1"/>
        <w:rPr>
          <w:rFonts w:hint="eastAsia" w:ascii="宋体" w:hAnsi="宋体" w:eastAsia="宋体" w:cs="宋体"/>
          <w:b/>
          <w:color w:val="auto"/>
          <w:sz w:val="22"/>
          <w:szCs w:val="22"/>
          <w:highlight w:val="none"/>
        </w:rPr>
      </w:pPr>
      <w:bookmarkStart w:id="60" w:name="_Toc17587"/>
      <w:bookmarkStart w:id="61" w:name="_Toc3629"/>
      <w:r>
        <w:rPr>
          <w:rFonts w:hint="eastAsia" w:ascii="宋体" w:hAnsi="宋体" w:eastAsia="宋体" w:cs="宋体"/>
          <w:b/>
          <w:color w:val="auto"/>
          <w:sz w:val="22"/>
          <w:szCs w:val="22"/>
          <w:highlight w:val="none"/>
        </w:rPr>
        <w:t>七、投标人义务</w:t>
      </w:r>
      <w:bookmarkEnd w:id="60"/>
      <w:bookmarkEnd w:id="61"/>
    </w:p>
    <w:p w14:paraId="0DF1D184">
      <w:pPr>
        <w:spacing w:line="460" w:lineRule="exact"/>
        <w:ind w:firstLine="539" w:firstLineChars="245"/>
        <w:rPr>
          <w:rFonts w:hint="eastAsia" w:ascii="宋体" w:hAnsi="宋体" w:eastAsia="宋体" w:cs="宋体"/>
          <w:color w:val="auto"/>
          <w:highlight w:val="none"/>
        </w:rPr>
      </w:pPr>
      <w:r>
        <w:rPr>
          <w:rFonts w:hint="eastAsia" w:ascii="宋体" w:hAnsi="宋体" w:eastAsia="宋体" w:cs="宋体"/>
          <w:color w:val="auto"/>
          <w:sz w:val="22"/>
          <w:szCs w:val="22"/>
          <w:highlight w:val="none"/>
        </w:rPr>
        <w:t>投标人应随时接受评标委员会的询标，解答包括有关的商务、技术问题等。评标结束，所有评标资料存招标机构备查。</w:t>
      </w:r>
    </w:p>
    <w:p w14:paraId="29939188">
      <w:pPr>
        <w:spacing w:line="460" w:lineRule="exact"/>
        <w:jc w:val="center"/>
        <w:rPr>
          <w:rFonts w:hint="eastAsia" w:ascii="宋体" w:hAnsi="宋体" w:eastAsia="宋体" w:cs="宋体"/>
          <w:b/>
          <w:color w:val="auto"/>
          <w:sz w:val="32"/>
          <w:szCs w:val="32"/>
          <w:highlight w:val="none"/>
        </w:rPr>
      </w:pPr>
    </w:p>
    <w:p w14:paraId="43270A3B">
      <w:pPr>
        <w:pStyle w:val="22"/>
        <w:ind w:left="440" w:hanging="440"/>
        <w:rPr>
          <w:rFonts w:hint="eastAsia" w:ascii="宋体" w:hAnsi="宋体" w:eastAsia="宋体" w:cs="宋体"/>
          <w:color w:val="auto"/>
          <w:kern w:val="0"/>
          <w:sz w:val="22"/>
          <w:szCs w:val="22"/>
          <w:highlight w:val="none"/>
        </w:rPr>
      </w:pPr>
    </w:p>
    <w:sectPr>
      <w:headerReference r:id="rId5" w:type="default"/>
      <w:footerReference r:id="rId6" w:type="default"/>
      <w:pgSz w:w="11906" w:h="16838"/>
      <w:pgMar w:top="1134" w:right="1134" w:bottom="1134" w:left="1134" w:header="850"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Century Gothic">
    <w:altName w:val="Yu Gothic UI"/>
    <w:panose1 w:val="020B0502020202020204"/>
    <w:charset w:val="00"/>
    <w:family w:val="swiss"/>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E342">
    <w:pPr>
      <w:pStyle w:val="35"/>
      <w:framePr w:wrap="around" w:vAnchor="text" w:hAnchor="margin" w:xAlign="center" w:y="1"/>
      <w:rPr>
        <w:rStyle w:val="56"/>
      </w:rPr>
    </w:pPr>
    <w:r>
      <w:fldChar w:fldCharType="begin"/>
    </w:r>
    <w:r>
      <w:rPr>
        <w:rStyle w:val="56"/>
      </w:rPr>
      <w:instrText xml:space="preserve">PAGE  </w:instrText>
    </w:r>
    <w:r>
      <w:fldChar w:fldCharType="separate"/>
    </w:r>
    <w:r>
      <w:rPr>
        <w:rStyle w:val="56"/>
      </w:rPr>
      <w:t>28</w:t>
    </w:r>
    <w:r>
      <w:fldChar w:fldCharType="end"/>
    </w:r>
  </w:p>
  <w:p w14:paraId="63BDE34A">
    <w:pPr>
      <w:pStyle w:val="35"/>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B5A8">
    <w:pPr>
      <w:pStyle w:val="35"/>
      <w:framePr w:wrap="around" w:vAnchor="text" w:hAnchor="margin" w:xAlign="center" w:y="1"/>
      <w:rPr>
        <w:rStyle w:val="56"/>
      </w:rPr>
    </w:pPr>
    <w:r>
      <w:fldChar w:fldCharType="begin"/>
    </w:r>
    <w:r>
      <w:rPr>
        <w:rStyle w:val="56"/>
      </w:rPr>
      <w:instrText xml:space="preserve">PAGE  </w:instrText>
    </w:r>
    <w:r>
      <w:fldChar w:fldCharType="separate"/>
    </w:r>
    <w:r>
      <w:rPr>
        <w:rStyle w:val="56"/>
      </w:rPr>
      <w:t>72</w:t>
    </w:r>
    <w:r>
      <w:fldChar w:fldCharType="end"/>
    </w:r>
  </w:p>
  <w:p w14:paraId="0160FA93">
    <w:pPr>
      <w:pStyle w:val="35"/>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EDC0">
    <w:pPr>
      <w:pStyle w:val="36"/>
      <w:pBdr>
        <w:bottom w:val="single" w:color="auto" w:sz="6" w:space="0"/>
      </w:pBdr>
      <w:jc w:val="both"/>
    </w:pPr>
    <w:r>
      <w:rPr>
        <w:rFonts w:hint="eastAsia"/>
      </w:rPr>
      <w:t>温州市政府（分散）采购招标文件                                      项目编号：</w:t>
    </w:r>
    <w:r>
      <w:rPr>
        <w:rFonts w:hint="eastAsia"/>
        <w:lang w:eastAsia="zh-CN"/>
      </w:rPr>
      <w:t xml:space="preserve">WZLCZB（W）-2025-04145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0007">
    <w:pPr>
      <w:pStyle w:val="36"/>
      <w:pBdr>
        <w:bottom w:val="single" w:color="auto" w:sz="6" w:space="0"/>
      </w:pBdr>
      <w:jc w:val="both"/>
    </w:pPr>
    <w:r>
      <w:rPr>
        <w:rFonts w:hint="eastAsia"/>
      </w:rPr>
      <w:t>温州市政府（分散）采购招标文件                                             项目编号：</w:t>
    </w:r>
    <w:r>
      <w:rPr>
        <w:rFonts w:hint="eastAsia"/>
        <w:lang w:eastAsia="zh-CN"/>
      </w:rPr>
      <w:t xml:space="preserve">WZLCZB（W）-2025-04145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D2AFC"/>
    <w:multiLevelType w:val="singleLevel"/>
    <w:tmpl w:val="9DED2AFC"/>
    <w:lvl w:ilvl="0" w:tentative="0">
      <w:start w:val="4"/>
      <w:numFmt w:val="chineseCounting"/>
      <w:suff w:val="space"/>
      <w:lvlText w:val="第%1部分"/>
      <w:lvlJc w:val="left"/>
      <w:rPr>
        <w:rFonts w:hint="eastAsia"/>
      </w:rPr>
    </w:lvl>
  </w:abstractNum>
  <w:abstractNum w:abstractNumId="1">
    <w:nsid w:val="AFF9C5A8"/>
    <w:multiLevelType w:val="singleLevel"/>
    <w:tmpl w:val="AFF9C5A8"/>
    <w:lvl w:ilvl="0" w:tentative="0">
      <w:start w:val="4"/>
      <w:numFmt w:val="decimal"/>
      <w:suff w:val="nothing"/>
      <w:lvlText w:val="%1、"/>
      <w:lvlJc w:val="left"/>
    </w:lvl>
  </w:abstractNum>
  <w:abstractNum w:abstractNumId="2">
    <w:nsid w:val="B1C0EE6B"/>
    <w:multiLevelType w:val="singleLevel"/>
    <w:tmpl w:val="B1C0EE6B"/>
    <w:lvl w:ilvl="0" w:tentative="0">
      <w:start w:val="5"/>
      <w:numFmt w:val="chineseCounting"/>
      <w:suff w:val="nothing"/>
      <w:lvlText w:val="%1、"/>
      <w:lvlJc w:val="left"/>
      <w:rPr>
        <w:rFonts w:hint="eastAsia"/>
      </w:rPr>
    </w:lvl>
  </w:abstractNum>
  <w:abstractNum w:abstractNumId="3">
    <w:nsid w:val="BAF9EC89"/>
    <w:multiLevelType w:val="singleLevel"/>
    <w:tmpl w:val="BAF9EC89"/>
    <w:lvl w:ilvl="0" w:tentative="0">
      <w:start w:val="1"/>
      <w:numFmt w:val="chineseCounting"/>
      <w:suff w:val="nothing"/>
      <w:lvlText w:val="（%1）"/>
      <w:lvlJc w:val="left"/>
      <w:rPr>
        <w:rFonts w:hint="eastAsia"/>
      </w:rPr>
    </w:lvl>
  </w:abstractNum>
  <w:abstractNum w:abstractNumId="4">
    <w:nsid w:val="52D7A3B6"/>
    <w:multiLevelType w:val="singleLevel"/>
    <w:tmpl w:val="52D7A3B6"/>
    <w:lvl w:ilvl="0" w:tentative="0">
      <w:start w:val="1"/>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21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NjEzODExYjg0YzBhMzhhYjgzNmIyODJmYjYzMWEifQ=="/>
  </w:docVars>
  <w:rsids>
    <w:rsidRoot w:val="00172A27"/>
    <w:rsid w:val="000149E3"/>
    <w:rsid w:val="00020693"/>
    <w:rsid w:val="000217C7"/>
    <w:rsid w:val="00026A46"/>
    <w:rsid w:val="00027D0D"/>
    <w:rsid w:val="00031F49"/>
    <w:rsid w:val="00037B6F"/>
    <w:rsid w:val="000474B4"/>
    <w:rsid w:val="00063600"/>
    <w:rsid w:val="000A6326"/>
    <w:rsid w:val="000B2878"/>
    <w:rsid w:val="0010260A"/>
    <w:rsid w:val="0013451B"/>
    <w:rsid w:val="00146E35"/>
    <w:rsid w:val="00172A27"/>
    <w:rsid w:val="00176791"/>
    <w:rsid w:val="0019644F"/>
    <w:rsid w:val="001B0F17"/>
    <w:rsid w:val="001B2275"/>
    <w:rsid w:val="001D4048"/>
    <w:rsid w:val="001D49A1"/>
    <w:rsid w:val="001E7897"/>
    <w:rsid w:val="001F5D2B"/>
    <w:rsid w:val="002018F6"/>
    <w:rsid w:val="002044B9"/>
    <w:rsid w:val="00212172"/>
    <w:rsid w:val="00223CC1"/>
    <w:rsid w:val="00227214"/>
    <w:rsid w:val="00230913"/>
    <w:rsid w:val="00243D5B"/>
    <w:rsid w:val="002447E7"/>
    <w:rsid w:val="00261F3C"/>
    <w:rsid w:val="00270294"/>
    <w:rsid w:val="00271C2D"/>
    <w:rsid w:val="002843F3"/>
    <w:rsid w:val="00296547"/>
    <w:rsid w:val="002A31D6"/>
    <w:rsid w:val="002A594F"/>
    <w:rsid w:val="002B5782"/>
    <w:rsid w:val="002C08AE"/>
    <w:rsid w:val="002C09AD"/>
    <w:rsid w:val="002D20EE"/>
    <w:rsid w:val="002D2D3D"/>
    <w:rsid w:val="002E7DAB"/>
    <w:rsid w:val="003058EA"/>
    <w:rsid w:val="00327AB8"/>
    <w:rsid w:val="00350DF6"/>
    <w:rsid w:val="00351F86"/>
    <w:rsid w:val="00352124"/>
    <w:rsid w:val="0035435E"/>
    <w:rsid w:val="00357388"/>
    <w:rsid w:val="00357A7B"/>
    <w:rsid w:val="003654EF"/>
    <w:rsid w:val="00372FCF"/>
    <w:rsid w:val="00373BB2"/>
    <w:rsid w:val="00380B23"/>
    <w:rsid w:val="00383F1F"/>
    <w:rsid w:val="003B0A15"/>
    <w:rsid w:val="003B1471"/>
    <w:rsid w:val="003B5050"/>
    <w:rsid w:val="003C713C"/>
    <w:rsid w:val="00405F28"/>
    <w:rsid w:val="0041137E"/>
    <w:rsid w:val="00430AB9"/>
    <w:rsid w:val="00441256"/>
    <w:rsid w:val="0045663E"/>
    <w:rsid w:val="00461389"/>
    <w:rsid w:val="0046542D"/>
    <w:rsid w:val="00481BD3"/>
    <w:rsid w:val="004B66F1"/>
    <w:rsid w:val="004C013A"/>
    <w:rsid w:val="004C7034"/>
    <w:rsid w:val="005001D6"/>
    <w:rsid w:val="00522EF2"/>
    <w:rsid w:val="005238A3"/>
    <w:rsid w:val="00526065"/>
    <w:rsid w:val="00532669"/>
    <w:rsid w:val="00533C40"/>
    <w:rsid w:val="00555FA3"/>
    <w:rsid w:val="00561E5D"/>
    <w:rsid w:val="0056534C"/>
    <w:rsid w:val="00565E01"/>
    <w:rsid w:val="005674BB"/>
    <w:rsid w:val="00572B8A"/>
    <w:rsid w:val="00582AEF"/>
    <w:rsid w:val="00586839"/>
    <w:rsid w:val="00587A14"/>
    <w:rsid w:val="005A1DD3"/>
    <w:rsid w:val="005A3AA2"/>
    <w:rsid w:val="005A65DF"/>
    <w:rsid w:val="005B3595"/>
    <w:rsid w:val="005C388F"/>
    <w:rsid w:val="00607A59"/>
    <w:rsid w:val="00631E7A"/>
    <w:rsid w:val="0064398C"/>
    <w:rsid w:val="00644CD7"/>
    <w:rsid w:val="00647AB1"/>
    <w:rsid w:val="00654A9F"/>
    <w:rsid w:val="00692D32"/>
    <w:rsid w:val="00696C82"/>
    <w:rsid w:val="006A1CF7"/>
    <w:rsid w:val="006B3E1C"/>
    <w:rsid w:val="006D6C7C"/>
    <w:rsid w:val="006E2672"/>
    <w:rsid w:val="007068AC"/>
    <w:rsid w:val="00722BB3"/>
    <w:rsid w:val="00740E65"/>
    <w:rsid w:val="00753072"/>
    <w:rsid w:val="007546B0"/>
    <w:rsid w:val="007671B7"/>
    <w:rsid w:val="00774E3F"/>
    <w:rsid w:val="00776F48"/>
    <w:rsid w:val="00780CBF"/>
    <w:rsid w:val="00781B95"/>
    <w:rsid w:val="007A21E8"/>
    <w:rsid w:val="007A62BD"/>
    <w:rsid w:val="007B564B"/>
    <w:rsid w:val="007B769B"/>
    <w:rsid w:val="007E29D6"/>
    <w:rsid w:val="007F2164"/>
    <w:rsid w:val="00800A72"/>
    <w:rsid w:val="00804ACD"/>
    <w:rsid w:val="0080543D"/>
    <w:rsid w:val="00817CE2"/>
    <w:rsid w:val="00831C7B"/>
    <w:rsid w:val="00832D9C"/>
    <w:rsid w:val="00836E00"/>
    <w:rsid w:val="00846CC5"/>
    <w:rsid w:val="00850622"/>
    <w:rsid w:val="00870DFA"/>
    <w:rsid w:val="00871EBE"/>
    <w:rsid w:val="00873949"/>
    <w:rsid w:val="00875629"/>
    <w:rsid w:val="00877499"/>
    <w:rsid w:val="00892732"/>
    <w:rsid w:val="00893202"/>
    <w:rsid w:val="0089599B"/>
    <w:rsid w:val="008A127E"/>
    <w:rsid w:val="008B2FA9"/>
    <w:rsid w:val="008C2D7B"/>
    <w:rsid w:val="008C31BC"/>
    <w:rsid w:val="008D62C9"/>
    <w:rsid w:val="008D75C3"/>
    <w:rsid w:val="008E0B76"/>
    <w:rsid w:val="008E26D5"/>
    <w:rsid w:val="008F4E37"/>
    <w:rsid w:val="008F7BE3"/>
    <w:rsid w:val="008F7D27"/>
    <w:rsid w:val="00902AA2"/>
    <w:rsid w:val="009254A6"/>
    <w:rsid w:val="0093089E"/>
    <w:rsid w:val="00933974"/>
    <w:rsid w:val="00936127"/>
    <w:rsid w:val="00945DCB"/>
    <w:rsid w:val="009652E5"/>
    <w:rsid w:val="00973F7A"/>
    <w:rsid w:val="0097671D"/>
    <w:rsid w:val="00977673"/>
    <w:rsid w:val="00987F54"/>
    <w:rsid w:val="00991B38"/>
    <w:rsid w:val="00996305"/>
    <w:rsid w:val="009C748F"/>
    <w:rsid w:val="009E4D45"/>
    <w:rsid w:val="00A24A5C"/>
    <w:rsid w:val="00A42424"/>
    <w:rsid w:val="00A45873"/>
    <w:rsid w:val="00A56219"/>
    <w:rsid w:val="00A61866"/>
    <w:rsid w:val="00A77176"/>
    <w:rsid w:val="00A92B83"/>
    <w:rsid w:val="00A957CF"/>
    <w:rsid w:val="00AA3DA6"/>
    <w:rsid w:val="00AA7C87"/>
    <w:rsid w:val="00AD66E6"/>
    <w:rsid w:val="00AE4B39"/>
    <w:rsid w:val="00AF7BEB"/>
    <w:rsid w:val="00B06E43"/>
    <w:rsid w:val="00B2584A"/>
    <w:rsid w:val="00B41362"/>
    <w:rsid w:val="00B43A9E"/>
    <w:rsid w:val="00B44537"/>
    <w:rsid w:val="00B5466C"/>
    <w:rsid w:val="00B74039"/>
    <w:rsid w:val="00B87E26"/>
    <w:rsid w:val="00B9767A"/>
    <w:rsid w:val="00BA78D1"/>
    <w:rsid w:val="00BC0A13"/>
    <w:rsid w:val="00BC2B54"/>
    <w:rsid w:val="00BC4AC5"/>
    <w:rsid w:val="00BC66D1"/>
    <w:rsid w:val="00BF1399"/>
    <w:rsid w:val="00BF32BD"/>
    <w:rsid w:val="00C12358"/>
    <w:rsid w:val="00C232C8"/>
    <w:rsid w:val="00C468B7"/>
    <w:rsid w:val="00C67C97"/>
    <w:rsid w:val="00C70CE6"/>
    <w:rsid w:val="00C758F7"/>
    <w:rsid w:val="00C816DD"/>
    <w:rsid w:val="00C95163"/>
    <w:rsid w:val="00CB584C"/>
    <w:rsid w:val="00CC06DE"/>
    <w:rsid w:val="00CC3B91"/>
    <w:rsid w:val="00CE590D"/>
    <w:rsid w:val="00CF5C76"/>
    <w:rsid w:val="00D00FFE"/>
    <w:rsid w:val="00D13A1C"/>
    <w:rsid w:val="00D224FF"/>
    <w:rsid w:val="00D27DB2"/>
    <w:rsid w:val="00D3078D"/>
    <w:rsid w:val="00D30E82"/>
    <w:rsid w:val="00D47AC2"/>
    <w:rsid w:val="00D56369"/>
    <w:rsid w:val="00D70EBE"/>
    <w:rsid w:val="00D73718"/>
    <w:rsid w:val="00D7763D"/>
    <w:rsid w:val="00D844F8"/>
    <w:rsid w:val="00DB09B7"/>
    <w:rsid w:val="00DB2DE0"/>
    <w:rsid w:val="00DB41D0"/>
    <w:rsid w:val="00DF073C"/>
    <w:rsid w:val="00DF0B3F"/>
    <w:rsid w:val="00E02244"/>
    <w:rsid w:val="00E05AD1"/>
    <w:rsid w:val="00E11D98"/>
    <w:rsid w:val="00E15CD1"/>
    <w:rsid w:val="00E22045"/>
    <w:rsid w:val="00E248CD"/>
    <w:rsid w:val="00E36483"/>
    <w:rsid w:val="00E53874"/>
    <w:rsid w:val="00E56BD4"/>
    <w:rsid w:val="00E57D1E"/>
    <w:rsid w:val="00E72ABC"/>
    <w:rsid w:val="00E74DBC"/>
    <w:rsid w:val="00E76E5A"/>
    <w:rsid w:val="00EC182D"/>
    <w:rsid w:val="00EC6C26"/>
    <w:rsid w:val="00EC7DF8"/>
    <w:rsid w:val="00ED2873"/>
    <w:rsid w:val="00ED3B24"/>
    <w:rsid w:val="00ED7497"/>
    <w:rsid w:val="00EE45C7"/>
    <w:rsid w:val="00EF4A4C"/>
    <w:rsid w:val="00F03D32"/>
    <w:rsid w:val="00F06ABE"/>
    <w:rsid w:val="00F270F8"/>
    <w:rsid w:val="00F27576"/>
    <w:rsid w:val="00F36312"/>
    <w:rsid w:val="00F5082C"/>
    <w:rsid w:val="00F52CCB"/>
    <w:rsid w:val="00F52CD3"/>
    <w:rsid w:val="00F52E99"/>
    <w:rsid w:val="00F60DCB"/>
    <w:rsid w:val="00F80AAA"/>
    <w:rsid w:val="00F93BBA"/>
    <w:rsid w:val="00F95280"/>
    <w:rsid w:val="00FA662A"/>
    <w:rsid w:val="00FB0E0C"/>
    <w:rsid w:val="00FB1229"/>
    <w:rsid w:val="00FC44CE"/>
    <w:rsid w:val="00FD52B1"/>
    <w:rsid w:val="00FF3A66"/>
    <w:rsid w:val="00FF6977"/>
    <w:rsid w:val="0116709E"/>
    <w:rsid w:val="01606883"/>
    <w:rsid w:val="020D29B1"/>
    <w:rsid w:val="021F7DAD"/>
    <w:rsid w:val="0224444B"/>
    <w:rsid w:val="022D7429"/>
    <w:rsid w:val="02451328"/>
    <w:rsid w:val="027D25C0"/>
    <w:rsid w:val="02841565"/>
    <w:rsid w:val="02B3222E"/>
    <w:rsid w:val="02F63BA4"/>
    <w:rsid w:val="031D0871"/>
    <w:rsid w:val="03283281"/>
    <w:rsid w:val="03331487"/>
    <w:rsid w:val="034A64CB"/>
    <w:rsid w:val="039714E5"/>
    <w:rsid w:val="03BE392F"/>
    <w:rsid w:val="03E13A1E"/>
    <w:rsid w:val="04156ACE"/>
    <w:rsid w:val="042A5AFC"/>
    <w:rsid w:val="043D6DF1"/>
    <w:rsid w:val="043F2279"/>
    <w:rsid w:val="04417A7E"/>
    <w:rsid w:val="044865A2"/>
    <w:rsid w:val="048D46D7"/>
    <w:rsid w:val="04A01243"/>
    <w:rsid w:val="04C27070"/>
    <w:rsid w:val="04E23C80"/>
    <w:rsid w:val="04FD6D0A"/>
    <w:rsid w:val="050751FC"/>
    <w:rsid w:val="05166806"/>
    <w:rsid w:val="0529508C"/>
    <w:rsid w:val="053A30CA"/>
    <w:rsid w:val="057D25F0"/>
    <w:rsid w:val="05936339"/>
    <w:rsid w:val="05D76F02"/>
    <w:rsid w:val="062F7E7F"/>
    <w:rsid w:val="0650016B"/>
    <w:rsid w:val="06695ADA"/>
    <w:rsid w:val="067F52AB"/>
    <w:rsid w:val="068E5B46"/>
    <w:rsid w:val="06E17425"/>
    <w:rsid w:val="06E81491"/>
    <w:rsid w:val="07081502"/>
    <w:rsid w:val="072046E3"/>
    <w:rsid w:val="07373C8C"/>
    <w:rsid w:val="074234A9"/>
    <w:rsid w:val="0747552D"/>
    <w:rsid w:val="07592C30"/>
    <w:rsid w:val="07724E37"/>
    <w:rsid w:val="07791E20"/>
    <w:rsid w:val="078177D5"/>
    <w:rsid w:val="07924879"/>
    <w:rsid w:val="079C0E64"/>
    <w:rsid w:val="07D37D83"/>
    <w:rsid w:val="07D60F62"/>
    <w:rsid w:val="08621901"/>
    <w:rsid w:val="08911C02"/>
    <w:rsid w:val="08913549"/>
    <w:rsid w:val="08A302D0"/>
    <w:rsid w:val="08B53A61"/>
    <w:rsid w:val="08E76FD5"/>
    <w:rsid w:val="08FD20E7"/>
    <w:rsid w:val="09101BCD"/>
    <w:rsid w:val="09315C91"/>
    <w:rsid w:val="093D09BC"/>
    <w:rsid w:val="09510BFE"/>
    <w:rsid w:val="097E368B"/>
    <w:rsid w:val="09816EE6"/>
    <w:rsid w:val="099757EE"/>
    <w:rsid w:val="09A34824"/>
    <w:rsid w:val="09B85302"/>
    <w:rsid w:val="09B94936"/>
    <w:rsid w:val="09D26DBF"/>
    <w:rsid w:val="09F65854"/>
    <w:rsid w:val="0A07422F"/>
    <w:rsid w:val="0A1B49C1"/>
    <w:rsid w:val="0A3D0590"/>
    <w:rsid w:val="0A7416D8"/>
    <w:rsid w:val="0A8945EB"/>
    <w:rsid w:val="0B8674DE"/>
    <w:rsid w:val="0BAC1F4C"/>
    <w:rsid w:val="0BBE4F63"/>
    <w:rsid w:val="0BC17C6F"/>
    <w:rsid w:val="0BDA530A"/>
    <w:rsid w:val="0C0247C0"/>
    <w:rsid w:val="0C3408BA"/>
    <w:rsid w:val="0C353302"/>
    <w:rsid w:val="0C496297"/>
    <w:rsid w:val="0C660E5E"/>
    <w:rsid w:val="0C8755D8"/>
    <w:rsid w:val="0C9A109E"/>
    <w:rsid w:val="0CA74D09"/>
    <w:rsid w:val="0CA9483B"/>
    <w:rsid w:val="0CC51217"/>
    <w:rsid w:val="0CCB1484"/>
    <w:rsid w:val="0D086FB1"/>
    <w:rsid w:val="0D0A01F7"/>
    <w:rsid w:val="0D1F1C9D"/>
    <w:rsid w:val="0D223722"/>
    <w:rsid w:val="0D735BCC"/>
    <w:rsid w:val="0D7C2119"/>
    <w:rsid w:val="0D920730"/>
    <w:rsid w:val="0DCC104B"/>
    <w:rsid w:val="0DE33D9A"/>
    <w:rsid w:val="0DFE53E4"/>
    <w:rsid w:val="0E022677"/>
    <w:rsid w:val="0E064CB1"/>
    <w:rsid w:val="0E4706D1"/>
    <w:rsid w:val="0E4B6575"/>
    <w:rsid w:val="0E5C2643"/>
    <w:rsid w:val="0E6537C4"/>
    <w:rsid w:val="0E701E1B"/>
    <w:rsid w:val="0E750CB0"/>
    <w:rsid w:val="0E883192"/>
    <w:rsid w:val="0E8E6882"/>
    <w:rsid w:val="0ECE5049"/>
    <w:rsid w:val="0EE50D43"/>
    <w:rsid w:val="0F0377AE"/>
    <w:rsid w:val="0F0E6EE3"/>
    <w:rsid w:val="0F706416"/>
    <w:rsid w:val="0FCD5779"/>
    <w:rsid w:val="0FD03A0D"/>
    <w:rsid w:val="10381F40"/>
    <w:rsid w:val="104869BA"/>
    <w:rsid w:val="10575CC4"/>
    <w:rsid w:val="10615A49"/>
    <w:rsid w:val="10B169D0"/>
    <w:rsid w:val="10F47168"/>
    <w:rsid w:val="110264F1"/>
    <w:rsid w:val="1104198D"/>
    <w:rsid w:val="1105049E"/>
    <w:rsid w:val="115434FF"/>
    <w:rsid w:val="115D3896"/>
    <w:rsid w:val="11B62E53"/>
    <w:rsid w:val="11D010D8"/>
    <w:rsid w:val="12103D4D"/>
    <w:rsid w:val="12345EA5"/>
    <w:rsid w:val="124027F2"/>
    <w:rsid w:val="125A673E"/>
    <w:rsid w:val="12775E6D"/>
    <w:rsid w:val="12A01322"/>
    <w:rsid w:val="12AB0828"/>
    <w:rsid w:val="12E05DF5"/>
    <w:rsid w:val="133616DD"/>
    <w:rsid w:val="13582BF6"/>
    <w:rsid w:val="13583E3E"/>
    <w:rsid w:val="138356B4"/>
    <w:rsid w:val="13884680"/>
    <w:rsid w:val="13996DA4"/>
    <w:rsid w:val="139D4FEA"/>
    <w:rsid w:val="13A56966"/>
    <w:rsid w:val="13B56A40"/>
    <w:rsid w:val="13D309B3"/>
    <w:rsid w:val="13EC3F05"/>
    <w:rsid w:val="13FF0438"/>
    <w:rsid w:val="14077D57"/>
    <w:rsid w:val="14342819"/>
    <w:rsid w:val="14965811"/>
    <w:rsid w:val="14983A03"/>
    <w:rsid w:val="14D92610"/>
    <w:rsid w:val="15001500"/>
    <w:rsid w:val="154A25D7"/>
    <w:rsid w:val="15525604"/>
    <w:rsid w:val="156E5828"/>
    <w:rsid w:val="15B36E57"/>
    <w:rsid w:val="15B43A33"/>
    <w:rsid w:val="15C02CFA"/>
    <w:rsid w:val="15D02588"/>
    <w:rsid w:val="163004AD"/>
    <w:rsid w:val="164356BB"/>
    <w:rsid w:val="166F777C"/>
    <w:rsid w:val="169C21B8"/>
    <w:rsid w:val="169C6B59"/>
    <w:rsid w:val="16BB60A4"/>
    <w:rsid w:val="16D604C4"/>
    <w:rsid w:val="17163A31"/>
    <w:rsid w:val="173A5387"/>
    <w:rsid w:val="17725C57"/>
    <w:rsid w:val="17755246"/>
    <w:rsid w:val="17800AEC"/>
    <w:rsid w:val="18245E40"/>
    <w:rsid w:val="182A0E16"/>
    <w:rsid w:val="182F01F9"/>
    <w:rsid w:val="186B461D"/>
    <w:rsid w:val="188B4950"/>
    <w:rsid w:val="18C50468"/>
    <w:rsid w:val="18C63235"/>
    <w:rsid w:val="18C7387D"/>
    <w:rsid w:val="18C76564"/>
    <w:rsid w:val="19087A11"/>
    <w:rsid w:val="191B7534"/>
    <w:rsid w:val="196C6250"/>
    <w:rsid w:val="196E2C37"/>
    <w:rsid w:val="1974690A"/>
    <w:rsid w:val="19C072D3"/>
    <w:rsid w:val="1A25720B"/>
    <w:rsid w:val="1A510684"/>
    <w:rsid w:val="1A6171B2"/>
    <w:rsid w:val="1AA65F2A"/>
    <w:rsid w:val="1AA666F2"/>
    <w:rsid w:val="1ADC340E"/>
    <w:rsid w:val="1AED2C78"/>
    <w:rsid w:val="1AEF15D5"/>
    <w:rsid w:val="1B1F6B22"/>
    <w:rsid w:val="1B343FD0"/>
    <w:rsid w:val="1B356551"/>
    <w:rsid w:val="1B377F92"/>
    <w:rsid w:val="1B3E4ABA"/>
    <w:rsid w:val="1B4D5548"/>
    <w:rsid w:val="1B9D2D2C"/>
    <w:rsid w:val="1BAB13EA"/>
    <w:rsid w:val="1BE02644"/>
    <w:rsid w:val="1BF27CE6"/>
    <w:rsid w:val="1BF57F17"/>
    <w:rsid w:val="1BFE6842"/>
    <w:rsid w:val="1C13053F"/>
    <w:rsid w:val="1C162BF5"/>
    <w:rsid w:val="1C212DFA"/>
    <w:rsid w:val="1C3065A1"/>
    <w:rsid w:val="1C32514E"/>
    <w:rsid w:val="1C8449C2"/>
    <w:rsid w:val="1C8676F7"/>
    <w:rsid w:val="1C8B5EF5"/>
    <w:rsid w:val="1C9B7764"/>
    <w:rsid w:val="1C9C37E6"/>
    <w:rsid w:val="1CA3081A"/>
    <w:rsid w:val="1CB81673"/>
    <w:rsid w:val="1CEB7EC5"/>
    <w:rsid w:val="1D0A50BD"/>
    <w:rsid w:val="1D2A3DAB"/>
    <w:rsid w:val="1D46542E"/>
    <w:rsid w:val="1D6359BB"/>
    <w:rsid w:val="1D664936"/>
    <w:rsid w:val="1D71729C"/>
    <w:rsid w:val="1D981331"/>
    <w:rsid w:val="1DAB3C89"/>
    <w:rsid w:val="1DC06E93"/>
    <w:rsid w:val="1DCC77C2"/>
    <w:rsid w:val="1DCF4890"/>
    <w:rsid w:val="1DFB57EB"/>
    <w:rsid w:val="1E0062C5"/>
    <w:rsid w:val="1E4F15C4"/>
    <w:rsid w:val="1E514F64"/>
    <w:rsid w:val="1E665E93"/>
    <w:rsid w:val="1E6D0B8E"/>
    <w:rsid w:val="1E740910"/>
    <w:rsid w:val="1E8A1B7B"/>
    <w:rsid w:val="1E93532B"/>
    <w:rsid w:val="1ED05FDD"/>
    <w:rsid w:val="1EDA4565"/>
    <w:rsid w:val="1EFA59E6"/>
    <w:rsid w:val="1F0115E6"/>
    <w:rsid w:val="1F022AED"/>
    <w:rsid w:val="1F8B73B9"/>
    <w:rsid w:val="1F8F25D3"/>
    <w:rsid w:val="1FC0508F"/>
    <w:rsid w:val="1FD17519"/>
    <w:rsid w:val="1FDE37FF"/>
    <w:rsid w:val="1FE87CF6"/>
    <w:rsid w:val="20066957"/>
    <w:rsid w:val="20142293"/>
    <w:rsid w:val="202875D1"/>
    <w:rsid w:val="203B6405"/>
    <w:rsid w:val="204042C4"/>
    <w:rsid w:val="204434A6"/>
    <w:rsid w:val="208E2CB0"/>
    <w:rsid w:val="20C7192F"/>
    <w:rsid w:val="20C94ACB"/>
    <w:rsid w:val="20CC6F0F"/>
    <w:rsid w:val="20EE75FA"/>
    <w:rsid w:val="20F3606E"/>
    <w:rsid w:val="2117534C"/>
    <w:rsid w:val="213009EF"/>
    <w:rsid w:val="213D75BE"/>
    <w:rsid w:val="213F7AB1"/>
    <w:rsid w:val="217A33A1"/>
    <w:rsid w:val="21872636"/>
    <w:rsid w:val="218F2648"/>
    <w:rsid w:val="21AB5C9B"/>
    <w:rsid w:val="21B427AB"/>
    <w:rsid w:val="21BD46E0"/>
    <w:rsid w:val="22682C67"/>
    <w:rsid w:val="227C0C68"/>
    <w:rsid w:val="227D1F07"/>
    <w:rsid w:val="22AE5DFE"/>
    <w:rsid w:val="23025E80"/>
    <w:rsid w:val="235C31B0"/>
    <w:rsid w:val="23954084"/>
    <w:rsid w:val="23C16FD2"/>
    <w:rsid w:val="242C445B"/>
    <w:rsid w:val="247E04BE"/>
    <w:rsid w:val="248B6BF0"/>
    <w:rsid w:val="24975A35"/>
    <w:rsid w:val="24A451C8"/>
    <w:rsid w:val="24B0777F"/>
    <w:rsid w:val="24B80E3D"/>
    <w:rsid w:val="24BA3A6C"/>
    <w:rsid w:val="24C14262"/>
    <w:rsid w:val="24DB11B1"/>
    <w:rsid w:val="24DB1DC1"/>
    <w:rsid w:val="254579AD"/>
    <w:rsid w:val="25482804"/>
    <w:rsid w:val="25550995"/>
    <w:rsid w:val="25916749"/>
    <w:rsid w:val="25B15AD3"/>
    <w:rsid w:val="25E5097B"/>
    <w:rsid w:val="25ED1CE2"/>
    <w:rsid w:val="260366CA"/>
    <w:rsid w:val="26190B1E"/>
    <w:rsid w:val="261954E5"/>
    <w:rsid w:val="26B25A04"/>
    <w:rsid w:val="26E86A48"/>
    <w:rsid w:val="27101EDB"/>
    <w:rsid w:val="27450F96"/>
    <w:rsid w:val="27A03254"/>
    <w:rsid w:val="27A230C5"/>
    <w:rsid w:val="27A851CF"/>
    <w:rsid w:val="27F6755B"/>
    <w:rsid w:val="2835156C"/>
    <w:rsid w:val="285E7742"/>
    <w:rsid w:val="285F589C"/>
    <w:rsid w:val="2860075F"/>
    <w:rsid w:val="288E7537"/>
    <w:rsid w:val="28D51CE9"/>
    <w:rsid w:val="28E0382C"/>
    <w:rsid w:val="28FB2940"/>
    <w:rsid w:val="2935387C"/>
    <w:rsid w:val="295642C7"/>
    <w:rsid w:val="29923BE6"/>
    <w:rsid w:val="29C74D12"/>
    <w:rsid w:val="29D70027"/>
    <w:rsid w:val="29DA51F1"/>
    <w:rsid w:val="29E4565C"/>
    <w:rsid w:val="2A217644"/>
    <w:rsid w:val="2A5522DC"/>
    <w:rsid w:val="2A6D7AE4"/>
    <w:rsid w:val="2A81126C"/>
    <w:rsid w:val="2A9A509F"/>
    <w:rsid w:val="2ABE75C5"/>
    <w:rsid w:val="2AC54EDF"/>
    <w:rsid w:val="2ADE1592"/>
    <w:rsid w:val="2AE72478"/>
    <w:rsid w:val="2AFE6BB2"/>
    <w:rsid w:val="2AFF547A"/>
    <w:rsid w:val="2B0F5BE3"/>
    <w:rsid w:val="2B194010"/>
    <w:rsid w:val="2B1A0A86"/>
    <w:rsid w:val="2B766889"/>
    <w:rsid w:val="2B8F7412"/>
    <w:rsid w:val="2BB62C14"/>
    <w:rsid w:val="2BB82208"/>
    <w:rsid w:val="2BC1544C"/>
    <w:rsid w:val="2BF25A55"/>
    <w:rsid w:val="2BF83122"/>
    <w:rsid w:val="2C4D4422"/>
    <w:rsid w:val="2C61592A"/>
    <w:rsid w:val="2CF23348"/>
    <w:rsid w:val="2D0212AF"/>
    <w:rsid w:val="2D0721CE"/>
    <w:rsid w:val="2D2D0FB8"/>
    <w:rsid w:val="2D5369A4"/>
    <w:rsid w:val="2D553E12"/>
    <w:rsid w:val="2D563294"/>
    <w:rsid w:val="2D572DE8"/>
    <w:rsid w:val="2D7657B0"/>
    <w:rsid w:val="2DA92533"/>
    <w:rsid w:val="2DC542FD"/>
    <w:rsid w:val="2E027319"/>
    <w:rsid w:val="2E740C9C"/>
    <w:rsid w:val="2E912614"/>
    <w:rsid w:val="2EB82B9B"/>
    <w:rsid w:val="2EDB211E"/>
    <w:rsid w:val="2F0B154A"/>
    <w:rsid w:val="2FAF734F"/>
    <w:rsid w:val="2FB74538"/>
    <w:rsid w:val="2FC85BC4"/>
    <w:rsid w:val="2FF16930"/>
    <w:rsid w:val="300466C5"/>
    <w:rsid w:val="30255652"/>
    <w:rsid w:val="302A5959"/>
    <w:rsid w:val="305B0C4B"/>
    <w:rsid w:val="306F34C7"/>
    <w:rsid w:val="30B579BF"/>
    <w:rsid w:val="31024AE6"/>
    <w:rsid w:val="31232744"/>
    <w:rsid w:val="313F60CD"/>
    <w:rsid w:val="316C164E"/>
    <w:rsid w:val="31AC33EA"/>
    <w:rsid w:val="31B469D0"/>
    <w:rsid w:val="31C94250"/>
    <w:rsid w:val="31D64F96"/>
    <w:rsid w:val="32017181"/>
    <w:rsid w:val="3202578C"/>
    <w:rsid w:val="326D3B31"/>
    <w:rsid w:val="327021FA"/>
    <w:rsid w:val="32755658"/>
    <w:rsid w:val="329C1DF0"/>
    <w:rsid w:val="329E2BA3"/>
    <w:rsid w:val="32AE7A75"/>
    <w:rsid w:val="32E032B1"/>
    <w:rsid w:val="32EF11A3"/>
    <w:rsid w:val="32EF2028"/>
    <w:rsid w:val="33011C41"/>
    <w:rsid w:val="33274478"/>
    <w:rsid w:val="333C6A3D"/>
    <w:rsid w:val="33644CFD"/>
    <w:rsid w:val="33774568"/>
    <w:rsid w:val="33A0028D"/>
    <w:rsid w:val="33A570FA"/>
    <w:rsid w:val="33D32C1C"/>
    <w:rsid w:val="33D92429"/>
    <w:rsid w:val="343B3818"/>
    <w:rsid w:val="343C1893"/>
    <w:rsid w:val="358526AE"/>
    <w:rsid w:val="35B43FF1"/>
    <w:rsid w:val="35B54B22"/>
    <w:rsid w:val="35DF0F8E"/>
    <w:rsid w:val="35E83CBD"/>
    <w:rsid w:val="35EF293B"/>
    <w:rsid w:val="35F13A2A"/>
    <w:rsid w:val="36010FB1"/>
    <w:rsid w:val="360453EB"/>
    <w:rsid w:val="361633A9"/>
    <w:rsid w:val="362C0965"/>
    <w:rsid w:val="36495F37"/>
    <w:rsid w:val="36523501"/>
    <w:rsid w:val="365B2DB7"/>
    <w:rsid w:val="366A6E58"/>
    <w:rsid w:val="369F3F6B"/>
    <w:rsid w:val="36CA2ED1"/>
    <w:rsid w:val="37366041"/>
    <w:rsid w:val="373D0F4E"/>
    <w:rsid w:val="375D41E8"/>
    <w:rsid w:val="37625DAE"/>
    <w:rsid w:val="377717B0"/>
    <w:rsid w:val="379D7A74"/>
    <w:rsid w:val="37A03DDA"/>
    <w:rsid w:val="37DC389E"/>
    <w:rsid w:val="37E41DF1"/>
    <w:rsid w:val="37FC364E"/>
    <w:rsid w:val="38463090"/>
    <w:rsid w:val="3882116E"/>
    <w:rsid w:val="388234B9"/>
    <w:rsid w:val="38973473"/>
    <w:rsid w:val="38A56CC9"/>
    <w:rsid w:val="38C05F24"/>
    <w:rsid w:val="38D750B8"/>
    <w:rsid w:val="38F2240C"/>
    <w:rsid w:val="39171CC0"/>
    <w:rsid w:val="393F39C1"/>
    <w:rsid w:val="3941283A"/>
    <w:rsid w:val="395212E1"/>
    <w:rsid w:val="39976574"/>
    <w:rsid w:val="39A165F9"/>
    <w:rsid w:val="39A71695"/>
    <w:rsid w:val="39B72706"/>
    <w:rsid w:val="39C84E5A"/>
    <w:rsid w:val="39FA0921"/>
    <w:rsid w:val="3A3457E8"/>
    <w:rsid w:val="3A377697"/>
    <w:rsid w:val="3A3F0320"/>
    <w:rsid w:val="3A536E24"/>
    <w:rsid w:val="3A565A98"/>
    <w:rsid w:val="3A810ECA"/>
    <w:rsid w:val="3A871F8A"/>
    <w:rsid w:val="3AA31206"/>
    <w:rsid w:val="3AB57780"/>
    <w:rsid w:val="3AC65AD2"/>
    <w:rsid w:val="3ACF5A26"/>
    <w:rsid w:val="3B1B509F"/>
    <w:rsid w:val="3B3575B2"/>
    <w:rsid w:val="3B4764C1"/>
    <w:rsid w:val="3B54731C"/>
    <w:rsid w:val="3B67428D"/>
    <w:rsid w:val="3B713350"/>
    <w:rsid w:val="3B7A26BE"/>
    <w:rsid w:val="3BE767A5"/>
    <w:rsid w:val="3C1701DB"/>
    <w:rsid w:val="3C2E25AC"/>
    <w:rsid w:val="3C33699A"/>
    <w:rsid w:val="3C41291B"/>
    <w:rsid w:val="3C447C27"/>
    <w:rsid w:val="3C4E3440"/>
    <w:rsid w:val="3CAD59EE"/>
    <w:rsid w:val="3DE61DB0"/>
    <w:rsid w:val="3E225ED0"/>
    <w:rsid w:val="3E29108F"/>
    <w:rsid w:val="3E377C66"/>
    <w:rsid w:val="3E763568"/>
    <w:rsid w:val="3EB341AB"/>
    <w:rsid w:val="3EC20226"/>
    <w:rsid w:val="3EC451E1"/>
    <w:rsid w:val="3EC47F80"/>
    <w:rsid w:val="3F1E63B0"/>
    <w:rsid w:val="3F2226EC"/>
    <w:rsid w:val="3F4530CB"/>
    <w:rsid w:val="3F601C75"/>
    <w:rsid w:val="3F8B03FF"/>
    <w:rsid w:val="3FAC6CE4"/>
    <w:rsid w:val="3FB04B06"/>
    <w:rsid w:val="3FDA48AC"/>
    <w:rsid w:val="4004626D"/>
    <w:rsid w:val="402A3DD6"/>
    <w:rsid w:val="402E363B"/>
    <w:rsid w:val="403A7A13"/>
    <w:rsid w:val="40452573"/>
    <w:rsid w:val="40883F9A"/>
    <w:rsid w:val="40A6403B"/>
    <w:rsid w:val="40C31767"/>
    <w:rsid w:val="40D11C13"/>
    <w:rsid w:val="40D14228"/>
    <w:rsid w:val="40E32648"/>
    <w:rsid w:val="413F338F"/>
    <w:rsid w:val="415D3A83"/>
    <w:rsid w:val="419659D4"/>
    <w:rsid w:val="41A50FA5"/>
    <w:rsid w:val="41AF222E"/>
    <w:rsid w:val="41CC07BC"/>
    <w:rsid w:val="41DD5AAF"/>
    <w:rsid w:val="420569A4"/>
    <w:rsid w:val="42383FAC"/>
    <w:rsid w:val="4246080B"/>
    <w:rsid w:val="42CE24FD"/>
    <w:rsid w:val="42F302DD"/>
    <w:rsid w:val="43260C43"/>
    <w:rsid w:val="438034F8"/>
    <w:rsid w:val="4388321A"/>
    <w:rsid w:val="441A31FF"/>
    <w:rsid w:val="443F03D6"/>
    <w:rsid w:val="446A3759"/>
    <w:rsid w:val="446B4961"/>
    <w:rsid w:val="449428DA"/>
    <w:rsid w:val="45132E7E"/>
    <w:rsid w:val="45797DA1"/>
    <w:rsid w:val="45A046DF"/>
    <w:rsid w:val="45AB1A67"/>
    <w:rsid w:val="45B725A0"/>
    <w:rsid w:val="45D33008"/>
    <w:rsid w:val="45D53422"/>
    <w:rsid w:val="462E25CA"/>
    <w:rsid w:val="46303A17"/>
    <w:rsid w:val="465A58CC"/>
    <w:rsid w:val="46931FE6"/>
    <w:rsid w:val="46D637ED"/>
    <w:rsid w:val="46DD3F38"/>
    <w:rsid w:val="46F16F1D"/>
    <w:rsid w:val="46FD2CBF"/>
    <w:rsid w:val="472910BD"/>
    <w:rsid w:val="47553E8E"/>
    <w:rsid w:val="477C293C"/>
    <w:rsid w:val="47CA2F97"/>
    <w:rsid w:val="47D84675"/>
    <w:rsid w:val="47E17B3A"/>
    <w:rsid w:val="481379C4"/>
    <w:rsid w:val="481947FE"/>
    <w:rsid w:val="483B043E"/>
    <w:rsid w:val="486B0826"/>
    <w:rsid w:val="486B1D8E"/>
    <w:rsid w:val="48A93D74"/>
    <w:rsid w:val="48D139F6"/>
    <w:rsid w:val="48F56DD6"/>
    <w:rsid w:val="491916C6"/>
    <w:rsid w:val="49573AC8"/>
    <w:rsid w:val="49AA7971"/>
    <w:rsid w:val="49C6610C"/>
    <w:rsid w:val="49CF02A5"/>
    <w:rsid w:val="49D02457"/>
    <w:rsid w:val="49DC05BD"/>
    <w:rsid w:val="49E8275C"/>
    <w:rsid w:val="49FE240E"/>
    <w:rsid w:val="4A141151"/>
    <w:rsid w:val="4A316318"/>
    <w:rsid w:val="4A5950C6"/>
    <w:rsid w:val="4A643B84"/>
    <w:rsid w:val="4A777A6A"/>
    <w:rsid w:val="4AC55697"/>
    <w:rsid w:val="4AC9062D"/>
    <w:rsid w:val="4AE52C42"/>
    <w:rsid w:val="4AF2187D"/>
    <w:rsid w:val="4AFC3953"/>
    <w:rsid w:val="4B1E385E"/>
    <w:rsid w:val="4B6870F9"/>
    <w:rsid w:val="4B6C2969"/>
    <w:rsid w:val="4BCF6DCB"/>
    <w:rsid w:val="4BD06B38"/>
    <w:rsid w:val="4BD52321"/>
    <w:rsid w:val="4BDF321A"/>
    <w:rsid w:val="4C0065CE"/>
    <w:rsid w:val="4C18241E"/>
    <w:rsid w:val="4C227943"/>
    <w:rsid w:val="4C4373DD"/>
    <w:rsid w:val="4C472142"/>
    <w:rsid w:val="4C5F22C4"/>
    <w:rsid w:val="4C7D6CC5"/>
    <w:rsid w:val="4CDD603C"/>
    <w:rsid w:val="4DC86CD0"/>
    <w:rsid w:val="4DD62C1F"/>
    <w:rsid w:val="4DF46D27"/>
    <w:rsid w:val="4E367509"/>
    <w:rsid w:val="4E5211BA"/>
    <w:rsid w:val="4E90713C"/>
    <w:rsid w:val="4E9D1D1E"/>
    <w:rsid w:val="4EED09FA"/>
    <w:rsid w:val="4F0E0B1D"/>
    <w:rsid w:val="4F563CC4"/>
    <w:rsid w:val="4FBD41CA"/>
    <w:rsid w:val="4FD246D2"/>
    <w:rsid w:val="4FE15C85"/>
    <w:rsid w:val="50077D56"/>
    <w:rsid w:val="50131451"/>
    <w:rsid w:val="506643DA"/>
    <w:rsid w:val="50831BFE"/>
    <w:rsid w:val="50B52FE4"/>
    <w:rsid w:val="50BF2E54"/>
    <w:rsid w:val="51390BE4"/>
    <w:rsid w:val="516E3818"/>
    <w:rsid w:val="51C804DE"/>
    <w:rsid w:val="51CF0D4C"/>
    <w:rsid w:val="51E12FF8"/>
    <w:rsid w:val="51E33826"/>
    <w:rsid w:val="51E71C22"/>
    <w:rsid w:val="520C6B50"/>
    <w:rsid w:val="522E62F3"/>
    <w:rsid w:val="52444BF1"/>
    <w:rsid w:val="52A33960"/>
    <w:rsid w:val="52B476CE"/>
    <w:rsid w:val="52F47A95"/>
    <w:rsid w:val="531645CA"/>
    <w:rsid w:val="531F2A96"/>
    <w:rsid w:val="53262EC9"/>
    <w:rsid w:val="53734149"/>
    <w:rsid w:val="53932760"/>
    <w:rsid w:val="539873E7"/>
    <w:rsid w:val="53B46D0C"/>
    <w:rsid w:val="53C0793C"/>
    <w:rsid w:val="54087353"/>
    <w:rsid w:val="54375044"/>
    <w:rsid w:val="544232E7"/>
    <w:rsid w:val="54557110"/>
    <w:rsid w:val="549661B6"/>
    <w:rsid w:val="54D24E79"/>
    <w:rsid w:val="5503429F"/>
    <w:rsid w:val="551027C6"/>
    <w:rsid w:val="552F7315"/>
    <w:rsid w:val="554B0FDD"/>
    <w:rsid w:val="55631D2D"/>
    <w:rsid w:val="55BB1E97"/>
    <w:rsid w:val="55C8709D"/>
    <w:rsid w:val="560509A3"/>
    <w:rsid w:val="56050C0A"/>
    <w:rsid w:val="56250237"/>
    <w:rsid w:val="564569EB"/>
    <w:rsid w:val="56AB5944"/>
    <w:rsid w:val="56F645A2"/>
    <w:rsid w:val="56FC03D6"/>
    <w:rsid w:val="57024FAA"/>
    <w:rsid w:val="57214861"/>
    <w:rsid w:val="572B4616"/>
    <w:rsid w:val="57541EAD"/>
    <w:rsid w:val="57650260"/>
    <w:rsid w:val="576D2C98"/>
    <w:rsid w:val="577465D8"/>
    <w:rsid w:val="579062A5"/>
    <w:rsid w:val="57AA2DFF"/>
    <w:rsid w:val="57AE5029"/>
    <w:rsid w:val="57C23486"/>
    <w:rsid w:val="57CF4E56"/>
    <w:rsid w:val="57D123D3"/>
    <w:rsid w:val="5807247D"/>
    <w:rsid w:val="58117CC1"/>
    <w:rsid w:val="582C3384"/>
    <w:rsid w:val="58624A55"/>
    <w:rsid w:val="58982347"/>
    <w:rsid w:val="59162EF2"/>
    <w:rsid w:val="59216A89"/>
    <w:rsid w:val="59462FFB"/>
    <w:rsid w:val="59A175DF"/>
    <w:rsid w:val="59B819C2"/>
    <w:rsid w:val="59C7668D"/>
    <w:rsid w:val="59FC4729"/>
    <w:rsid w:val="59FF697B"/>
    <w:rsid w:val="5A0B75E4"/>
    <w:rsid w:val="5A3A490E"/>
    <w:rsid w:val="5A575BFF"/>
    <w:rsid w:val="5A77586F"/>
    <w:rsid w:val="5A92474A"/>
    <w:rsid w:val="5AA12CBD"/>
    <w:rsid w:val="5ABA5A4E"/>
    <w:rsid w:val="5ACA65CD"/>
    <w:rsid w:val="5ACC7A53"/>
    <w:rsid w:val="5AE51758"/>
    <w:rsid w:val="5B1A0DFF"/>
    <w:rsid w:val="5B581F93"/>
    <w:rsid w:val="5B6B529B"/>
    <w:rsid w:val="5BB250E2"/>
    <w:rsid w:val="5BB3320D"/>
    <w:rsid w:val="5BC31A45"/>
    <w:rsid w:val="5BC772C9"/>
    <w:rsid w:val="5BF50377"/>
    <w:rsid w:val="5C465FA2"/>
    <w:rsid w:val="5C544090"/>
    <w:rsid w:val="5C726BB6"/>
    <w:rsid w:val="5C7322D1"/>
    <w:rsid w:val="5CEF4070"/>
    <w:rsid w:val="5CFC28A8"/>
    <w:rsid w:val="5D246FFC"/>
    <w:rsid w:val="5D36426B"/>
    <w:rsid w:val="5D380EAD"/>
    <w:rsid w:val="5DDA696A"/>
    <w:rsid w:val="5E410FFD"/>
    <w:rsid w:val="5E544606"/>
    <w:rsid w:val="5E8E05EA"/>
    <w:rsid w:val="5EFB61FA"/>
    <w:rsid w:val="5F2C7D02"/>
    <w:rsid w:val="5F31206E"/>
    <w:rsid w:val="5F7663E9"/>
    <w:rsid w:val="5F8C0D83"/>
    <w:rsid w:val="5FB656F9"/>
    <w:rsid w:val="5FBC2CFA"/>
    <w:rsid w:val="5FC53466"/>
    <w:rsid w:val="5FD13015"/>
    <w:rsid w:val="5FF56DB4"/>
    <w:rsid w:val="601260A9"/>
    <w:rsid w:val="60190EE3"/>
    <w:rsid w:val="601D48F2"/>
    <w:rsid w:val="601E31F8"/>
    <w:rsid w:val="602832C7"/>
    <w:rsid w:val="603D1F50"/>
    <w:rsid w:val="603F673E"/>
    <w:rsid w:val="605467C6"/>
    <w:rsid w:val="60D605A1"/>
    <w:rsid w:val="612C537D"/>
    <w:rsid w:val="61464F6C"/>
    <w:rsid w:val="61515A7F"/>
    <w:rsid w:val="61633E93"/>
    <w:rsid w:val="61963BD4"/>
    <w:rsid w:val="61A4558D"/>
    <w:rsid w:val="61C32B70"/>
    <w:rsid w:val="61D54EA8"/>
    <w:rsid w:val="61E045CD"/>
    <w:rsid w:val="61E23930"/>
    <w:rsid w:val="62016875"/>
    <w:rsid w:val="623E052A"/>
    <w:rsid w:val="628B7263"/>
    <w:rsid w:val="62902D58"/>
    <w:rsid w:val="62AE4BDA"/>
    <w:rsid w:val="62C97640"/>
    <w:rsid w:val="62D27C48"/>
    <w:rsid w:val="6307315E"/>
    <w:rsid w:val="63184211"/>
    <w:rsid w:val="631B5AD9"/>
    <w:rsid w:val="635514AC"/>
    <w:rsid w:val="635C575B"/>
    <w:rsid w:val="63672302"/>
    <w:rsid w:val="636863CF"/>
    <w:rsid w:val="63715219"/>
    <w:rsid w:val="63752C12"/>
    <w:rsid w:val="638C1080"/>
    <w:rsid w:val="63B413CF"/>
    <w:rsid w:val="63D4721A"/>
    <w:rsid w:val="63FF6C27"/>
    <w:rsid w:val="6405263C"/>
    <w:rsid w:val="642454D9"/>
    <w:rsid w:val="6434581E"/>
    <w:rsid w:val="6464336B"/>
    <w:rsid w:val="64F909E0"/>
    <w:rsid w:val="653603C7"/>
    <w:rsid w:val="65360BCA"/>
    <w:rsid w:val="653C5193"/>
    <w:rsid w:val="655C7828"/>
    <w:rsid w:val="656E232E"/>
    <w:rsid w:val="658B4967"/>
    <w:rsid w:val="65CB1350"/>
    <w:rsid w:val="66330E7B"/>
    <w:rsid w:val="66351622"/>
    <w:rsid w:val="665A2304"/>
    <w:rsid w:val="669C6349"/>
    <w:rsid w:val="66A80AC6"/>
    <w:rsid w:val="66DE2AC5"/>
    <w:rsid w:val="67144976"/>
    <w:rsid w:val="67202357"/>
    <w:rsid w:val="67603F26"/>
    <w:rsid w:val="67D3264E"/>
    <w:rsid w:val="67D63720"/>
    <w:rsid w:val="67EC027D"/>
    <w:rsid w:val="68024DD3"/>
    <w:rsid w:val="680F332B"/>
    <w:rsid w:val="6832253F"/>
    <w:rsid w:val="685C3C4D"/>
    <w:rsid w:val="687102AD"/>
    <w:rsid w:val="68724B40"/>
    <w:rsid w:val="68902798"/>
    <w:rsid w:val="690C7142"/>
    <w:rsid w:val="693B41FE"/>
    <w:rsid w:val="69412846"/>
    <w:rsid w:val="695907E9"/>
    <w:rsid w:val="6964290E"/>
    <w:rsid w:val="698304CD"/>
    <w:rsid w:val="69932BAE"/>
    <w:rsid w:val="69A16FDB"/>
    <w:rsid w:val="69BA6060"/>
    <w:rsid w:val="69C523DE"/>
    <w:rsid w:val="69ED5B2B"/>
    <w:rsid w:val="6A223F21"/>
    <w:rsid w:val="6A4771F0"/>
    <w:rsid w:val="6A641277"/>
    <w:rsid w:val="6A985E45"/>
    <w:rsid w:val="6AAD0001"/>
    <w:rsid w:val="6ABF6769"/>
    <w:rsid w:val="6ACC3B62"/>
    <w:rsid w:val="6AE30427"/>
    <w:rsid w:val="6B1B05C6"/>
    <w:rsid w:val="6B35684E"/>
    <w:rsid w:val="6B5775BA"/>
    <w:rsid w:val="6B6C1D6A"/>
    <w:rsid w:val="6B706DFD"/>
    <w:rsid w:val="6B735145"/>
    <w:rsid w:val="6B76701F"/>
    <w:rsid w:val="6BA77CA7"/>
    <w:rsid w:val="6BAA63F6"/>
    <w:rsid w:val="6BB64940"/>
    <w:rsid w:val="6BBA5ABD"/>
    <w:rsid w:val="6BC04151"/>
    <w:rsid w:val="6BFF6B53"/>
    <w:rsid w:val="6C161EDD"/>
    <w:rsid w:val="6C17534B"/>
    <w:rsid w:val="6C52384A"/>
    <w:rsid w:val="6C5F577B"/>
    <w:rsid w:val="6C5F6B13"/>
    <w:rsid w:val="6C831486"/>
    <w:rsid w:val="6C8C7141"/>
    <w:rsid w:val="6C903E5F"/>
    <w:rsid w:val="6C92595F"/>
    <w:rsid w:val="6CA31D11"/>
    <w:rsid w:val="6CE513BE"/>
    <w:rsid w:val="6CEE595E"/>
    <w:rsid w:val="6CF82160"/>
    <w:rsid w:val="6D094BFA"/>
    <w:rsid w:val="6D1D7324"/>
    <w:rsid w:val="6D1F321F"/>
    <w:rsid w:val="6D283EB3"/>
    <w:rsid w:val="6D437B25"/>
    <w:rsid w:val="6D476F5C"/>
    <w:rsid w:val="6D524D35"/>
    <w:rsid w:val="6D631E8B"/>
    <w:rsid w:val="6DA45721"/>
    <w:rsid w:val="6DEF5724"/>
    <w:rsid w:val="6E1D2124"/>
    <w:rsid w:val="6E2D7396"/>
    <w:rsid w:val="6E977E1E"/>
    <w:rsid w:val="6E9A083E"/>
    <w:rsid w:val="6F1013D6"/>
    <w:rsid w:val="6F1830F3"/>
    <w:rsid w:val="6F2C4E6B"/>
    <w:rsid w:val="6F7502BE"/>
    <w:rsid w:val="6F8E346E"/>
    <w:rsid w:val="6F922D77"/>
    <w:rsid w:val="6FA85985"/>
    <w:rsid w:val="6FD7718C"/>
    <w:rsid w:val="6FEA2DEF"/>
    <w:rsid w:val="70231C9D"/>
    <w:rsid w:val="704116AB"/>
    <w:rsid w:val="70411BFE"/>
    <w:rsid w:val="704768DE"/>
    <w:rsid w:val="707B5C7D"/>
    <w:rsid w:val="708C386D"/>
    <w:rsid w:val="7093353E"/>
    <w:rsid w:val="70A25D2A"/>
    <w:rsid w:val="70EC15F1"/>
    <w:rsid w:val="70F606D1"/>
    <w:rsid w:val="710C3141"/>
    <w:rsid w:val="71104E62"/>
    <w:rsid w:val="713927A1"/>
    <w:rsid w:val="71426CAF"/>
    <w:rsid w:val="719525E5"/>
    <w:rsid w:val="71C43EDF"/>
    <w:rsid w:val="71D12B7B"/>
    <w:rsid w:val="71F238C8"/>
    <w:rsid w:val="71FC02A3"/>
    <w:rsid w:val="72047D57"/>
    <w:rsid w:val="7254510E"/>
    <w:rsid w:val="72563FB1"/>
    <w:rsid w:val="726E28BC"/>
    <w:rsid w:val="72730565"/>
    <w:rsid w:val="729701F7"/>
    <w:rsid w:val="72C13435"/>
    <w:rsid w:val="7332304C"/>
    <w:rsid w:val="733B0345"/>
    <w:rsid w:val="73460DCF"/>
    <w:rsid w:val="736F51CC"/>
    <w:rsid w:val="73765DF7"/>
    <w:rsid w:val="739C093C"/>
    <w:rsid w:val="739D0315"/>
    <w:rsid w:val="73C42DF2"/>
    <w:rsid w:val="73CE4F10"/>
    <w:rsid w:val="73DE0BF4"/>
    <w:rsid w:val="73EF72A5"/>
    <w:rsid w:val="740166CA"/>
    <w:rsid w:val="741606DE"/>
    <w:rsid w:val="746B4618"/>
    <w:rsid w:val="746F2FAE"/>
    <w:rsid w:val="748E187D"/>
    <w:rsid w:val="749173C8"/>
    <w:rsid w:val="74F727ED"/>
    <w:rsid w:val="75395A4F"/>
    <w:rsid w:val="75A62599"/>
    <w:rsid w:val="75C718AC"/>
    <w:rsid w:val="75E5168E"/>
    <w:rsid w:val="75E65018"/>
    <w:rsid w:val="75E6534A"/>
    <w:rsid w:val="75FD7923"/>
    <w:rsid w:val="764536B8"/>
    <w:rsid w:val="764C1E95"/>
    <w:rsid w:val="765340BE"/>
    <w:rsid w:val="76600B0B"/>
    <w:rsid w:val="769D4729"/>
    <w:rsid w:val="76EC025F"/>
    <w:rsid w:val="76FB60A7"/>
    <w:rsid w:val="77104195"/>
    <w:rsid w:val="77532B5B"/>
    <w:rsid w:val="777C610E"/>
    <w:rsid w:val="77A72B49"/>
    <w:rsid w:val="77BA48A1"/>
    <w:rsid w:val="77D575CC"/>
    <w:rsid w:val="77EA45C3"/>
    <w:rsid w:val="77F3515D"/>
    <w:rsid w:val="77F537AF"/>
    <w:rsid w:val="78427D95"/>
    <w:rsid w:val="789B3619"/>
    <w:rsid w:val="78CE3373"/>
    <w:rsid w:val="78EA06B1"/>
    <w:rsid w:val="79303653"/>
    <w:rsid w:val="79332894"/>
    <w:rsid w:val="79432FDA"/>
    <w:rsid w:val="794E031B"/>
    <w:rsid w:val="796340FE"/>
    <w:rsid w:val="79F651E3"/>
    <w:rsid w:val="79FD2E0A"/>
    <w:rsid w:val="7A4A0DFD"/>
    <w:rsid w:val="7A552236"/>
    <w:rsid w:val="7A735659"/>
    <w:rsid w:val="7A7E0068"/>
    <w:rsid w:val="7AB60141"/>
    <w:rsid w:val="7AB7745D"/>
    <w:rsid w:val="7AC17447"/>
    <w:rsid w:val="7AD70C9B"/>
    <w:rsid w:val="7ADA5B3C"/>
    <w:rsid w:val="7B4531F1"/>
    <w:rsid w:val="7B4D07FD"/>
    <w:rsid w:val="7BAB3DF5"/>
    <w:rsid w:val="7BAD6B85"/>
    <w:rsid w:val="7BD26364"/>
    <w:rsid w:val="7BDB29F1"/>
    <w:rsid w:val="7C2F53CB"/>
    <w:rsid w:val="7C3A3603"/>
    <w:rsid w:val="7C461D0D"/>
    <w:rsid w:val="7C485C63"/>
    <w:rsid w:val="7CA834CE"/>
    <w:rsid w:val="7CB9036C"/>
    <w:rsid w:val="7D047631"/>
    <w:rsid w:val="7D3475DB"/>
    <w:rsid w:val="7D3F45DD"/>
    <w:rsid w:val="7D4A280A"/>
    <w:rsid w:val="7D771F95"/>
    <w:rsid w:val="7D942460"/>
    <w:rsid w:val="7DBB0F77"/>
    <w:rsid w:val="7DDD5D1F"/>
    <w:rsid w:val="7E0B3754"/>
    <w:rsid w:val="7E3C4D54"/>
    <w:rsid w:val="7E563F68"/>
    <w:rsid w:val="7EC40A24"/>
    <w:rsid w:val="7F5636E8"/>
    <w:rsid w:val="7F5F072D"/>
    <w:rsid w:val="7F71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8"/>
    <w:autoRedefine/>
    <w:qFormat/>
    <w:uiPriority w:val="0"/>
    <w:pPr>
      <w:keepNext/>
      <w:jc w:val="center"/>
      <w:outlineLvl w:val="0"/>
    </w:pPr>
    <w:rPr>
      <w:rFonts w:eastAsia="黑体"/>
      <w:b/>
      <w:sz w:val="32"/>
      <w:szCs w:val="20"/>
    </w:rPr>
  </w:style>
  <w:style w:type="paragraph" w:styleId="4">
    <w:name w:val="heading 2"/>
    <w:basedOn w:val="1"/>
    <w:next w:val="1"/>
    <w:link w:val="66"/>
    <w:autoRedefine/>
    <w:qFormat/>
    <w:uiPriority w:val="0"/>
    <w:pPr>
      <w:keepNext/>
      <w:outlineLvl w:val="1"/>
    </w:pPr>
    <w:rPr>
      <w:rFonts w:ascii="仿宋_GB2312"/>
      <w:b/>
      <w:sz w:val="28"/>
      <w:szCs w:val="32"/>
    </w:rPr>
  </w:style>
  <w:style w:type="paragraph" w:styleId="5">
    <w:name w:val="heading 3"/>
    <w:basedOn w:val="1"/>
    <w:next w:val="1"/>
    <w:link w:val="151"/>
    <w:autoRedefine/>
    <w:qFormat/>
    <w:uiPriority w:val="0"/>
    <w:pPr>
      <w:keepNext/>
      <w:keepLines/>
      <w:spacing w:line="540" w:lineRule="atLeast"/>
      <w:outlineLvl w:val="2"/>
    </w:pPr>
    <w:rPr>
      <w:rFonts w:eastAsia="黑体"/>
      <w:b/>
      <w:sz w:val="28"/>
      <w:szCs w:val="20"/>
    </w:rPr>
  </w:style>
  <w:style w:type="paragraph" w:styleId="6">
    <w:name w:val="heading 4"/>
    <w:basedOn w:val="1"/>
    <w:next w:val="1"/>
    <w:link w:val="148"/>
    <w:autoRedefine/>
    <w:qFormat/>
    <w:uiPriority w:val="0"/>
    <w:pPr>
      <w:keepNext/>
      <w:keepLines/>
      <w:spacing w:line="540" w:lineRule="atLeast"/>
      <w:outlineLvl w:val="3"/>
    </w:pPr>
    <w:rPr>
      <w:sz w:val="28"/>
      <w:szCs w:val="28"/>
    </w:rPr>
  </w:style>
  <w:style w:type="paragraph" w:styleId="7">
    <w:name w:val="heading 5"/>
    <w:basedOn w:val="1"/>
    <w:next w:val="1"/>
    <w:link w:val="131"/>
    <w:autoRedefine/>
    <w:qFormat/>
    <w:uiPriority w:val="0"/>
    <w:pPr>
      <w:keepNext/>
      <w:keepLines/>
      <w:spacing w:before="280" w:after="290" w:line="372" w:lineRule="auto"/>
      <w:outlineLvl w:val="4"/>
    </w:pPr>
    <w:rPr>
      <w:b/>
      <w:bCs/>
      <w:kern w:val="0"/>
      <w:sz w:val="28"/>
      <w:szCs w:val="28"/>
    </w:rPr>
  </w:style>
  <w:style w:type="paragraph" w:styleId="8">
    <w:name w:val="heading 6"/>
    <w:basedOn w:val="1"/>
    <w:next w:val="9"/>
    <w:link w:val="172"/>
    <w:autoRedefine/>
    <w:qFormat/>
    <w:uiPriority w:val="0"/>
    <w:pPr>
      <w:keepNext/>
      <w:keepLines/>
      <w:spacing w:before="240" w:after="64" w:line="317" w:lineRule="auto"/>
      <w:outlineLvl w:val="5"/>
    </w:pPr>
    <w:rPr>
      <w:rFonts w:ascii="Arial" w:hAnsi="Arial" w:eastAsia="黑体"/>
      <w:b/>
      <w:sz w:val="24"/>
      <w:szCs w:val="20"/>
    </w:rPr>
  </w:style>
  <w:style w:type="paragraph" w:styleId="10">
    <w:name w:val="heading 7"/>
    <w:basedOn w:val="1"/>
    <w:next w:val="9"/>
    <w:link w:val="69"/>
    <w:autoRedefine/>
    <w:qFormat/>
    <w:uiPriority w:val="0"/>
    <w:pPr>
      <w:keepNext/>
      <w:keepLines/>
      <w:spacing w:before="240" w:after="64" w:line="317" w:lineRule="auto"/>
      <w:outlineLvl w:val="6"/>
    </w:pPr>
    <w:rPr>
      <w:b/>
      <w:sz w:val="24"/>
      <w:szCs w:val="20"/>
    </w:rPr>
  </w:style>
  <w:style w:type="paragraph" w:styleId="11">
    <w:name w:val="heading 8"/>
    <w:basedOn w:val="1"/>
    <w:next w:val="9"/>
    <w:link w:val="175"/>
    <w:autoRedefine/>
    <w:qFormat/>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9"/>
    <w:link w:val="162"/>
    <w:autoRedefine/>
    <w:qFormat/>
    <w:uiPriority w:val="0"/>
    <w:pPr>
      <w:keepNext/>
      <w:keepLines/>
      <w:spacing w:before="240" w:after="64" w:line="317" w:lineRule="auto"/>
      <w:outlineLvl w:val="8"/>
    </w:pPr>
    <w:rPr>
      <w:rFonts w:ascii="Arial" w:hAnsi="Arial" w:eastAsia="黑体"/>
      <w:szCs w:val="20"/>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3">
    <w:name w:val="macro"/>
    <w:link w:val="117"/>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104"/>
    <w:autoRedefine/>
    <w:qFormat/>
    <w:uiPriority w:val="0"/>
    <w:pPr>
      <w:adjustRightInd w:val="0"/>
      <w:spacing w:line="312" w:lineRule="atLeast"/>
      <w:ind w:firstLine="420"/>
      <w:textAlignment w:val="baseline"/>
    </w:pPr>
    <w:rPr>
      <w:rFonts w:ascii="仿宋_GB2312"/>
      <w:b/>
      <w:kern w:val="0"/>
      <w:szCs w:val="32"/>
    </w:rPr>
  </w:style>
  <w:style w:type="paragraph" w:styleId="13">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4">
    <w:name w:val="List Number"/>
    <w:basedOn w:val="1"/>
    <w:autoRedefine/>
    <w:qFormat/>
    <w:uiPriority w:val="0"/>
    <w:pPr>
      <w:tabs>
        <w:tab w:val="left" w:pos="360"/>
      </w:tabs>
      <w:ind w:left="360" w:hanging="360" w:hangingChars="200"/>
    </w:pPr>
  </w:style>
  <w:style w:type="paragraph" w:styleId="15">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autoRedefine/>
    <w:qFormat/>
    <w:uiPriority w:val="0"/>
    <w:pPr>
      <w:tabs>
        <w:tab w:val="left" w:pos="360"/>
      </w:tabs>
    </w:pPr>
    <w:rPr>
      <w:rFonts w:ascii="Calibri" w:hAnsi="Calibri"/>
      <w:szCs w:val="22"/>
    </w:rPr>
  </w:style>
  <w:style w:type="paragraph" w:styleId="17">
    <w:name w:val="Document Map"/>
    <w:basedOn w:val="1"/>
    <w:link w:val="130"/>
    <w:autoRedefine/>
    <w:qFormat/>
    <w:uiPriority w:val="0"/>
    <w:pPr>
      <w:shd w:val="clear" w:color="auto" w:fill="000080"/>
    </w:pPr>
  </w:style>
  <w:style w:type="paragraph" w:styleId="18">
    <w:name w:val="annotation text"/>
    <w:basedOn w:val="1"/>
    <w:link w:val="90"/>
    <w:autoRedefine/>
    <w:qFormat/>
    <w:uiPriority w:val="0"/>
    <w:pPr>
      <w:jc w:val="left"/>
    </w:pPr>
  </w:style>
  <w:style w:type="paragraph" w:styleId="19">
    <w:name w:val="Salutation"/>
    <w:basedOn w:val="1"/>
    <w:next w:val="1"/>
    <w:link w:val="78"/>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0">
    <w:name w:val="Body Text 3"/>
    <w:basedOn w:val="1"/>
    <w:link w:val="94"/>
    <w:autoRedefine/>
    <w:qFormat/>
    <w:uiPriority w:val="0"/>
    <w:pPr>
      <w:autoSpaceDE w:val="0"/>
      <w:autoSpaceDN w:val="0"/>
      <w:adjustRightInd w:val="0"/>
      <w:jc w:val="center"/>
    </w:pPr>
  </w:style>
  <w:style w:type="paragraph" w:styleId="21">
    <w:name w:val="Body Text"/>
    <w:basedOn w:val="1"/>
    <w:next w:val="1"/>
    <w:link w:val="163"/>
    <w:autoRedefine/>
    <w:qFormat/>
    <w:uiPriority w:val="0"/>
    <w:pPr>
      <w:spacing w:after="120"/>
    </w:pPr>
    <w:rPr>
      <w:rFonts w:ascii="仿宋_GB2312"/>
      <w:b/>
    </w:rPr>
  </w:style>
  <w:style w:type="paragraph" w:styleId="22">
    <w:name w:val="Body Text Indent"/>
    <w:basedOn w:val="1"/>
    <w:next w:val="23"/>
    <w:link w:val="143"/>
    <w:autoRedefine/>
    <w:qFormat/>
    <w:uiPriority w:val="0"/>
    <w:pPr>
      <w:ind w:left="480" w:hanging="480" w:hangingChars="200"/>
    </w:pPr>
    <w:rPr>
      <w:sz w:val="24"/>
    </w:rPr>
  </w:style>
  <w:style w:type="paragraph" w:styleId="23">
    <w:name w:val="Body Text First Indent 2"/>
    <w:basedOn w:val="22"/>
    <w:autoRedefine/>
    <w:qFormat/>
    <w:uiPriority w:val="0"/>
    <w:pPr>
      <w:spacing w:after="120"/>
      <w:ind w:left="420" w:leftChars="200" w:firstLine="420"/>
    </w:pPr>
    <w:rPr>
      <w:rFonts w:cs="宋体"/>
      <w:sz w:val="21"/>
      <w:szCs w:val="21"/>
    </w:rPr>
  </w:style>
  <w:style w:type="paragraph" w:styleId="24">
    <w:name w:val="List Number 3"/>
    <w:basedOn w:val="1"/>
    <w:autoRedefine/>
    <w:qFormat/>
    <w:uiPriority w:val="0"/>
    <w:pPr>
      <w:tabs>
        <w:tab w:val="left" w:pos="1200"/>
      </w:tabs>
      <w:ind w:left="1200" w:leftChars="400" w:hanging="360" w:hangingChars="200"/>
    </w:pPr>
  </w:style>
  <w:style w:type="paragraph" w:styleId="25">
    <w:name w:val="Block Text"/>
    <w:basedOn w:val="1"/>
    <w:autoRedefine/>
    <w:qFormat/>
    <w:uiPriority w:val="0"/>
    <w:pPr>
      <w:spacing w:line="520" w:lineRule="exact"/>
      <w:ind w:left="540" w:leftChars="257" w:right="-514"/>
    </w:pPr>
    <w:rPr>
      <w:rFonts w:ascii="宋体" w:hAnsi="宋体"/>
      <w:sz w:val="24"/>
    </w:rPr>
  </w:style>
  <w:style w:type="paragraph" w:styleId="26">
    <w:name w:val="List Bullet 2"/>
    <w:basedOn w:val="1"/>
    <w:autoRedefine/>
    <w:qFormat/>
    <w:uiPriority w:val="0"/>
    <w:pPr>
      <w:tabs>
        <w:tab w:val="left" w:pos="780"/>
      </w:tabs>
      <w:spacing w:line="360" w:lineRule="auto"/>
      <w:ind w:left="780" w:leftChars="200" w:hanging="360" w:hangingChars="200"/>
    </w:pPr>
  </w:style>
  <w:style w:type="paragraph" w:styleId="27">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8">
    <w:name w:val="toc 3"/>
    <w:basedOn w:val="1"/>
    <w:next w:val="1"/>
    <w:autoRedefine/>
    <w:qFormat/>
    <w:uiPriority w:val="0"/>
    <w:pPr>
      <w:ind w:left="840" w:leftChars="400"/>
    </w:pPr>
  </w:style>
  <w:style w:type="paragraph" w:styleId="29">
    <w:name w:val="Plain Text"/>
    <w:basedOn w:val="1"/>
    <w:link w:val="191"/>
    <w:autoRedefine/>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0">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1">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2">
    <w:name w:val="Date"/>
    <w:basedOn w:val="1"/>
    <w:next w:val="1"/>
    <w:link w:val="132"/>
    <w:autoRedefine/>
    <w:qFormat/>
    <w:uiPriority w:val="0"/>
    <w:pPr>
      <w:ind w:left="100" w:leftChars="2500"/>
    </w:pPr>
  </w:style>
  <w:style w:type="paragraph" w:styleId="33">
    <w:name w:val="Body Text Indent 2"/>
    <w:basedOn w:val="1"/>
    <w:link w:val="177"/>
    <w:autoRedefine/>
    <w:qFormat/>
    <w:uiPriority w:val="0"/>
    <w:pPr>
      <w:spacing w:line="500" w:lineRule="exact"/>
      <w:ind w:firstLine="511" w:firstLineChars="213"/>
    </w:pPr>
    <w:rPr>
      <w:sz w:val="24"/>
    </w:rPr>
  </w:style>
  <w:style w:type="paragraph" w:styleId="34">
    <w:name w:val="Balloon Text"/>
    <w:basedOn w:val="1"/>
    <w:link w:val="150"/>
    <w:autoRedefine/>
    <w:qFormat/>
    <w:uiPriority w:val="0"/>
    <w:rPr>
      <w:sz w:val="18"/>
      <w:szCs w:val="18"/>
    </w:rPr>
  </w:style>
  <w:style w:type="paragraph" w:styleId="35">
    <w:name w:val="footer"/>
    <w:basedOn w:val="1"/>
    <w:link w:val="119"/>
    <w:autoRedefine/>
    <w:qFormat/>
    <w:uiPriority w:val="0"/>
    <w:pPr>
      <w:tabs>
        <w:tab w:val="center" w:pos="4153"/>
        <w:tab w:val="right" w:pos="8306"/>
      </w:tabs>
      <w:snapToGrid w:val="0"/>
      <w:jc w:val="left"/>
    </w:pPr>
    <w:rPr>
      <w:sz w:val="18"/>
      <w:szCs w:val="18"/>
    </w:rPr>
  </w:style>
  <w:style w:type="paragraph" w:styleId="36">
    <w:name w:val="header"/>
    <w:basedOn w:val="1"/>
    <w:link w:val="134"/>
    <w:autoRedefine/>
    <w:qFormat/>
    <w:uiPriority w:val="0"/>
    <w:pPr>
      <w:pBdr>
        <w:bottom w:val="single" w:color="auto" w:sz="6" w:space="1"/>
      </w:pBdr>
      <w:tabs>
        <w:tab w:val="center" w:pos="4153"/>
        <w:tab w:val="right" w:pos="8306"/>
      </w:tabs>
      <w:snapToGrid w:val="0"/>
      <w:jc w:val="center"/>
    </w:pPr>
    <w:rPr>
      <w:sz w:val="18"/>
      <w:szCs w:val="18"/>
    </w:rPr>
  </w:style>
  <w:style w:type="paragraph" w:styleId="37">
    <w:name w:val="Signature"/>
    <w:basedOn w:val="1"/>
    <w:link w:val="153"/>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38">
    <w:name w:val="toc 1"/>
    <w:basedOn w:val="1"/>
    <w:next w:val="1"/>
    <w:autoRedefine/>
    <w:qFormat/>
    <w:uiPriority w:val="0"/>
  </w:style>
  <w:style w:type="paragraph" w:styleId="39">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0">
    <w:name w:val="Subtitle"/>
    <w:basedOn w:val="1"/>
    <w:next w:val="1"/>
    <w:link w:val="133"/>
    <w:autoRedefine/>
    <w:qFormat/>
    <w:uiPriority w:val="0"/>
    <w:pPr>
      <w:spacing w:before="240" w:after="60" w:line="312" w:lineRule="auto"/>
      <w:jc w:val="center"/>
      <w:outlineLvl w:val="1"/>
    </w:pPr>
    <w:rPr>
      <w:rFonts w:ascii="Cambria" w:hAnsi="Cambria"/>
      <w:b/>
      <w:bCs/>
      <w:kern w:val="28"/>
      <w:sz w:val="32"/>
      <w:szCs w:val="32"/>
    </w:rPr>
  </w:style>
  <w:style w:type="paragraph" w:styleId="41">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2">
    <w:name w:val="List"/>
    <w:basedOn w:val="1"/>
    <w:autoRedefine/>
    <w:qFormat/>
    <w:uiPriority w:val="0"/>
    <w:pPr>
      <w:ind w:left="200" w:hanging="200" w:hangingChars="200"/>
    </w:pPr>
  </w:style>
  <w:style w:type="paragraph" w:styleId="43">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4">
    <w:name w:val="Body Text Indent 3"/>
    <w:basedOn w:val="1"/>
    <w:link w:val="145"/>
    <w:autoRedefine/>
    <w:qFormat/>
    <w:uiPriority w:val="0"/>
    <w:pPr>
      <w:spacing w:line="500" w:lineRule="exact"/>
      <w:ind w:left="511" w:hanging="511" w:hangingChars="213"/>
    </w:pPr>
    <w:rPr>
      <w:sz w:val="24"/>
    </w:rPr>
  </w:style>
  <w:style w:type="paragraph" w:styleId="45">
    <w:name w:val="toc 2"/>
    <w:basedOn w:val="1"/>
    <w:next w:val="1"/>
    <w:autoRedefine/>
    <w:qFormat/>
    <w:uiPriority w:val="0"/>
    <w:pPr>
      <w:ind w:left="420" w:leftChars="200"/>
    </w:pPr>
  </w:style>
  <w:style w:type="paragraph" w:styleId="46">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7">
    <w:name w:val="Body Text 2"/>
    <w:basedOn w:val="1"/>
    <w:link w:val="197"/>
    <w:autoRedefine/>
    <w:qFormat/>
    <w:uiPriority w:val="0"/>
    <w:pPr>
      <w:autoSpaceDE w:val="0"/>
      <w:autoSpaceDN w:val="0"/>
      <w:adjustRightInd w:val="0"/>
      <w:spacing w:after="120" w:line="480" w:lineRule="auto"/>
      <w:jc w:val="left"/>
    </w:pPr>
  </w:style>
  <w:style w:type="paragraph" w:styleId="4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9">
    <w:name w:val="Title"/>
    <w:basedOn w:val="1"/>
    <w:next w:val="1"/>
    <w:link w:val="110"/>
    <w:autoRedefine/>
    <w:qFormat/>
    <w:uiPriority w:val="0"/>
    <w:pPr>
      <w:spacing w:before="240" w:after="60"/>
      <w:jc w:val="center"/>
      <w:outlineLvl w:val="0"/>
    </w:pPr>
    <w:rPr>
      <w:rFonts w:ascii="Cambria" w:hAnsi="Cambria"/>
      <w:b/>
      <w:bCs/>
      <w:sz w:val="32"/>
      <w:szCs w:val="32"/>
    </w:rPr>
  </w:style>
  <w:style w:type="paragraph" w:styleId="50">
    <w:name w:val="annotation subject"/>
    <w:basedOn w:val="18"/>
    <w:next w:val="18"/>
    <w:link w:val="95"/>
    <w:autoRedefine/>
    <w:qFormat/>
    <w:uiPriority w:val="0"/>
    <w:rPr>
      <w:b/>
      <w:bCs/>
    </w:rPr>
  </w:style>
  <w:style w:type="paragraph" w:styleId="51">
    <w:name w:val="Body Text First Indent"/>
    <w:basedOn w:val="21"/>
    <w:next w:val="43"/>
    <w:link w:val="195"/>
    <w:autoRedefine/>
    <w:qFormat/>
    <w:uiPriority w:val="0"/>
    <w:pPr>
      <w:autoSpaceDE w:val="0"/>
      <w:autoSpaceDN w:val="0"/>
      <w:adjustRightInd w:val="0"/>
      <w:ind w:firstLine="420" w:firstLineChars="100"/>
      <w:jc w:val="left"/>
    </w:pPr>
    <w:rPr>
      <w:rFonts w:ascii="Times New Roman"/>
      <w:b w:val="0"/>
      <w:kern w:val="0"/>
      <w:sz w:val="20"/>
      <w:szCs w:val="20"/>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autoRedefine/>
    <w:qFormat/>
    <w:uiPriority w:val="0"/>
    <w:rPr>
      <w:rFonts w:ascii="仿宋_GB2312" w:eastAsia="仿宋_GB2312"/>
      <w:bCs/>
      <w:sz w:val="32"/>
      <w:szCs w:val="32"/>
    </w:rPr>
  </w:style>
  <w:style w:type="character" w:styleId="56">
    <w:name w:val="page number"/>
    <w:basedOn w:val="54"/>
    <w:autoRedefine/>
    <w:qFormat/>
    <w:uiPriority w:val="0"/>
  </w:style>
  <w:style w:type="character" w:styleId="57">
    <w:name w:val="FollowedHyperlink"/>
    <w:autoRedefine/>
    <w:qFormat/>
    <w:uiPriority w:val="0"/>
    <w:rPr>
      <w:rFonts w:ascii="仿宋_GB2312" w:eastAsia="仿宋_GB2312"/>
      <w:b/>
      <w:color w:val="800080"/>
      <w:sz w:val="32"/>
      <w:szCs w:val="32"/>
      <w:u w:val="none"/>
    </w:rPr>
  </w:style>
  <w:style w:type="character" w:styleId="58">
    <w:name w:val="Emphasis"/>
    <w:autoRedefine/>
    <w:qFormat/>
    <w:uiPriority w:val="0"/>
    <w:rPr>
      <w:i/>
      <w:iCs/>
    </w:rPr>
  </w:style>
  <w:style w:type="character" w:styleId="59">
    <w:name w:val="line number"/>
    <w:basedOn w:val="54"/>
    <w:autoRedefine/>
    <w:qFormat/>
    <w:uiPriority w:val="0"/>
  </w:style>
  <w:style w:type="character" w:styleId="60">
    <w:name w:val="Hyperlink"/>
    <w:basedOn w:val="54"/>
    <w:autoRedefine/>
    <w:qFormat/>
    <w:uiPriority w:val="0"/>
    <w:rPr>
      <w:rFonts w:ascii="仿宋_GB2312" w:eastAsia="仿宋_GB2312"/>
      <w:b/>
      <w:color w:val="0000FF"/>
      <w:sz w:val="32"/>
      <w:szCs w:val="32"/>
      <w:u w:val="none"/>
    </w:rPr>
  </w:style>
  <w:style w:type="character" w:styleId="61">
    <w:name w:val="annotation reference"/>
    <w:autoRedefine/>
    <w:qFormat/>
    <w:uiPriority w:val="0"/>
    <w:rPr>
      <w:sz w:val="21"/>
      <w:szCs w:val="21"/>
    </w:rPr>
  </w:style>
  <w:style w:type="character" w:styleId="62">
    <w:name w:val="HTML Cite"/>
    <w:autoRedefine/>
    <w:qFormat/>
    <w:uiPriority w:val="0"/>
    <w:rPr>
      <w:color w:val="008000"/>
    </w:rPr>
  </w:style>
  <w:style w:type="paragraph" w:customStyle="1" w:styleId="63">
    <w:name w:val="Char3 Char Char Char"/>
    <w:basedOn w:val="1"/>
    <w:autoRedefine/>
    <w:qFormat/>
    <w:uiPriority w:val="0"/>
  </w:style>
  <w:style w:type="character" w:customStyle="1" w:styleId="64">
    <w:name w:val="不明显参考1"/>
    <w:autoRedefine/>
    <w:qFormat/>
    <w:uiPriority w:val="0"/>
    <w:rPr>
      <w:smallCaps/>
      <w:color w:val="C0504D"/>
      <w:u w:val="single"/>
    </w:rPr>
  </w:style>
  <w:style w:type="character" w:customStyle="1" w:styleId="65">
    <w:name w:val="PI Char1"/>
    <w:autoRedefine/>
    <w:qFormat/>
    <w:uiPriority w:val="0"/>
    <w:rPr>
      <w:rFonts w:eastAsia="宋体"/>
      <w:kern w:val="2"/>
      <w:sz w:val="24"/>
      <w:szCs w:val="24"/>
      <w:lang w:val="en-US" w:eastAsia="zh-CN" w:bidi="ar-SA"/>
    </w:rPr>
  </w:style>
  <w:style w:type="character" w:customStyle="1" w:styleId="66">
    <w:name w:val="标题 2 Char"/>
    <w:link w:val="4"/>
    <w:autoRedefine/>
    <w:qFormat/>
    <w:uiPriority w:val="0"/>
    <w:rPr>
      <w:rFonts w:ascii="仿宋_GB2312" w:eastAsia="宋体"/>
      <w:b/>
      <w:kern w:val="2"/>
      <w:sz w:val="28"/>
      <w:szCs w:val="32"/>
      <w:lang w:val="en-US" w:eastAsia="zh-CN" w:bidi="ar-SA"/>
    </w:rPr>
  </w:style>
  <w:style w:type="character" w:customStyle="1" w:styleId="67">
    <w:name w:val="pt141"/>
    <w:autoRedefine/>
    <w:qFormat/>
    <w:uiPriority w:val="0"/>
    <w:rPr>
      <w:color w:val="330066"/>
      <w:spacing w:val="450"/>
      <w:sz w:val="22"/>
      <w:szCs w:val="22"/>
    </w:rPr>
  </w:style>
  <w:style w:type="character" w:customStyle="1" w:styleId="68">
    <w:name w:val="Char Char27"/>
    <w:autoRedefine/>
    <w:qFormat/>
    <w:uiPriority w:val="0"/>
    <w:rPr>
      <w:rFonts w:eastAsia="宋体"/>
      <w:kern w:val="2"/>
      <w:sz w:val="28"/>
      <w:lang w:val="en-US" w:eastAsia="zh-CN" w:bidi="ar-SA"/>
    </w:rPr>
  </w:style>
  <w:style w:type="character" w:customStyle="1" w:styleId="69">
    <w:name w:val="标题 7 Char"/>
    <w:link w:val="10"/>
    <w:autoRedefine/>
    <w:qFormat/>
    <w:uiPriority w:val="0"/>
    <w:rPr>
      <w:rFonts w:eastAsia="宋体"/>
      <w:b/>
      <w:kern w:val="2"/>
      <w:sz w:val="24"/>
      <w:lang w:val="en-US" w:eastAsia="zh-CN" w:bidi="ar-SA"/>
    </w:rPr>
  </w:style>
  <w:style w:type="character" w:customStyle="1" w:styleId="70">
    <w:name w:val="明显参考1"/>
    <w:autoRedefine/>
    <w:qFormat/>
    <w:uiPriority w:val="0"/>
    <w:rPr>
      <w:b/>
      <w:bCs/>
      <w:smallCaps/>
      <w:color w:val="C0504D"/>
      <w:spacing w:val="5"/>
      <w:u w:val="single"/>
    </w:rPr>
  </w:style>
  <w:style w:type="character" w:customStyle="1" w:styleId="71">
    <w:name w:val="书籍标题1"/>
    <w:autoRedefine/>
    <w:qFormat/>
    <w:uiPriority w:val="0"/>
    <w:rPr>
      <w:b/>
      <w:bCs/>
      <w:smallCaps/>
      <w:spacing w:val="5"/>
    </w:rPr>
  </w:style>
  <w:style w:type="character" w:customStyle="1" w:styleId="72">
    <w:name w:val="Char Char61"/>
    <w:autoRedefine/>
    <w:qFormat/>
    <w:uiPriority w:val="0"/>
    <w:rPr>
      <w:rFonts w:ascii="Times New Roman" w:hAnsi="Times New Roman" w:eastAsia="宋体" w:cs="Times New Roman"/>
      <w:szCs w:val="24"/>
    </w:rPr>
  </w:style>
  <w:style w:type="character" w:customStyle="1" w:styleId="73">
    <w:name w:val="Char Char24"/>
    <w:autoRedefine/>
    <w:qFormat/>
    <w:uiPriority w:val="0"/>
    <w:rPr>
      <w:rFonts w:eastAsia="宋体"/>
      <w:b/>
      <w:kern w:val="2"/>
      <w:sz w:val="28"/>
      <w:lang w:val="en-US" w:eastAsia="zh-CN" w:bidi="ar-SA"/>
    </w:rPr>
  </w:style>
  <w:style w:type="character" w:customStyle="1" w:styleId="74">
    <w:name w:val="Style4"/>
    <w:autoRedefine/>
    <w:qFormat/>
    <w:uiPriority w:val="0"/>
    <w:rPr>
      <w:rFonts w:ascii="Calibri" w:hAnsi="宋体" w:eastAsia="宋体" w:cs="Times New Roman"/>
      <w:szCs w:val="22"/>
      <w:lang w:eastAsia="zh-CN"/>
    </w:rPr>
  </w:style>
  <w:style w:type="character" w:customStyle="1" w:styleId="75">
    <w:name w:val="Style1"/>
    <w:autoRedefine/>
    <w:qFormat/>
    <w:uiPriority w:val="0"/>
    <w:rPr>
      <w:rFonts w:ascii="Calibri" w:hAnsi="宋体" w:eastAsia="宋体" w:cs="Times New Roman"/>
      <w:sz w:val="22"/>
      <w:szCs w:val="22"/>
      <w:lang w:eastAsia="zh-CN"/>
    </w:rPr>
  </w:style>
  <w:style w:type="character" w:customStyle="1" w:styleId="76">
    <w:name w:val="heading 1 Char1"/>
    <w:autoRedefine/>
    <w:qFormat/>
    <w:uiPriority w:val="0"/>
    <w:rPr>
      <w:rFonts w:eastAsia="宋体"/>
      <w:b/>
      <w:bCs/>
      <w:kern w:val="44"/>
      <w:sz w:val="44"/>
      <w:szCs w:val="44"/>
      <w:lang w:val="en-US" w:eastAsia="zh-CN" w:bidi="ar-SA"/>
    </w:rPr>
  </w:style>
  <w:style w:type="character" w:customStyle="1" w:styleId="77">
    <w:name w:val="Style5"/>
    <w:autoRedefine/>
    <w:qFormat/>
    <w:uiPriority w:val="0"/>
    <w:rPr>
      <w:rFonts w:ascii="Calibri" w:hAnsi="宋体" w:eastAsia="宋体" w:cs="Times New Roman"/>
      <w:sz w:val="22"/>
      <w:szCs w:val="22"/>
      <w:lang w:eastAsia="zh-CN"/>
    </w:rPr>
  </w:style>
  <w:style w:type="character" w:customStyle="1" w:styleId="78">
    <w:name w:val="称呼 Char"/>
    <w:link w:val="19"/>
    <w:autoRedefine/>
    <w:qFormat/>
    <w:uiPriority w:val="0"/>
    <w:rPr>
      <w:rFonts w:ascii="仿宋_GB2312" w:eastAsia="仿宋_GB2312"/>
      <w:b/>
      <w:sz w:val="24"/>
      <w:szCs w:val="32"/>
    </w:rPr>
  </w:style>
  <w:style w:type="character" w:customStyle="1" w:styleId="79">
    <w:name w:val="Ò³Ã¼ Char Char2"/>
    <w:autoRedefine/>
    <w:qFormat/>
    <w:uiPriority w:val="0"/>
    <w:rPr>
      <w:kern w:val="2"/>
      <w:sz w:val="18"/>
      <w:szCs w:val="18"/>
    </w:rPr>
  </w:style>
  <w:style w:type="character" w:customStyle="1" w:styleId="80">
    <w:name w:val="明显强调1"/>
    <w:autoRedefine/>
    <w:qFormat/>
    <w:uiPriority w:val="0"/>
    <w:rPr>
      <w:b/>
      <w:bCs/>
      <w:i/>
      <w:iCs/>
      <w:color w:val="4F81BD"/>
    </w:rPr>
  </w:style>
  <w:style w:type="character" w:customStyle="1" w:styleId="81">
    <w:name w:val="样式 标题 3 + 黑体 小四 Char Char"/>
    <w:link w:val="82"/>
    <w:autoRedefine/>
    <w:qFormat/>
    <w:uiPriority w:val="0"/>
    <w:rPr>
      <w:rFonts w:ascii="黑体" w:hAnsi="Arial" w:eastAsia="黑体"/>
      <w:bCs/>
      <w:sz w:val="24"/>
      <w:szCs w:val="24"/>
      <w:lang w:bidi="ar-SA"/>
    </w:rPr>
  </w:style>
  <w:style w:type="paragraph" w:customStyle="1" w:styleId="82">
    <w:name w:val="样式 标题 3 + 黑体 小四"/>
    <w:basedOn w:val="5"/>
    <w:link w:val="81"/>
    <w:autoRedefine/>
    <w:qFormat/>
    <w:uiPriority w:val="0"/>
    <w:pPr>
      <w:spacing w:before="260" w:after="260" w:line="413" w:lineRule="auto"/>
    </w:pPr>
    <w:rPr>
      <w:rFonts w:ascii="黑体" w:hAnsi="Arial"/>
      <w:b w:val="0"/>
      <w:bCs/>
      <w:kern w:val="0"/>
      <w:sz w:val="24"/>
      <w:szCs w:val="24"/>
    </w:rPr>
  </w:style>
  <w:style w:type="character" w:customStyle="1" w:styleId="83">
    <w:name w:val="heading 7 Char1"/>
    <w:autoRedefine/>
    <w:qFormat/>
    <w:uiPriority w:val="0"/>
    <w:rPr>
      <w:rFonts w:ascii="Arial" w:hAnsi="Arial" w:eastAsia="黑体"/>
      <w:sz w:val="21"/>
      <w:szCs w:val="21"/>
      <w:lang w:val="en-US" w:eastAsia="zh-CN" w:bidi="ar-SA"/>
    </w:rPr>
  </w:style>
  <w:style w:type="character" w:customStyle="1" w:styleId="84">
    <w:name w:val="Char Char1"/>
    <w:autoRedefine/>
    <w:qFormat/>
    <w:uiPriority w:val="0"/>
    <w:rPr>
      <w:rFonts w:eastAsia="宋体"/>
      <w:sz w:val="21"/>
      <w:lang w:val="en-US" w:eastAsia="zh-CN" w:bidi="ar-SA"/>
    </w:rPr>
  </w:style>
  <w:style w:type="character" w:customStyle="1" w:styleId="85">
    <w:name w:val="Char Char12"/>
    <w:autoRedefine/>
    <w:qFormat/>
    <w:uiPriority w:val="0"/>
    <w:rPr>
      <w:rFonts w:eastAsia="宋体"/>
      <w:kern w:val="2"/>
      <w:sz w:val="21"/>
      <w:szCs w:val="24"/>
      <w:lang w:val="en-US" w:eastAsia="zh-CN" w:bidi="ar-SA"/>
    </w:rPr>
  </w:style>
  <w:style w:type="character" w:customStyle="1" w:styleId="86">
    <w:name w:val="Char Char18"/>
    <w:autoRedefine/>
    <w:qFormat/>
    <w:uiPriority w:val="0"/>
    <w:rPr>
      <w:b/>
      <w:bCs/>
      <w:kern w:val="2"/>
      <w:sz w:val="32"/>
      <w:szCs w:val="32"/>
    </w:rPr>
  </w:style>
  <w:style w:type="character" w:customStyle="1" w:styleId="87">
    <w:name w:val="Char Char4"/>
    <w:autoRedefine/>
    <w:qFormat/>
    <w:uiPriority w:val="0"/>
    <w:rPr>
      <w:rFonts w:ascii="Cambria" w:hAnsi="Cambria" w:eastAsia="宋体"/>
      <w:b/>
      <w:bCs/>
      <w:sz w:val="32"/>
      <w:szCs w:val="32"/>
      <w:lang w:bidi="ar-SA"/>
    </w:rPr>
  </w:style>
  <w:style w:type="character" w:customStyle="1" w:styleId="88">
    <w:name w:val="PI Char"/>
    <w:autoRedefine/>
    <w:qFormat/>
    <w:uiPriority w:val="0"/>
    <w:rPr>
      <w:rFonts w:ascii="宋体" w:hAnsi="宋体"/>
      <w:sz w:val="24"/>
    </w:rPr>
  </w:style>
  <w:style w:type="character" w:customStyle="1" w:styleId="89">
    <w:name w:val="明显参考2"/>
    <w:autoRedefine/>
    <w:qFormat/>
    <w:uiPriority w:val="0"/>
    <w:rPr>
      <w:b/>
      <w:bCs/>
      <w:smallCaps/>
      <w:color w:val="C0504D"/>
      <w:spacing w:val="5"/>
      <w:u w:val="single"/>
    </w:rPr>
  </w:style>
  <w:style w:type="character" w:customStyle="1" w:styleId="90">
    <w:name w:val="批注文字 Char"/>
    <w:link w:val="18"/>
    <w:autoRedefine/>
    <w:qFormat/>
    <w:uiPriority w:val="0"/>
    <w:rPr>
      <w:rFonts w:eastAsia="宋体"/>
      <w:kern w:val="2"/>
      <w:sz w:val="21"/>
      <w:szCs w:val="24"/>
      <w:lang w:val="en-US" w:eastAsia="zh-CN" w:bidi="ar-SA"/>
    </w:rPr>
  </w:style>
  <w:style w:type="character" w:customStyle="1" w:styleId="91">
    <w:name w:val="Style2"/>
    <w:autoRedefine/>
    <w:qFormat/>
    <w:uiPriority w:val="0"/>
    <w:rPr>
      <w:rFonts w:ascii="Calibri" w:hAnsi="宋体" w:eastAsia="宋体" w:cs="Times New Roman"/>
      <w:sz w:val="22"/>
      <w:szCs w:val="22"/>
      <w:lang w:eastAsia="zh-CN"/>
    </w:rPr>
  </w:style>
  <w:style w:type="character" w:customStyle="1" w:styleId="92">
    <w:name w:val="Footer-Even Char1"/>
    <w:autoRedefine/>
    <w:qFormat/>
    <w:uiPriority w:val="0"/>
    <w:rPr>
      <w:rFonts w:eastAsia="宋体"/>
      <w:kern w:val="2"/>
      <w:sz w:val="18"/>
      <w:szCs w:val="18"/>
      <w:lang w:val="en-US" w:eastAsia="zh-CN" w:bidi="ar-SA"/>
    </w:rPr>
  </w:style>
  <w:style w:type="character" w:customStyle="1" w:styleId="93">
    <w:name w:val="heading 4 Char1"/>
    <w:autoRedefine/>
    <w:qFormat/>
    <w:uiPriority w:val="0"/>
    <w:rPr>
      <w:rFonts w:ascii="Cambria" w:hAnsi="Cambria" w:eastAsia="宋体"/>
      <w:b/>
      <w:bCs/>
      <w:kern w:val="2"/>
      <w:sz w:val="28"/>
      <w:szCs w:val="28"/>
      <w:lang w:val="en-US" w:eastAsia="zh-CN" w:bidi="ar-SA"/>
    </w:rPr>
  </w:style>
  <w:style w:type="character" w:customStyle="1" w:styleId="94">
    <w:name w:val="正文文本 3 Char"/>
    <w:basedOn w:val="54"/>
    <w:link w:val="20"/>
    <w:autoRedefine/>
    <w:qFormat/>
    <w:uiPriority w:val="0"/>
  </w:style>
  <w:style w:type="character" w:customStyle="1" w:styleId="95">
    <w:name w:val="批注主题 Char"/>
    <w:link w:val="50"/>
    <w:autoRedefine/>
    <w:qFormat/>
    <w:uiPriority w:val="0"/>
    <w:rPr>
      <w:rFonts w:eastAsia="宋体"/>
      <w:b/>
      <w:bCs/>
      <w:kern w:val="2"/>
      <w:sz w:val="21"/>
      <w:szCs w:val="24"/>
      <w:lang w:val="en-US" w:eastAsia="zh-CN" w:bidi="ar-SA"/>
    </w:rPr>
  </w:style>
  <w:style w:type="character" w:customStyle="1" w:styleId="96">
    <w:name w:val="不明显参考11"/>
    <w:autoRedefine/>
    <w:qFormat/>
    <w:uiPriority w:val="0"/>
    <w:rPr>
      <w:smallCaps/>
      <w:color w:val="C0504D"/>
      <w:u w:val="single"/>
    </w:rPr>
  </w:style>
  <w:style w:type="character" w:customStyle="1" w:styleId="97">
    <w:name w:val="Plain Text Char"/>
    <w:autoRedefine/>
    <w:qFormat/>
    <w:uiPriority w:val="0"/>
    <w:rPr>
      <w:rFonts w:ascii="宋体" w:hAnsi="Courier New" w:eastAsia="宋体" w:cs="Times New Roman"/>
      <w:sz w:val="21"/>
      <w:szCs w:val="21"/>
    </w:rPr>
  </w:style>
  <w:style w:type="character" w:customStyle="1" w:styleId="98">
    <w:name w:val="Char Char111"/>
    <w:autoRedefine/>
    <w:qFormat/>
    <w:uiPriority w:val="0"/>
    <w:rPr>
      <w:rFonts w:ascii="Times New Roman" w:hAnsi="Times New Roman" w:eastAsia="宋体" w:cs="Times New Roman"/>
      <w:sz w:val="18"/>
      <w:szCs w:val="18"/>
    </w:rPr>
  </w:style>
  <w:style w:type="character" w:customStyle="1" w:styleId="99">
    <w:name w:val="无间距字符"/>
    <w:link w:val="100"/>
    <w:autoRedefine/>
    <w:qFormat/>
    <w:uiPriority w:val="0"/>
    <w:rPr>
      <w:rFonts w:eastAsia="Times New Roman"/>
      <w:sz w:val="22"/>
      <w:szCs w:val="22"/>
      <w:lang w:val="en-US" w:eastAsia="zh-CN" w:bidi="ar-SA"/>
    </w:rPr>
  </w:style>
  <w:style w:type="paragraph" w:customStyle="1" w:styleId="100">
    <w:name w:val="无间距"/>
    <w:link w:val="99"/>
    <w:autoRedefine/>
    <w:qFormat/>
    <w:uiPriority w:val="0"/>
    <w:rPr>
      <w:rFonts w:ascii="Times New Roman" w:hAnsi="Times New Roman" w:eastAsia="Times New Roman" w:cs="Times New Roman"/>
      <w:sz w:val="22"/>
      <w:szCs w:val="22"/>
      <w:lang w:val="en-US" w:eastAsia="zh-CN" w:bidi="ar-SA"/>
    </w:rPr>
  </w:style>
  <w:style w:type="character" w:customStyle="1" w:styleId="101">
    <w:name w:val="heading 5 Char2"/>
    <w:autoRedefine/>
    <w:qFormat/>
    <w:uiPriority w:val="0"/>
    <w:rPr>
      <w:b/>
      <w:bCs/>
      <w:kern w:val="2"/>
      <w:sz w:val="28"/>
      <w:szCs w:val="28"/>
    </w:rPr>
  </w:style>
  <w:style w:type="character" w:customStyle="1" w:styleId="102">
    <w:name w:val="样式2 Char Char"/>
    <w:link w:val="103"/>
    <w:autoRedefine/>
    <w:qFormat/>
    <w:uiPriority w:val="0"/>
    <w:rPr>
      <w:rFonts w:ascii="宋体" w:hAnsi="宋体" w:eastAsia="宋体"/>
      <w:bCs/>
      <w:kern w:val="2"/>
      <w:sz w:val="28"/>
      <w:szCs w:val="28"/>
      <w:lang w:val="en-US" w:eastAsia="zh-CN" w:bidi="ar-SA"/>
    </w:rPr>
  </w:style>
  <w:style w:type="paragraph" w:customStyle="1" w:styleId="103">
    <w:name w:val="样式2"/>
    <w:basedOn w:val="4"/>
    <w:link w:val="102"/>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4">
    <w:name w:val="正文缩进 Char"/>
    <w:link w:val="9"/>
    <w:autoRedefine/>
    <w:qFormat/>
    <w:uiPriority w:val="0"/>
    <w:rPr>
      <w:rFonts w:ascii="仿宋_GB2312" w:eastAsia="宋体"/>
      <w:b/>
      <w:sz w:val="21"/>
      <w:szCs w:val="32"/>
      <w:lang w:val="en-US" w:eastAsia="zh-CN" w:bidi="ar-SA"/>
    </w:rPr>
  </w:style>
  <w:style w:type="character" w:customStyle="1" w:styleId="105">
    <w:name w:val="heading 2 Char1"/>
    <w:autoRedefine/>
    <w:qFormat/>
    <w:uiPriority w:val="0"/>
    <w:rPr>
      <w:rFonts w:ascii="Cambria" w:hAnsi="Cambria" w:eastAsia="宋体"/>
      <w:b/>
      <w:bCs/>
      <w:kern w:val="2"/>
      <w:sz w:val="32"/>
      <w:szCs w:val="32"/>
      <w:lang w:val="en-US" w:eastAsia="zh-CN" w:bidi="ar-SA"/>
    </w:rPr>
  </w:style>
  <w:style w:type="character" w:customStyle="1" w:styleId="106">
    <w:name w:val="heading 3 Char1"/>
    <w:autoRedefine/>
    <w:qFormat/>
    <w:uiPriority w:val="0"/>
    <w:rPr>
      <w:rFonts w:eastAsia="宋体"/>
      <w:b/>
      <w:bCs/>
      <w:kern w:val="2"/>
      <w:sz w:val="32"/>
      <w:szCs w:val="32"/>
      <w:lang w:val="en-US" w:eastAsia="zh-CN" w:bidi="ar-SA"/>
    </w:rPr>
  </w:style>
  <w:style w:type="character" w:customStyle="1" w:styleId="107">
    <w:name w:val="Char Char15"/>
    <w:autoRedefine/>
    <w:qFormat/>
    <w:uiPriority w:val="0"/>
    <w:rPr>
      <w:rFonts w:ascii="Arial" w:hAnsi="Arial" w:eastAsia="黑体"/>
      <w:sz w:val="24"/>
      <w:szCs w:val="24"/>
    </w:rPr>
  </w:style>
  <w:style w:type="character" w:customStyle="1" w:styleId="108">
    <w:name w:val="heading 1 Char"/>
    <w:autoRedefine/>
    <w:qFormat/>
    <w:uiPriority w:val="0"/>
    <w:rPr>
      <w:rFonts w:ascii="Arial" w:hAnsi="Arial" w:eastAsia="黑体"/>
      <w:b/>
      <w:sz w:val="36"/>
      <w:szCs w:val="36"/>
    </w:rPr>
  </w:style>
  <w:style w:type="character" w:customStyle="1" w:styleId="109">
    <w:name w:val="ändrad Char"/>
    <w:autoRedefine/>
    <w:qFormat/>
    <w:uiPriority w:val="0"/>
    <w:rPr>
      <w:rFonts w:eastAsia="宋体"/>
      <w:kern w:val="2"/>
      <w:sz w:val="21"/>
      <w:szCs w:val="24"/>
      <w:lang w:val="en-US" w:eastAsia="zh-CN" w:bidi="ar-SA"/>
    </w:rPr>
  </w:style>
  <w:style w:type="character" w:customStyle="1" w:styleId="110">
    <w:name w:val="标题 Char"/>
    <w:link w:val="49"/>
    <w:autoRedefine/>
    <w:qFormat/>
    <w:uiPriority w:val="0"/>
    <w:rPr>
      <w:rFonts w:ascii="Cambria" w:hAnsi="Cambria" w:eastAsia="宋体"/>
      <w:b/>
      <w:bCs/>
      <w:kern w:val="2"/>
      <w:sz w:val="32"/>
      <w:szCs w:val="32"/>
      <w:lang w:val="en-US" w:eastAsia="zh-CN" w:bidi="ar-SA"/>
    </w:rPr>
  </w:style>
  <w:style w:type="character" w:customStyle="1" w:styleId="111">
    <w:name w:val="Char Char22"/>
    <w:autoRedefine/>
    <w:qFormat/>
    <w:uiPriority w:val="0"/>
    <w:rPr>
      <w:rFonts w:ascii="Arial" w:hAnsi="Arial" w:eastAsia="黑体"/>
      <w:b/>
      <w:bCs/>
      <w:kern w:val="44"/>
      <w:sz w:val="30"/>
      <w:szCs w:val="44"/>
      <w:lang w:val="en-US" w:eastAsia="zh-CN" w:bidi="ar-SA"/>
    </w:rPr>
  </w:style>
  <w:style w:type="character" w:customStyle="1" w:styleId="112">
    <w:name w:val="blue1"/>
    <w:basedOn w:val="54"/>
    <w:autoRedefine/>
    <w:qFormat/>
    <w:uiPriority w:val="0"/>
  </w:style>
  <w:style w:type="character" w:customStyle="1" w:styleId="113">
    <w:name w:val="样式 宋体"/>
    <w:autoRedefine/>
    <w:qFormat/>
    <w:uiPriority w:val="0"/>
    <w:rPr>
      <w:rFonts w:ascii="宋体" w:hAnsi="宋体" w:eastAsia="宋体"/>
      <w:sz w:val="24"/>
      <w:szCs w:val="24"/>
    </w:rPr>
  </w:style>
  <w:style w:type="character" w:customStyle="1" w:styleId="114">
    <w:name w:val="dandyren_title1"/>
    <w:autoRedefine/>
    <w:qFormat/>
    <w:uiPriority w:val="0"/>
    <w:rPr>
      <w:b/>
      <w:bCs/>
      <w:color w:val="FF6633"/>
      <w:sz w:val="18"/>
      <w:szCs w:val="18"/>
    </w:rPr>
  </w:style>
  <w:style w:type="character" w:customStyle="1" w:styleId="115">
    <w:name w:val="font21"/>
    <w:basedOn w:val="54"/>
    <w:autoRedefine/>
    <w:qFormat/>
    <w:uiPriority w:val="0"/>
    <w:rPr>
      <w:rFonts w:ascii="Wingdings 2" w:hAnsi="Wingdings 2" w:eastAsia="Wingdings 2" w:cs="Wingdings 2"/>
      <w:b/>
      <w:color w:val="000000"/>
      <w:sz w:val="20"/>
      <w:szCs w:val="20"/>
      <w:u w:val="none"/>
    </w:rPr>
  </w:style>
  <w:style w:type="character" w:customStyle="1" w:styleId="116">
    <w:name w:val="Ò³Ã¼ Char Char1"/>
    <w:autoRedefine/>
    <w:qFormat/>
    <w:uiPriority w:val="0"/>
    <w:rPr>
      <w:rFonts w:eastAsia="宋体"/>
      <w:kern w:val="2"/>
      <w:sz w:val="18"/>
      <w:szCs w:val="18"/>
      <w:lang w:val="en-US" w:eastAsia="zh-CN" w:bidi="ar-SA"/>
    </w:rPr>
  </w:style>
  <w:style w:type="character" w:customStyle="1" w:styleId="117">
    <w:name w:val="宏文本 Char"/>
    <w:link w:val="3"/>
    <w:autoRedefine/>
    <w:qFormat/>
    <w:uiPriority w:val="0"/>
    <w:rPr>
      <w:rFonts w:ascii="Courier New" w:hAnsi="Courier New" w:eastAsia="Times New Roman"/>
      <w:kern w:val="2"/>
      <w:sz w:val="24"/>
      <w:szCs w:val="24"/>
      <w:lang w:val="en-US" w:eastAsia="zh-CN" w:bidi="ar-SA"/>
    </w:rPr>
  </w:style>
  <w:style w:type="character" w:customStyle="1" w:styleId="118">
    <w:name w:val="Footer-Even Char"/>
    <w:autoRedefine/>
    <w:qFormat/>
    <w:uiPriority w:val="0"/>
    <w:rPr>
      <w:sz w:val="18"/>
      <w:szCs w:val="18"/>
    </w:rPr>
  </w:style>
  <w:style w:type="character" w:customStyle="1" w:styleId="119">
    <w:name w:val="页脚 Char"/>
    <w:link w:val="35"/>
    <w:autoRedefine/>
    <w:qFormat/>
    <w:uiPriority w:val="0"/>
    <w:rPr>
      <w:rFonts w:eastAsia="宋体"/>
      <w:kern w:val="2"/>
      <w:sz w:val="18"/>
      <w:szCs w:val="18"/>
      <w:lang w:val="en-US" w:eastAsia="zh-CN" w:bidi="ar-SA"/>
    </w:rPr>
  </w:style>
  <w:style w:type="character" w:customStyle="1" w:styleId="120">
    <w:name w:val="style111"/>
    <w:autoRedefine/>
    <w:qFormat/>
    <w:uiPriority w:val="0"/>
    <w:rPr>
      <w:sz w:val="27"/>
      <w:szCs w:val="27"/>
    </w:rPr>
  </w:style>
  <w:style w:type="character" w:customStyle="1" w:styleId="121">
    <w:name w:val="PI Char2"/>
    <w:autoRedefine/>
    <w:qFormat/>
    <w:uiPriority w:val="0"/>
    <w:rPr>
      <w:kern w:val="2"/>
      <w:sz w:val="24"/>
      <w:szCs w:val="24"/>
    </w:rPr>
  </w:style>
  <w:style w:type="character" w:customStyle="1" w:styleId="122">
    <w:name w:val="gray6"/>
    <w:basedOn w:val="54"/>
    <w:autoRedefine/>
    <w:qFormat/>
    <w:uiPriority w:val="0"/>
  </w:style>
  <w:style w:type="character" w:customStyle="1" w:styleId="123">
    <w:name w:val="Char Char Char1"/>
    <w:autoRedefine/>
    <w:qFormat/>
    <w:uiPriority w:val="0"/>
    <w:rPr>
      <w:rFonts w:ascii="宋体" w:hAnsi="Courier New"/>
      <w:sz w:val="21"/>
      <w:szCs w:val="21"/>
    </w:rPr>
  </w:style>
  <w:style w:type="character" w:customStyle="1" w:styleId="124">
    <w:name w:val="Char Char121"/>
    <w:autoRedefine/>
    <w:qFormat/>
    <w:uiPriority w:val="0"/>
    <w:rPr>
      <w:rFonts w:eastAsia="宋体"/>
      <w:kern w:val="2"/>
      <w:sz w:val="21"/>
      <w:szCs w:val="24"/>
      <w:lang w:val="en-US" w:eastAsia="zh-CN" w:bidi="ar-SA"/>
    </w:rPr>
  </w:style>
  <w:style w:type="character" w:customStyle="1" w:styleId="125">
    <w:name w:val="Char Char Char Char Char Char Char Char Char"/>
    <w:autoRedefine/>
    <w:qFormat/>
    <w:uiPriority w:val="0"/>
    <w:rPr>
      <w:rFonts w:ascii="宋体" w:hAnsi="Courier New" w:eastAsia="宋体"/>
      <w:sz w:val="21"/>
      <w:szCs w:val="21"/>
      <w:lang w:val="en-US" w:eastAsia="zh-CN" w:bidi="ar-SA"/>
    </w:rPr>
  </w:style>
  <w:style w:type="character" w:customStyle="1" w:styleId="126">
    <w:name w:val="heading 4 Char2"/>
    <w:autoRedefine/>
    <w:qFormat/>
    <w:uiPriority w:val="0"/>
    <w:rPr>
      <w:rFonts w:ascii="Cambria" w:hAnsi="Cambria"/>
      <w:b/>
      <w:bCs/>
      <w:kern w:val="2"/>
      <w:sz w:val="28"/>
      <w:szCs w:val="28"/>
    </w:rPr>
  </w:style>
  <w:style w:type="character" w:customStyle="1" w:styleId="127">
    <w:name w:val="heading 3 Char"/>
    <w:autoRedefine/>
    <w:qFormat/>
    <w:uiPriority w:val="0"/>
    <w:rPr>
      <w:rFonts w:ascii="Arial" w:hAnsi="Arial" w:eastAsia="黑体"/>
      <w:sz w:val="28"/>
      <w:szCs w:val="24"/>
    </w:rPr>
  </w:style>
  <w:style w:type="character" w:customStyle="1" w:styleId="128">
    <w:name w:val="标题 1 Char"/>
    <w:link w:val="2"/>
    <w:autoRedefine/>
    <w:qFormat/>
    <w:uiPriority w:val="0"/>
    <w:rPr>
      <w:rFonts w:eastAsia="黑体"/>
      <w:b/>
      <w:kern w:val="2"/>
      <w:sz w:val="32"/>
      <w:lang w:val="en-US" w:eastAsia="zh-CN" w:bidi="ar-SA"/>
    </w:rPr>
  </w:style>
  <w:style w:type="character" w:customStyle="1" w:styleId="129">
    <w:name w:val="Char Char16"/>
    <w:autoRedefine/>
    <w:qFormat/>
    <w:uiPriority w:val="0"/>
    <w:rPr>
      <w:b/>
      <w:bCs/>
      <w:kern w:val="2"/>
      <w:sz w:val="28"/>
      <w:szCs w:val="28"/>
    </w:rPr>
  </w:style>
  <w:style w:type="character" w:customStyle="1" w:styleId="130">
    <w:name w:val="文档结构图 Char"/>
    <w:link w:val="17"/>
    <w:autoRedefine/>
    <w:qFormat/>
    <w:uiPriority w:val="0"/>
    <w:rPr>
      <w:rFonts w:eastAsia="宋体"/>
      <w:kern w:val="2"/>
      <w:sz w:val="21"/>
      <w:szCs w:val="24"/>
      <w:lang w:val="en-US" w:eastAsia="zh-CN" w:bidi="ar-SA"/>
    </w:rPr>
  </w:style>
  <w:style w:type="character" w:customStyle="1" w:styleId="131">
    <w:name w:val="标题 5 Char"/>
    <w:link w:val="7"/>
    <w:autoRedefine/>
    <w:qFormat/>
    <w:uiPriority w:val="0"/>
    <w:rPr>
      <w:rFonts w:eastAsia="宋体"/>
      <w:b/>
      <w:bCs/>
      <w:sz w:val="28"/>
      <w:szCs w:val="28"/>
      <w:lang w:bidi="ar-SA"/>
    </w:rPr>
  </w:style>
  <w:style w:type="character" w:customStyle="1" w:styleId="132">
    <w:name w:val="日期 Char"/>
    <w:link w:val="32"/>
    <w:autoRedefine/>
    <w:qFormat/>
    <w:uiPriority w:val="0"/>
    <w:rPr>
      <w:rFonts w:eastAsia="宋体"/>
      <w:kern w:val="2"/>
      <w:sz w:val="21"/>
      <w:szCs w:val="24"/>
      <w:lang w:val="en-US" w:eastAsia="zh-CN" w:bidi="ar-SA"/>
    </w:rPr>
  </w:style>
  <w:style w:type="character" w:customStyle="1" w:styleId="133">
    <w:name w:val="副标题 Char"/>
    <w:link w:val="40"/>
    <w:autoRedefine/>
    <w:qFormat/>
    <w:uiPriority w:val="0"/>
    <w:rPr>
      <w:rFonts w:ascii="Cambria" w:hAnsi="Cambria" w:eastAsia="宋体"/>
      <w:b/>
      <w:bCs/>
      <w:kern w:val="28"/>
      <w:sz w:val="32"/>
      <w:szCs w:val="32"/>
      <w:lang w:val="en-US" w:eastAsia="zh-CN" w:bidi="ar-SA"/>
    </w:rPr>
  </w:style>
  <w:style w:type="character" w:customStyle="1" w:styleId="134">
    <w:name w:val="页眉 Char"/>
    <w:link w:val="36"/>
    <w:autoRedefine/>
    <w:qFormat/>
    <w:uiPriority w:val="0"/>
    <w:rPr>
      <w:rFonts w:eastAsia="宋体"/>
      <w:kern w:val="2"/>
      <w:sz w:val="18"/>
      <w:szCs w:val="18"/>
      <w:lang w:val="en-US" w:eastAsia="zh-CN" w:bidi="ar-SA"/>
    </w:rPr>
  </w:style>
  <w:style w:type="character" w:customStyle="1" w:styleId="135">
    <w:name w:val="style13"/>
    <w:basedOn w:val="54"/>
    <w:autoRedefine/>
    <w:qFormat/>
    <w:uiPriority w:val="0"/>
  </w:style>
  <w:style w:type="character" w:customStyle="1" w:styleId="136">
    <w:name w:val="textcolor1"/>
    <w:autoRedefine/>
    <w:qFormat/>
    <w:uiPriority w:val="0"/>
    <w:rPr>
      <w:rFonts w:ascii="仿宋_GB2312" w:eastAsia="仿宋_GB2312"/>
      <w:b/>
      <w:color w:val="FF6600"/>
      <w:sz w:val="32"/>
      <w:szCs w:val="32"/>
    </w:rPr>
  </w:style>
  <w:style w:type="character" w:customStyle="1" w:styleId="137">
    <w:name w:val="Table Text Char Char"/>
    <w:link w:val="138"/>
    <w:autoRedefine/>
    <w:qFormat/>
    <w:uiPriority w:val="0"/>
    <w:rPr>
      <w:sz w:val="21"/>
      <w:lang w:val="en-US" w:eastAsia="en-US" w:bidi="ar-SA"/>
    </w:rPr>
  </w:style>
  <w:style w:type="paragraph" w:customStyle="1" w:styleId="138">
    <w:name w:val="Table Text"/>
    <w:basedOn w:val="1"/>
    <w:link w:val="137"/>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39">
    <w:name w:val="Ò³Ã¼ Char Char"/>
    <w:autoRedefine/>
    <w:qFormat/>
    <w:uiPriority w:val="0"/>
    <w:rPr>
      <w:sz w:val="18"/>
      <w:szCs w:val="18"/>
    </w:rPr>
  </w:style>
  <w:style w:type="character" w:customStyle="1" w:styleId="140">
    <w:name w:val="heading 2 Char2"/>
    <w:autoRedefine/>
    <w:qFormat/>
    <w:uiPriority w:val="0"/>
    <w:rPr>
      <w:rFonts w:ascii="Cambria" w:hAnsi="Cambria"/>
      <w:b/>
      <w:bCs/>
      <w:kern w:val="2"/>
      <w:sz w:val="32"/>
      <w:szCs w:val="32"/>
    </w:rPr>
  </w:style>
  <w:style w:type="character" w:customStyle="1" w:styleId="141">
    <w:name w:val="书籍标题11"/>
    <w:autoRedefine/>
    <w:qFormat/>
    <w:uiPriority w:val="0"/>
    <w:rPr>
      <w:b/>
      <w:bCs/>
      <w:smallCaps/>
      <w:spacing w:val="5"/>
    </w:rPr>
  </w:style>
  <w:style w:type="character" w:customStyle="1" w:styleId="142">
    <w:name w:val="Char Char21"/>
    <w:autoRedefine/>
    <w:qFormat/>
    <w:uiPriority w:val="0"/>
    <w:rPr>
      <w:rFonts w:ascii="Times New Roman" w:hAnsi="Times New Roman" w:eastAsia="宋体" w:cs="Times New Roman"/>
      <w:b/>
      <w:bCs/>
      <w:kern w:val="44"/>
      <w:sz w:val="44"/>
      <w:szCs w:val="44"/>
    </w:rPr>
  </w:style>
  <w:style w:type="character" w:customStyle="1" w:styleId="143">
    <w:name w:val="正文文本缩进 Char"/>
    <w:link w:val="22"/>
    <w:autoRedefine/>
    <w:qFormat/>
    <w:uiPriority w:val="0"/>
    <w:rPr>
      <w:rFonts w:eastAsia="宋体"/>
      <w:kern w:val="2"/>
      <w:sz w:val="24"/>
      <w:szCs w:val="24"/>
      <w:lang w:val="en-US" w:eastAsia="zh-CN" w:bidi="ar-SA"/>
    </w:rPr>
  </w:style>
  <w:style w:type="character" w:customStyle="1" w:styleId="144">
    <w:name w:val="不明显强调1"/>
    <w:autoRedefine/>
    <w:qFormat/>
    <w:uiPriority w:val="0"/>
    <w:rPr>
      <w:i/>
      <w:iCs/>
      <w:color w:val="808080"/>
    </w:rPr>
  </w:style>
  <w:style w:type="character" w:customStyle="1" w:styleId="145">
    <w:name w:val="正文文本缩进 3 Char"/>
    <w:link w:val="44"/>
    <w:autoRedefine/>
    <w:qFormat/>
    <w:uiPriority w:val="0"/>
    <w:rPr>
      <w:rFonts w:eastAsia="宋体"/>
      <w:kern w:val="2"/>
      <w:sz w:val="24"/>
      <w:szCs w:val="24"/>
      <w:lang w:val="en-US" w:eastAsia="zh-CN" w:bidi="ar-SA"/>
    </w:rPr>
  </w:style>
  <w:style w:type="character" w:customStyle="1" w:styleId="146">
    <w:name w:val="heading 5 Char"/>
    <w:autoRedefine/>
    <w:qFormat/>
    <w:uiPriority w:val="0"/>
    <w:rPr>
      <w:rFonts w:ascii="Arial" w:hAnsi="Arial" w:eastAsia="黑体"/>
      <w:sz w:val="21"/>
      <w:szCs w:val="21"/>
    </w:rPr>
  </w:style>
  <w:style w:type="character" w:customStyle="1" w:styleId="147">
    <w:name w:val="Style3"/>
    <w:autoRedefine/>
    <w:qFormat/>
    <w:uiPriority w:val="0"/>
    <w:rPr>
      <w:rFonts w:ascii="Calibri" w:hAnsi="宋体" w:eastAsia="宋体" w:cs="Times New Roman"/>
      <w:szCs w:val="22"/>
      <w:lang w:eastAsia="zh-CN"/>
    </w:rPr>
  </w:style>
  <w:style w:type="character" w:customStyle="1" w:styleId="148">
    <w:name w:val="标题 4 Char"/>
    <w:link w:val="6"/>
    <w:autoRedefine/>
    <w:qFormat/>
    <w:uiPriority w:val="0"/>
    <w:rPr>
      <w:rFonts w:eastAsia="宋体"/>
      <w:kern w:val="2"/>
      <w:sz w:val="28"/>
      <w:szCs w:val="28"/>
      <w:lang w:val="en-US" w:eastAsia="zh-CN" w:bidi="ar-SA"/>
    </w:rPr>
  </w:style>
  <w:style w:type="character" w:customStyle="1" w:styleId="149">
    <w:name w:val="Char Char241"/>
    <w:autoRedefine/>
    <w:qFormat/>
    <w:uiPriority w:val="0"/>
    <w:rPr>
      <w:rFonts w:eastAsia="宋体"/>
      <w:b/>
      <w:kern w:val="2"/>
      <w:sz w:val="28"/>
      <w:lang w:val="en-US" w:eastAsia="zh-CN" w:bidi="ar-SA"/>
    </w:rPr>
  </w:style>
  <w:style w:type="character" w:customStyle="1" w:styleId="150">
    <w:name w:val="批注框文本 Char"/>
    <w:link w:val="34"/>
    <w:autoRedefine/>
    <w:qFormat/>
    <w:uiPriority w:val="0"/>
    <w:rPr>
      <w:rFonts w:eastAsia="宋体"/>
      <w:kern w:val="2"/>
      <w:sz w:val="18"/>
      <w:szCs w:val="18"/>
      <w:lang w:val="en-US" w:eastAsia="zh-CN" w:bidi="ar-SA"/>
    </w:rPr>
  </w:style>
  <w:style w:type="character" w:customStyle="1" w:styleId="151">
    <w:name w:val="标题 3 Char"/>
    <w:link w:val="5"/>
    <w:autoRedefine/>
    <w:qFormat/>
    <w:uiPriority w:val="0"/>
    <w:rPr>
      <w:rFonts w:eastAsia="黑体"/>
      <w:b/>
      <w:kern w:val="2"/>
      <w:sz w:val="28"/>
      <w:lang w:val="en-US" w:eastAsia="zh-CN" w:bidi="ar-SA"/>
    </w:rPr>
  </w:style>
  <w:style w:type="character" w:customStyle="1" w:styleId="152">
    <w:name w:val="明显强调11"/>
    <w:autoRedefine/>
    <w:qFormat/>
    <w:uiPriority w:val="0"/>
    <w:rPr>
      <w:b/>
      <w:bCs/>
      <w:i/>
      <w:iCs/>
      <w:color w:val="4F81BD"/>
    </w:rPr>
  </w:style>
  <w:style w:type="character" w:customStyle="1" w:styleId="153">
    <w:name w:val="签名 Char"/>
    <w:link w:val="37"/>
    <w:autoRedefine/>
    <w:qFormat/>
    <w:uiPriority w:val="0"/>
    <w:rPr>
      <w:rFonts w:ascii="仿宋_GB2312" w:eastAsia="仿宋_GB2312"/>
      <w:b/>
      <w:sz w:val="24"/>
      <w:szCs w:val="32"/>
    </w:rPr>
  </w:style>
  <w:style w:type="character" w:customStyle="1" w:styleId="154">
    <w:name w:val="heading 3 Char2"/>
    <w:autoRedefine/>
    <w:qFormat/>
    <w:uiPriority w:val="0"/>
    <w:rPr>
      <w:b/>
      <w:bCs/>
      <w:kern w:val="2"/>
      <w:sz w:val="32"/>
      <w:szCs w:val="32"/>
    </w:rPr>
  </w:style>
  <w:style w:type="character" w:customStyle="1" w:styleId="155">
    <w:name w:val="style21"/>
    <w:autoRedefine/>
    <w:qFormat/>
    <w:uiPriority w:val="0"/>
    <w:rPr>
      <w:sz w:val="15"/>
      <w:szCs w:val="15"/>
    </w:rPr>
  </w:style>
  <w:style w:type="character" w:customStyle="1" w:styleId="156">
    <w:name w:val="Char Char271"/>
    <w:autoRedefine/>
    <w:qFormat/>
    <w:uiPriority w:val="0"/>
    <w:rPr>
      <w:rFonts w:eastAsia="宋体"/>
      <w:kern w:val="2"/>
      <w:sz w:val="28"/>
      <w:lang w:val="en-US" w:eastAsia="zh-CN" w:bidi="ar-SA"/>
    </w:rPr>
  </w:style>
  <w:style w:type="character" w:customStyle="1" w:styleId="157">
    <w:name w:val="表格 Char Char"/>
    <w:link w:val="158"/>
    <w:autoRedefine/>
    <w:qFormat/>
    <w:uiPriority w:val="0"/>
    <w:rPr>
      <w:rFonts w:ascii="宋体" w:hAnsi="宋体" w:eastAsia="宋体"/>
      <w:lang w:val="en-US" w:eastAsia="zh-CN" w:bidi="ar-SA"/>
    </w:rPr>
  </w:style>
  <w:style w:type="paragraph" w:customStyle="1" w:styleId="158">
    <w:name w:val="表格"/>
    <w:basedOn w:val="1"/>
    <w:link w:val="157"/>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59">
    <w:name w:val="heading 6 Char1"/>
    <w:autoRedefine/>
    <w:qFormat/>
    <w:uiPriority w:val="0"/>
    <w:rPr>
      <w:rFonts w:ascii="Arial" w:hAnsi="Arial" w:eastAsia="黑体"/>
      <w:kern w:val="2"/>
      <w:sz w:val="24"/>
      <w:szCs w:val="24"/>
      <w:lang w:val="en-US" w:eastAsia="zh-CN" w:bidi="ar-SA"/>
    </w:rPr>
  </w:style>
  <w:style w:type="character" w:customStyle="1" w:styleId="160">
    <w:name w:val="Char Char211"/>
    <w:autoRedefine/>
    <w:qFormat/>
    <w:uiPriority w:val="0"/>
    <w:rPr>
      <w:rFonts w:ascii="Times New Roman" w:hAnsi="Times New Roman" w:eastAsia="宋体" w:cs="Times New Roman"/>
      <w:b/>
      <w:bCs/>
      <w:kern w:val="44"/>
      <w:sz w:val="44"/>
      <w:szCs w:val="44"/>
    </w:rPr>
  </w:style>
  <w:style w:type="character" w:customStyle="1" w:styleId="161">
    <w:name w:val="不明显强调11"/>
    <w:autoRedefine/>
    <w:qFormat/>
    <w:uiPriority w:val="0"/>
    <w:rPr>
      <w:i/>
      <w:iCs/>
      <w:color w:val="808080"/>
    </w:rPr>
  </w:style>
  <w:style w:type="character" w:customStyle="1" w:styleId="162">
    <w:name w:val="标题 9 Char"/>
    <w:link w:val="12"/>
    <w:autoRedefine/>
    <w:qFormat/>
    <w:uiPriority w:val="0"/>
    <w:rPr>
      <w:rFonts w:ascii="Arial" w:hAnsi="Arial" w:eastAsia="黑体"/>
      <w:kern w:val="2"/>
      <w:sz w:val="21"/>
      <w:lang w:val="en-US" w:eastAsia="zh-CN" w:bidi="ar-SA"/>
    </w:rPr>
  </w:style>
  <w:style w:type="character" w:customStyle="1" w:styleId="163">
    <w:name w:val="正文文本 Char"/>
    <w:link w:val="21"/>
    <w:autoRedefine/>
    <w:qFormat/>
    <w:uiPriority w:val="0"/>
    <w:rPr>
      <w:rFonts w:ascii="仿宋_GB2312" w:eastAsia="宋体"/>
      <w:b/>
      <w:kern w:val="2"/>
      <w:sz w:val="21"/>
      <w:szCs w:val="24"/>
      <w:lang w:val="en-US" w:eastAsia="zh-CN" w:bidi="ar-SA"/>
    </w:rPr>
  </w:style>
  <w:style w:type="character" w:customStyle="1" w:styleId="164">
    <w:name w:val="明显引用 Char"/>
    <w:link w:val="165"/>
    <w:autoRedefine/>
    <w:qFormat/>
    <w:uiPriority w:val="0"/>
    <w:rPr>
      <w:rFonts w:ascii="Calibri" w:hAnsi="Calibri" w:eastAsia="宋体"/>
      <w:b/>
      <w:bCs/>
      <w:i/>
      <w:iCs/>
      <w:color w:val="4F81BD"/>
      <w:lang w:val="en-US" w:eastAsia="zh-CN" w:bidi="ar-SA"/>
    </w:rPr>
  </w:style>
  <w:style w:type="paragraph" w:styleId="165">
    <w:name w:val="Intense Quote"/>
    <w:basedOn w:val="1"/>
    <w:next w:val="1"/>
    <w:link w:val="164"/>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66">
    <w:name w:val="heading 5 Char1"/>
    <w:autoRedefine/>
    <w:qFormat/>
    <w:uiPriority w:val="0"/>
    <w:rPr>
      <w:rFonts w:eastAsia="宋体"/>
      <w:b/>
      <w:bCs/>
      <w:kern w:val="2"/>
      <w:sz w:val="28"/>
      <w:szCs w:val="28"/>
      <w:lang w:val="en-US" w:eastAsia="zh-CN" w:bidi="ar-SA"/>
    </w:rPr>
  </w:style>
  <w:style w:type="character" w:customStyle="1" w:styleId="167">
    <w:name w:val="Texte Char Char"/>
    <w:autoRedefine/>
    <w:qFormat/>
    <w:uiPriority w:val="0"/>
    <w:rPr>
      <w:rFonts w:ascii="宋体" w:hAnsi="Courier New" w:eastAsia="宋体"/>
      <w:sz w:val="21"/>
      <w:szCs w:val="21"/>
      <w:lang w:val="en-US" w:eastAsia="zh-CN" w:bidi="ar-SA"/>
    </w:rPr>
  </w:style>
  <w:style w:type="character" w:customStyle="1" w:styleId="168">
    <w:name w:val="正文1 Char Char"/>
    <w:link w:val="169"/>
    <w:autoRedefine/>
    <w:qFormat/>
    <w:uiPriority w:val="0"/>
    <w:rPr>
      <w:rFonts w:ascii="宋体" w:hAnsi="宋体" w:eastAsia="宋体" w:cs="宋体"/>
      <w:sz w:val="21"/>
      <w:lang w:val="en-US" w:eastAsia="zh-CN" w:bidi="ar-SA"/>
    </w:rPr>
  </w:style>
  <w:style w:type="paragraph" w:customStyle="1" w:styleId="169">
    <w:name w:val="正文1"/>
    <w:basedOn w:val="1"/>
    <w:link w:val="168"/>
    <w:autoRedefine/>
    <w:qFormat/>
    <w:uiPriority w:val="0"/>
    <w:pPr>
      <w:widowControl/>
      <w:spacing w:line="360" w:lineRule="auto"/>
      <w:ind w:left="360" w:firstLine="420"/>
      <w:jc w:val="left"/>
    </w:pPr>
    <w:rPr>
      <w:rFonts w:ascii="宋体" w:hAnsi="宋体" w:cs="宋体"/>
      <w:kern w:val="0"/>
      <w:szCs w:val="20"/>
    </w:rPr>
  </w:style>
  <w:style w:type="character" w:customStyle="1" w:styleId="170">
    <w:name w:val="heading 8 Char1"/>
    <w:autoRedefine/>
    <w:qFormat/>
    <w:uiPriority w:val="0"/>
    <w:rPr>
      <w:rFonts w:ascii="Arial" w:hAnsi="Arial" w:eastAsia="黑体"/>
      <w:sz w:val="24"/>
      <w:lang w:val="en-US" w:eastAsia="zh-CN" w:bidi="ar-SA"/>
    </w:rPr>
  </w:style>
  <w:style w:type="character" w:customStyle="1" w:styleId="171">
    <w:name w:val="heading 9 Char1"/>
    <w:autoRedefine/>
    <w:qFormat/>
    <w:uiPriority w:val="0"/>
    <w:rPr>
      <w:rFonts w:ascii="Arial" w:hAnsi="Arial" w:eastAsia="黑体"/>
      <w:sz w:val="21"/>
      <w:lang w:val="en-US" w:eastAsia="zh-CN" w:bidi="ar-SA"/>
    </w:rPr>
  </w:style>
  <w:style w:type="character" w:customStyle="1" w:styleId="172">
    <w:name w:val="标题 6 Char"/>
    <w:link w:val="8"/>
    <w:autoRedefine/>
    <w:qFormat/>
    <w:uiPriority w:val="0"/>
    <w:rPr>
      <w:rFonts w:ascii="Arial" w:hAnsi="Arial" w:eastAsia="黑体"/>
      <w:b/>
      <w:kern w:val="2"/>
      <w:sz w:val="24"/>
      <w:lang w:val="en-US" w:eastAsia="zh-CN" w:bidi="ar-SA"/>
    </w:rPr>
  </w:style>
  <w:style w:type="character" w:customStyle="1" w:styleId="173">
    <w:name w:val="ändrad Char1"/>
    <w:autoRedefine/>
    <w:qFormat/>
    <w:uiPriority w:val="0"/>
    <w:rPr>
      <w:rFonts w:ascii="仿宋_GB2312" w:eastAsia="宋体"/>
      <w:b/>
      <w:kern w:val="2"/>
      <w:sz w:val="21"/>
      <w:szCs w:val="24"/>
      <w:lang w:val="en-US" w:eastAsia="zh-CN" w:bidi="ar-SA"/>
    </w:rPr>
  </w:style>
  <w:style w:type="character" w:customStyle="1" w:styleId="174">
    <w:name w:val="Char Char41"/>
    <w:autoRedefine/>
    <w:qFormat/>
    <w:uiPriority w:val="0"/>
    <w:rPr>
      <w:rFonts w:ascii="Cambria" w:hAnsi="Cambria" w:eastAsia="宋体"/>
      <w:b/>
      <w:bCs/>
      <w:sz w:val="32"/>
      <w:szCs w:val="32"/>
      <w:lang w:bidi="ar-SA"/>
    </w:rPr>
  </w:style>
  <w:style w:type="character" w:customStyle="1" w:styleId="175">
    <w:name w:val="标题 8 Char"/>
    <w:link w:val="11"/>
    <w:autoRedefine/>
    <w:qFormat/>
    <w:uiPriority w:val="0"/>
    <w:rPr>
      <w:rFonts w:ascii="Arial" w:hAnsi="Arial" w:eastAsia="黑体"/>
      <w:kern w:val="2"/>
      <w:sz w:val="24"/>
      <w:lang w:val="en-US" w:eastAsia="zh-CN" w:bidi="ar-SA"/>
    </w:rPr>
  </w:style>
  <w:style w:type="character" w:customStyle="1" w:styleId="176">
    <w:name w:val="Char Char11"/>
    <w:autoRedefine/>
    <w:qFormat/>
    <w:uiPriority w:val="0"/>
    <w:rPr>
      <w:rFonts w:ascii="Times New Roman" w:hAnsi="Times New Roman" w:eastAsia="宋体" w:cs="Times New Roman"/>
      <w:sz w:val="18"/>
      <w:szCs w:val="18"/>
    </w:rPr>
  </w:style>
  <w:style w:type="character" w:customStyle="1" w:styleId="177">
    <w:name w:val="正文文本缩进 2 Char"/>
    <w:link w:val="33"/>
    <w:autoRedefine/>
    <w:qFormat/>
    <w:uiPriority w:val="0"/>
    <w:rPr>
      <w:rFonts w:eastAsia="宋体"/>
      <w:kern w:val="2"/>
      <w:sz w:val="24"/>
      <w:szCs w:val="24"/>
      <w:lang w:val="en-US" w:eastAsia="zh-CN" w:bidi="ar-SA"/>
    </w:rPr>
  </w:style>
  <w:style w:type="character" w:customStyle="1" w:styleId="178">
    <w:name w:val="Char Char6"/>
    <w:autoRedefine/>
    <w:qFormat/>
    <w:uiPriority w:val="0"/>
    <w:rPr>
      <w:rFonts w:ascii="Times New Roman" w:hAnsi="Times New Roman" w:eastAsia="宋体" w:cs="Times New Roman"/>
      <w:szCs w:val="24"/>
    </w:rPr>
  </w:style>
  <w:style w:type="character" w:customStyle="1" w:styleId="179">
    <w:name w:val="Char Char Char"/>
    <w:autoRedefine/>
    <w:qFormat/>
    <w:uiPriority w:val="0"/>
    <w:rPr>
      <w:rFonts w:ascii="宋体" w:hAnsi="Courier New" w:eastAsia="宋体"/>
      <w:b/>
      <w:sz w:val="21"/>
      <w:szCs w:val="21"/>
      <w:lang w:val="en-US" w:eastAsia="zh-CN" w:bidi="ar-SA"/>
    </w:rPr>
  </w:style>
  <w:style w:type="character" w:customStyle="1" w:styleId="180">
    <w:name w:val="heading 2 Char"/>
    <w:autoRedefine/>
    <w:qFormat/>
    <w:uiPriority w:val="0"/>
    <w:rPr>
      <w:rFonts w:ascii="Arial" w:hAnsi="Arial" w:eastAsia="黑体" w:cs="Times New Roman"/>
      <w:sz w:val="30"/>
      <w:szCs w:val="24"/>
    </w:rPr>
  </w:style>
  <w:style w:type="character" w:customStyle="1" w:styleId="181">
    <w:name w:val="Char Char2"/>
    <w:autoRedefine/>
    <w:qFormat/>
    <w:uiPriority w:val="0"/>
    <w:rPr>
      <w:rFonts w:ascii="Arial" w:hAnsi="Arial" w:eastAsia="黑体"/>
      <w:b/>
      <w:bCs/>
      <w:kern w:val="44"/>
      <w:sz w:val="30"/>
      <w:szCs w:val="44"/>
      <w:lang w:val="en-US" w:eastAsia="zh-CN" w:bidi="ar-SA"/>
    </w:rPr>
  </w:style>
  <w:style w:type="character" w:customStyle="1" w:styleId="182">
    <w:name w:val="Footer-Even Char2"/>
    <w:autoRedefine/>
    <w:qFormat/>
    <w:uiPriority w:val="0"/>
    <w:rPr>
      <w:kern w:val="2"/>
      <w:sz w:val="18"/>
      <w:szCs w:val="18"/>
    </w:rPr>
  </w:style>
  <w:style w:type="character" w:customStyle="1" w:styleId="183">
    <w:name w:val="Char Char17"/>
    <w:autoRedefine/>
    <w:qFormat/>
    <w:uiPriority w:val="0"/>
    <w:rPr>
      <w:rFonts w:ascii="Cambria" w:hAnsi="Cambria"/>
      <w:b/>
      <w:bCs/>
      <w:kern w:val="2"/>
      <w:sz w:val="28"/>
      <w:szCs w:val="28"/>
    </w:rPr>
  </w:style>
  <w:style w:type="character" w:customStyle="1" w:styleId="184">
    <w:name w:val="heading 4 Char"/>
    <w:autoRedefine/>
    <w:qFormat/>
    <w:uiPriority w:val="0"/>
    <w:rPr>
      <w:rFonts w:ascii="Arial" w:hAnsi="Arial" w:eastAsia="黑体" w:cs="Times New Roman"/>
      <w:sz w:val="21"/>
      <w:szCs w:val="21"/>
    </w:rPr>
  </w:style>
  <w:style w:type="character" w:customStyle="1" w:styleId="185">
    <w:name w:val="Char Char20"/>
    <w:autoRedefine/>
    <w:qFormat/>
    <w:uiPriority w:val="0"/>
    <w:rPr>
      <w:b/>
      <w:bCs/>
      <w:kern w:val="44"/>
      <w:sz w:val="44"/>
      <w:szCs w:val="44"/>
    </w:rPr>
  </w:style>
  <w:style w:type="character" w:customStyle="1" w:styleId="186">
    <w:name w:val="heading 1 Char2"/>
    <w:autoRedefine/>
    <w:qFormat/>
    <w:uiPriority w:val="0"/>
    <w:rPr>
      <w:b/>
      <w:bCs/>
      <w:kern w:val="44"/>
      <w:sz w:val="44"/>
      <w:szCs w:val="44"/>
    </w:rPr>
  </w:style>
  <w:style w:type="character" w:customStyle="1" w:styleId="187">
    <w:name w:val="font11"/>
    <w:autoRedefine/>
    <w:qFormat/>
    <w:uiPriority w:val="0"/>
    <w:rPr>
      <w:rFonts w:hint="eastAsia" w:ascii="宋体" w:hAnsi="宋体" w:eastAsia="宋体" w:cs="宋体"/>
      <w:b/>
      <w:color w:val="000000"/>
      <w:sz w:val="20"/>
      <w:szCs w:val="20"/>
      <w:u w:val="none"/>
    </w:rPr>
  </w:style>
  <w:style w:type="character" w:customStyle="1" w:styleId="188">
    <w:name w:val="表正文 Char2"/>
    <w:autoRedefine/>
    <w:qFormat/>
    <w:uiPriority w:val="0"/>
    <w:rPr>
      <w:rFonts w:ascii="Times New Roman" w:hAnsi="Times New Roman" w:eastAsia="宋体" w:cs="Times New Roman"/>
      <w:szCs w:val="24"/>
    </w:rPr>
  </w:style>
  <w:style w:type="character" w:customStyle="1" w:styleId="189">
    <w:name w:val="引用 Char"/>
    <w:link w:val="190"/>
    <w:autoRedefine/>
    <w:qFormat/>
    <w:uiPriority w:val="0"/>
    <w:rPr>
      <w:rFonts w:ascii="Calibri" w:hAnsi="Calibri" w:eastAsia="宋体"/>
      <w:i/>
      <w:iCs/>
      <w:color w:val="000000"/>
      <w:lang w:val="en-US" w:eastAsia="zh-CN" w:bidi="ar-SA"/>
    </w:rPr>
  </w:style>
  <w:style w:type="paragraph" w:styleId="190">
    <w:name w:val="Quote"/>
    <w:basedOn w:val="1"/>
    <w:next w:val="1"/>
    <w:link w:val="189"/>
    <w:autoRedefine/>
    <w:qFormat/>
    <w:uiPriority w:val="0"/>
    <w:rPr>
      <w:rFonts w:ascii="Calibri" w:hAnsi="Calibri"/>
      <w:i/>
      <w:iCs/>
      <w:color w:val="000000"/>
      <w:kern w:val="0"/>
      <w:sz w:val="20"/>
      <w:szCs w:val="20"/>
    </w:rPr>
  </w:style>
  <w:style w:type="character" w:customStyle="1" w:styleId="191">
    <w:name w:val="纯文本 Char"/>
    <w:link w:val="29"/>
    <w:autoRedefine/>
    <w:qFormat/>
    <w:uiPriority w:val="0"/>
    <w:rPr>
      <w:rFonts w:ascii="宋体" w:hAnsi="Courier New" w:eastAsia="宋体"/>
      <w:b/>
      <w:sz w:val="21"/>
      <w:szCs w:val="21"/>
      <w:lang w:val="en-US" w:eastAsia="zh-CN" w:bidi="ar-SA"/>
    </w:rPr>
  </w:style>
  <w:style w:type="character" w:customStyle="1" w:styleId="192">
    <w:name w:val="Char Char19"/>
    <w:autoRedefine/>
    <w:qFormat/>
    <w:uiPriority w:val="0"/>
    <w:rPr>
      <w:rFonts w:ascii="Cambria" w:hAnsi="Cambria"/>
      <w:b/>
      <w:bCs/>
      <w:kern w:val="2"/>
      <w:sz w:val="32"/>
      <w:szCs w:val="32"/>
    </w:rPr>
  </w:style>
  <w:style w:type="character" w:customStyle="1" w:styleId="193">
    <w:name w:val="style41"/>
    <w:autoRedefine/>
    <w:qFormat/>
    <w:uiPriority w:val="0"/>
    <w:rPr>
      <w:color w:val="auto"/>
    </w:rPr>
  </w:style>
  <w:style w:type="character" w:customStyle="1" w:styleId="194">
    <w:name w:val="Char Char201"/>
    <w:autoRedefine/>
    <w:qFormat/>
    <w:uiPriority w:val="0"/>
    <w:rPr>
      <w:rFonts w:ascii="Cambria" w:hAnsi="Cambria" w:eastAsia="宋体" w:cs="Times New Roman"/>
      <w:b/>
      <w:bCs/>
      <w:sz w:val="32"/>
      <w:szCs w:val="32"/>
    </w:rPr>
  </w:style>
  <w:style w:type="character" w:customStyle="1" w:styleId="195">
    <w:name w:val="正文首行缩进 Char"/>
    <w:link w:val="51"/>
    <w:autoRedefine/>
    <w:qFormat/>
    <w:uiPriority w:val="0"/>
    <w:rPr>
      <w:rFonts w:eastAsia="宋体"/>
      <w:lang w:val="en-US" w:eastAsia="zh-CN" w:bidi="ar-SA"/>
    </w:rPr>
  </w:style>
  <w:style w:type="character" w:customStyle="1" w:styleId="196">
    <w:name w:val="smalltxt1"/>
    <w:autoRedefine/>
    <w:qFormat/>
    <w:uiPriority w:val="0"/>
    <w:rPr>
      <w:rFonts w:hint="default" w:ascii="ˎ̥" w:hAnsi="ˎ̥"/>
      <w:sz w:val="24"/>
      <w:szCs w:val="24"/>
    </w:rPr>
  </w:style>
  <w:style w:type="character" w:customStyle="1" w:styleId="197">
    <w:name w:val="正文文本 2 Char"/>
    <w:basedOn w:val="54"/>
    <w:link w:val="47"/>
    <w:autoRedefine/>
    <w:qFormat/>
    <w:uiPriority w:val="0"/>
  </w:style>
  <w:style w:type="paragraph" w:customStyle="1" w:styleId="198">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99">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0">
    <w:name w:val="表内文字"/>
    <w:basedOn w:val="1"/>
    <w:autoRedefine/>
    <w:qFormat/>
    <w:uiPriority w:val="0"/>
    <w:pPr>
      <w:spacing w:line="240" w:lineRule="atLeast"/>
      <w:jc w:val="center"/>
    </w:pPr>
    <w:rPr>
      <w:rFonts w:ascii="Arial" w:hAnsi="Arial" w:cs="Arial"/>
      <w:b/>
      <w:bCs/>
    </w:rPr>
  </w:style>
  <w:style w:type="paragraph" w:customStyle="1" w:styleId="201">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2">
    <w:name w:val="Char Char Char Char Char Char Char"/>
    <w:basedOn w:val="1"/>
    <w:autoRedefine/>
    <w:qFormat/>
    <w:uiPriority w:val="0"/>
    <w:rPr>
      <w:rFonts w:ascii="仿宋_GB2312" w:eastAsia="仿宋_GB2312"/>
      <w:b/>
      <w:sz w:val="32"/>
      <w:szCs w:val="32"/>
    </w:rPr>
  </w:style>
  <w:style w:type="paragraph" w:customStyle="1" w:styleId="20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4">
    <w:name w:val="列出段落1"/>
    <w:basedOn w:val="1"/>
    <w:autoRedefine/>
    <w:qFormat/>
    <w:uiPriority w:val="0"/>
    <w:pPr>
      <w:ind w:firstLine="420" w:firstLineChars="200"/>
    </w:pPr>
    <w:rPr>
      <w:szCs w:val="20"/>
    </w:rPr>
  </w:style>
  <w:style w:type="paragraph" w:customStyle="1" w:styleId="205">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0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7">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08">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0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0">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1">
    <w:name w:val="NICMAN Body Text"/>
    <w:basedOn w:val="1"/>
    <w:next w:val="21"/>
    <w:autoRedefine/>
    <w:qFormat/>
    <w:uiPriority w:val="0"/>
    <w:pPr>
      <w:autoSpaceDE w:val="0"/>
      <w:autoSpaceDN w:val="0"/>
      <w:adjustRightInd w:val="0"/>
      <w:spacing w:after="120"/>
      <w:jc w:val="left"/>
    </w:pPr>
    <w:rPr>
      <w:kern w:val="0"/>
      <w:sz w:val="20"/>
      <w:szCs w:val="20"/>
    </w:rPr>
  </w:style>
  <w:style w:type="paragraph" w:customStyle="1" w:styleId="212">
    <w:name w:val="Char Char Char Char Char Char Char Char Char Char Char Char Char"/>
    <w:basedOn w:val="1"/>
    <w:autoRedefine/>
    <w:qFormat/>
    <w:uiPriority w:val="0"/>
    <w:rPr>
      <w:rFonts w:ascii="Tahoma" w:hAnsi="Tahoma"/>
      <w:sz w:val="24"/>
      <w:szCs w:val="20"/>
    </w:rPr>
  </w:style>
  <w:style w:type="paragraph" w:customStyle="1" w:styleId="213">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4">
    <w:name w:val="正文缩进1"/>
    <w:basedOn w:val="1"/>
    <w:next w:val="22"/>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5">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16">
    <w:name w:val="Char Char Char Char1"/>
    <w:basedOn w:val="17"/>
    <w:autoRedefine/>
    <w:qFormat/>
    <w:uiPriority w:val="0"/>
    <w:rPr>
      <w:rFonts w:ascii="Tahoma" w:hAnsi="Tahoma"/>
      <w:sz w:val="24"/>
    </w:rPr>
  </w:style>
  <w:style w:type="paragraph" w:customStyle="1" w:styleId="217">
    <w:name w:val="正文 首行缩进:  2 字符 Char"/>
    <w:basedOn w:val="1"/>
    <w:autoRedefine/>
    <w:qFormat/>
    <w:uiPriority w:val="0"/>
    <w:pPr>
      <w:spacing w:line="360" w:lineRule="auto"/>
      <w:ind w:firstLine="480"/>
    </w:pPr>
    <w:rPr>
      <w:rFonts w:cs="宋体"/>
      <w:sz w:val="24"/>
      <w:szCs w:val="20"/>
    </w:rPr>
  </w:style>
  <w:style w:type="paragraph" w:customStyle="1" w:styleId="218">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1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0">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2">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3">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4">
    <w:name w:val="二级条标题"/>
    <w:basedOn w:val="205"/>
    <w:next w:val="1"/>
    <w:autoRedefine/>
    <w:qFormat/>
    <w:uiPriority w:val="0"/>
    <w:pPr>
      <w:tabs>
        <w:tab w:val="left" w:pos="4309"/>
        <w:tab w:val="clear" w:pos="3889"/>
      </w:tabs>
      <w:ind w:left="4309"/>
      <w:outlineLvl w:val="3"/>
    </w:pPr>
  </w:style>
  <w:style w:type="paragraph" w:customStyle="1" w:styleId="225">
    <w:name w:val="正文－恩普"/>
    <w:basedOn w:val="9"/>
    <w:autoRedefine/>
    <w:qFormat/>
    <w:uiPriority w:val="0"/>
    <w:pPr>
      <w:adjustRightInd/>
      <w:spacing w:line="360" w:lineRule="auto"/>
      <w:ind w:firstLine="200" w:firstLineChars="200"/>
      <w:textAlignment w:val="auto"/>
    </w:pPr>
    <w:rPr>
      <w:kern w:val="2"/>
      <w:sz w:val="24"/>
      <w:szCs w:val="24"/>
    </w:rPr>
  </w:style>
  <w:style w:type="paragraph" w:customStyle="1" w:styleId="226">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27">
    <w:name w:val="正文（首行缩进）"/>
    <w:basedOn w:val="22"/>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28">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2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1">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2">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3">
    <w:name w:val="三级条标题"/>
    <w:basedOn w:val="224"/>
    <w:next w:val="1"/>
    <w:autoRedefine/>
    <w:qFormat/>
    <w:uiPriority w:val="0"/>
    <w:pPr>
      <w:tabs>
        <w:tab w:val="left" w:pos="4729"/>
        <w:tab w:val="clear" w:pos="4309"/>
      </w:tabs>
      <w:ind w:left="4729"/>
      <w:outlineLvl w:val="4"/>
    </w:pPr>
  </w:style>
  <w:style w:type="paragraph" w:customStyle="1" w:styleId="234">
    <w:name w:val="Test2"/>
    <w:basedOn w:val="4"/>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5">
    <w:name w:val="默认段落字体 Para Char Char Char Char Char Char Char"/>
    <w:basedOn w:val="1"/>
    <w:autoRedefine/>
    <w:qFormat/>
    <w:uiPriority w:val="0"/>
  </w:style>
  <w:style w:type="paragraph" w:customStyle="1" w:styleId="236">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3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8">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39">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0">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1">
    <w:name w:val="列表段落"/>
    <w:basedOn w:val="1"/>
    <w:autoRedefine/>
    <w:qFormat/>
    <w:uiPriority w:val="0"/>
    <w:pPr>
      <w:ind w:firstLine="420" w:firstLineChars="200"/>
    </w:pPr>
    <w:rPr>
      <w:rFonts w:ascii="Calibri" w:hAnsi="Calibri"/>
      <w:szCs w:val="22"/>
    </w:rPr>
  </w:style>
  <w:style w:type="paragraph" w:customStyle="1" w:styleId="242">
    <w:name w:val="五级条标题"/>
    <w:basedOn w:val="243"/>
    <w:next w:val="1"/>
    <w:autoRedefine/>
    <w:qFormat/>
    <w:uiPriority w:val="0"/>
    <w:pPr>
      <w:tabs>
        <w:tab w:val="left" w:pos="5149"/>
        <w:tab w:val="left" w:pos="5569"/>
      </w:tabs>
      <w:ind w:left="5569"/>
      <w:outlineLvl w:val="6"/>
    </w:pPr>
  </w:style>
  <w:style w:type="paragraph" w:customStyle="1" w:styleId="243">
    <w:name w:val="四级条标题"/>
    <w:basedOn w:val="233"/>
    <w:next w:val="1"/>
    <w:autoRedefine/>
    <w:qFormat/>
    <w:uiPriority w:val="0"/>
    <w:pPr>
      <w:tabs>
        <w:tab w:val="left" w:pos="5149"/>
        <w:tab w:val="clear" w:pos="4729"/>
      </w:tabs>
      <w:ind w:left="5149"/>
      <w:outlineLvl w:val="5"/>
    </w:pPr>
  </w:style>
  <w:style w:type="paragraph" w:customStyle="1" w:styleId="244">
    <w:name w:val="正文-宋体四号"/>
    <w:basedOn w:val="1"/>
    <w:autoRedefine/>
    <w:qFormat/>
    <w:uiPriority w:val="0"/>
    <w:pPr>
      <w:spacing w:line="360" w:lineRule="auto"/>
      <w:ind w:firstLine="560" w:firstLineChars="200"/>
    </w:pPr>
    <w:rPr>
      <w:rFonts w:cs="宋体"/>
      <w:sz w:val="28"/>
      <w:szCs w:val="20"/>
    </w:rPr>
  </w:style>
  <w:style w:type="paragraph" w:customStyle="1" w:styleId="245">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46">
    <w:name w:val="Char2"/>
    <w:basedOn w:val="1"/>
    <w:autoRedefine/>
    <w:qFormat/>
    <w:uiPriority w:val="0"/>
  </w:style>
  <w:style w:type="paragraph" w:customStyle="1" w:styleId="247">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48">
    <w:name w:val="样式5"/>
    <w:basedOn w:val="9"/>
    <w:autoRedefine/>
    <w:qFormat/>
    <w:uiPriority w:val="0"/>
    <w:pPr>
      <w:adjustRightInd/>
      <w:spacing w:line="360" w:lineRule="auto"/>
      <w:ind w:firstLine="200" w:firstLineChars="200"/>
      <w:textAlignment w:val="auto"/>
    </w:pPr>
    <w:rPr>
      <w:sz w:val="28"/>
      <w:szCs w:val="21"/>
    </w:rPr>
  </w:style>
  <w:style w:type="paragraph" w:customStyle="1" w:styleId="249">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0">
    <w:name w:val="Char Char Char Char Char Char Char Char Char Char Char Char Char1"/>
    <w:basedOn w:val="1"/>
    <w:autoRedefine/>
    <w:qFormat/>
    <w:uiPriority w:val="0"/>
  </w:style>
  <w:style w:type="paragraph" w:customStyle="1" w:styleId="251">
    <w:name w:val="样式 标题 1Level 1Level 11h1II+IHeading1H1-Heading 1Header 1..."/>
    <w:basedOn w:val="2"/>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2">
    <w:name w:val="样式 标题 3 + 黑色 段前: 5 磅 段后: 5 磅 行距: 1.5 倍行距"/>
    <w:basedOn w:val="1"/>
    <w:autoRedefine/>
    <w:qFormat/>
    <w:uiPriority w:val="0"/>
    <w:pPr>
      <w:ind w:left="855" w:hanging="855"/>
    </w:pPr>
    <w:rPr>
      <w:sz w:val="24"/>
      <w:szCs w:val="20"/>
    </w:rPr>
  </w:style>
  <w:style w:type="paragraph" w:customStyle="1" w:styleId="253">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4">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5">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6">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57">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58">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59">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0">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4">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5">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66">
    <w:name w:val="TOC 标题1"/>
    <w:basedOn w:val="2"/>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67">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68">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9">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0">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1">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2">
    <w:name w:val="简单回函地址"/>
    <w:basedOn w:val="1"/>
    <w:autoRedefine/>
    <w:qFormat/>
    <w:uiPriority w:val="0"/>
  </w:style>
  <w:style w:type="paragraph" w:customStyle="1" w:styleId="273">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4">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5">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76">
    <w:name w:val="1 Char"/>
    <w:basedOn w:val="9"/>
    <w:autoRedefine/>
    <w:qFormat/>
    <w:uiPriority w:val="0"/>
    <w:pPr>
      <w:adjustRightInd/>
      <w:spacing w:line="360" w:lineRule="auto"/>
      <w:ind w:firstLine="200" w:firstLineChars="200"/>
      <w:textAlignment w:val="auto"/>
    </w:pPr>
    <w:rPr>
      <w:kern w:val="2"/>
    </w:rPr>
  </w:style>
  <w:style w:type="paragraph" w:customStyle="1" w:styleId="277">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78">
    <w:name w:val="TOC 标题2"/>
    <w:basedOn w:val="2"/>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79">
    <w:name w:val="Char Char"/>
    <w:basedOn w:val="1"/>
    <w:autoRedefine/>
    <w:qFormat/>
    <w:uiPriority w:val="0"/>
    <w:rPr>
      <w:rFonts w:ascii="仿宋_GB2312" w:eastAsia="仿宋_GB2312"/>
      <w:b/>
      <w:sz w:val="32"/>
      <w:szCs w:val="32"/>
    </w:rPr>
  </w:style>
  <w:style w:type="paragraph" w:customStyle="1" w:styleId="280">
    <w:name w:val="l正文"/>
    <w:basedOn w:val="1"/>
    <w:autoRedefine/>
    <w:qFormat/>
    <w:uiPriority w:val="0"/>
    <w:pPr>
      <w:spacing w:line="360" w:lineRule="auto"/>
      <w:ind w:firstLine="200" w:firstLineChars="200"/>
    </w:pPr>
    <w:rPr>
      <w:rFonts w:ascii="宋体" w:hAnsi="宋体"/>
      <w:sz w:val="24"/>
    </w:rPr>
  </w:style>
  <w:style w:type="paragraph" w:customStyle="1" w:styleId="281">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3">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4">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5">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86">
    <w:name w:val="Char Char Char Char Char Char Char1"/>
    <w:basedOn w:val="1"/>
    <w:autoRedefine/>
    <w:qFormat/>
    <w:uiPriority w:val="0"/>
    <w:rPr>
      <w:rFonts w:ascii="仿宋_GB2312" w:eastAsia="仿宋_GB2312"/>
      <w:b/>
      <w:sz w:val="32"/>
      <w:szCs w:val="32"/>
    </w:rPr>
  </w:style>
  <w:style w:type="paragraph" w:customStyle="1" w:styleId="28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8">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89">
    <w:name w:val="标题2"/>
    <w:basedOn w:val="4"/>
    <w:autoRedefine/>
    <w:qFormat/>
    <w:uiPriority w:val="0"/>
    <w:pPr>
      <w:tabs>
        <w:tab w:val="left" w:pos="709"/>
      </w:tabs>
    </w:pPr>
    <w:rPr>
      <w:rFonts w:ascii="宋体" w:hAnsi="宋体"/>
      <w:sz w:val="36"/>
      <w:szCs w:val="36"/>
    </w:rPr>
  </w:style>
  <w:style w:type="paragraph" w:customStyle="1" w:styleId="290">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2">
    <w:name w:val="Char1"/>
    <w:basedOn w:val="1"/>
    <w:autoRedefine/>
    <w:qFormat/>
    <w:uiPriority w:val="0"/>
    <w:rPr>
      <w:rFonts w:ascii="仿宋_GB2312" w:eastAsia="仿宋_GB2312"/>
      <w:b/>
      <w:sz w:val="32"/>
      <w:szCs w:val="32"/>
    </w:rPr>
  </w:style>
  <w:style w:type="paragraph" w:customStyle="1" w:styleId="293">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4">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5">
    <w:name w:val="保留正文"/>
    <w:basedOn w:val="21"/>
    <w:autoRedefine/>
    <w:qFormat/>
    <w:uiPriority w:val="0"/>
    <w:pPr>
      <w:keepNext/>
      <w:spacing w:after="160"/>
    </w:pPr>
    <w:rPr>
      <w:szCs w:val="20"/>
    </w:rPr>
  </w:style>
  <w:style w:type="paragraph" w:customStyle="1" w:styleId="296">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29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Char"/>
    <w:basedOn w:val="1"/>
    <w:autoRedefine/>
    <w:qFormat/>
    <w:uiPriority w:val="0"/>
    <w:rPr>
      <w:rFonts w:ascii="仿宋_GB2312" w:eastAsia="仿宋_GB2312"/>
      <w:b/>
      <w:sz w:val="32"/>
      <w:szCs w:val="32"/>
    </w:rPr>
  </w:style>
  <w:style w:type="paragraph" w:customStyle="1" w:styleId="300">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1">
    <w:name w:val="正文文字表格居中"/>
    <w:basedOn w:val="1"/>
    <w:next w:val="47"/>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2">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3">
    <w:name w:val="Char1 Char Char Char Char Char Char"/>
    <w:basedOn w:val="1"/>
    <w:autoRedefine/>
    <w:qFormat/>
    <w:uiPriority w:val="0"/>
    <w:rPr>
      <w:rFonts w:ascii="宋体" w:hAnsi="宋体"/>
      <w:color w:val="000000"/>
      <w:sz w:val="24"/>
    </w:rPr>
  </w:style>
  <w:style w:type="paragraph" w:customStyle="1" w:styleId="304">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5">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6">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0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09">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0">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1">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2">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3">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4">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5">
    <w:name w:val="样式 标题 3 + 黑体 小四 非加粗"/>
    <w:basedOn w:val="5"/>
    <w:autoRedefine/>
    <w:qFormat/>
    <w:uiPriority w:val="0"/>
    <w:pPr>
      <w:spacing w:before="260" w:after="260" w:line="413" w:lineRule="auto"/>
    </w:pPr>
    <w:rPr>
      <w:rFonts w:ascii="黑体" w:hAnsi="黑体"/>
      <w:b w:val="0"/>
      <w:kern w:val="0"/>
      <w:sz w:val="24"/>
      <w:szCs w:val="32"/>
    </w:rPr>
  </w:style>
  <w:style w:type="paragraph" w:customStyle="1" w:styleId="316">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7">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18">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19">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1">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2">
    <w:name w:val="列出段落2"/>
    <w:basedOn w:val="1"/>
    <w:autoRedefine/>
    <w:qFormat/>
    <w:uiPriority w:val="0"/>
    <w:pPr>
      <w:ind w:firstLine="420" w:firstLineChars="200"/>
    </w:pPr>
  </w:style>
  <w:style w:type="paragraph" w:customStyle="1" w:styleId="323">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4">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5">
    <w:name w:val="p0"/>
    <w:basedOn w:val="1"/>
    <w:autoRedefine/>
    <w:qFormat/>
    <w:uiPriority w:val="0"/>
    <w:pPr>
      <w:widowControl/>
    </w:pPr>
    <w:rPr>
      <w:kern w:val="0"/>
      <w:szCs w:val="21"/>
    </w:rPr>
  </w:style>
  <w:style w:type="paragraph" w:customStyle="1" w:styleId="326">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27">
    <w:name w:val="TableGrid"/>
    <w:autoRedefine/>
    <w:qFormat/>
    <w:uiPriority w:val="0"/>
    <w:tblPr>
      <w:tblCellMar>
        <w:top w:w="0" w:type="dxa"/>
        <w:left w:w="0" w:type="dxa"/>
        <w:bottom w:w="0" w:type="dxa"/>
        <w:right w:w="0" w:type="dxa"/>
      </w:tblCellMar>
    </w:tblPr>
  </w:style>
  <w:style w:type="paragraph" w:styleId="328">
    <w:name w:val="List Paragraph"/>
    <w:basedOn w:val="1"/>
    <w:autoRedefine/>
    <w:qFormat/>
    <w:uiPriority w:val="99"/>
    <w:pPr>
      <w:ind w:firstLine="420" w:firstLineChars="200"/>
    </w:pPr>
  </w:style>
  <w:style w:type="paragraph" w:customStyle="1" w:styleId="329">
    <w:name w:val="正文段"/>
    <w:basedOn w:val="1"/>
    <w:autoRedefine/>
    <w:qFormat/>
    <w:uiPriority w:val="0"/>
    <w:pPr>
      <w:widowControl/>
      <w:snapToGrid w:val="0"/>
      <w:spacing w:afterLines="50"/>
      <w:ind w:firstLine="200" w:firstLineChars="200"/>
    </w:pPr>
    <w:rPr>
      <w:sz w:val="24"/>
      <w:szCs w:val="20"/>
    </w:rPr>
  </w:style>
  <w:style w:type="paragraph" w:customStyle="1" w:styleId="330">
    <w:name w:val="_Style 3"/>
    <w:basedOn w:val="1"/>
    <w:next w:val="1"/>
    <w:autoRedefine/>
    <w:qFormat/>
    <w:uiPriority w:val="34"/>
    <w:pPr>
      <w:spacing w:line="360" w:lineRule="auto"/>
      <w:ind w:firstLine="420" w:firstLineChars="200"/>
    </w:pPr>
  </w:style>
  <w:style w:type="paragraph" w:customStyle="1" w:styleId="331">
    <w:name w:val="_Style 2"/>
    <w:basedOn w:val="1"/>
    <w:next w:val="1"/>
    <w:autoRedefine/>
    <w:qFormat/>
    <w:uiPriority w:val="0"/>
    <w:pPr>
      <w:pBdr>
        <w:bottom w:val="single" w:color="auto" w:sz="6" w:space="1"/>
      </w:pBdr>
      <w:jc w:val="center"/>
    </w:pPr>
    <w:rPr>
      <w:rFonts w:ascii="Arial"/>
      <w:vanish/>
      <w:sz w:val="16"/>
    </w:rPr>
  </w:style>
  <w:style w:type="character" w:customStyle="1" w:styleId="332">
    <w:name w:val="font31"/>
    <w:basedOn w:val="54"/>
    <w:autoRedefine/>
    <w:qFormat/>
    <w:uiPriority w:val="0"/>
    <w:rPr>
      <w:rFonts w:hint="eastAsia" w:ascii="宋体" w:hAnsi="宋体" w:eastAsia="宋体" w:cs="宋体"/>
      <w:color w:val="000000"/>
      <w:sz w:val="24"/>
      <w:szCs w:val="24"/>
      <w:u w:val="single"/>
    </w:rPr>
  </w:style>
  <w:style w:type="paragraph" w:customStyle="1" w:styleId="333">
    <w:name w:val="表格文字"/>
    <w:basedOn w:val="1"/>
    <w:next w:val="21"/>
    <w:autoRedefine/>
    <w:qFormat/>
    <w:uiPriority w:val="0"/>
    <w:pPr>
      <w:adjustRightInd w:val="0"/>
      <w:spacing w:line="420" w:lineRule="atLeast"/>
      <w:jc w:val="left"/>
      <w:textAlignment w:val="baseline"/>
    </w:pPr>
    <w:rPr>
      <w:kern w:val="0"/>
    </w:rPr>
  </w:style>
  <w:style w:type="character" w:customStyle="1" w:styleId="334">
    <w:name w:val="font01"/>
    <w:basedOn w:val="54"/>
    <w:autoRedefine/>
    <w:qFormat/>
    <w:uiPriority w:val="0"/>
    <w:rPr>
      <w:rFonts w:ascii="Arial" w:hAnsi="Arial" w:cs="Arial"/>
      <w:color w:val="000000"/>
      <w:sz w:val="18"/>
      <w:szCs w:val="18"/>
      <w:u w:val="none"/>
    </w:rPr>
  </w:style>
  <w:style w:type="paragraph" w:customStyle="1" w:styleId="335">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36">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37">
    <w:name w:val="font61"/>
    <w:basedOn w:val="54"/>
    <w:autoRedefine/>
    <w:qFormat/>
    <w:uiPriority w:val="0"/>
    <w:rPr>
      <w:rFonts w:hint="eastAsia" w:ascii="宋体" w:hAnsi="宋体" w:eastAsia="宋体" w:cs="宋体"/>
      <w:color w:val="000000"/>
      <w:sz w:val="20"/>
      <w:szCs w:val="20"/>
      <w:u w:val="none"/>
    </w:rPr>
  </w:style>
  <w:style w:type="character" w:customStyle="1" w:styleId="338">
    <w:name w:val="font81"/>
    <w:basedOn w:val="54"/>
    <w:autoRedefine/>
    <w:qFormat/>
    <w:uiPriority w:val="0"/>
    <w:rPr>
      <w:rFonts w:ascii="Calibri" w:hAnsi="Calibri" w:cs="Calibri"/>
      <w:color w:val="000000"/>
      <w:sz w:val="20"/>
      <w:szCs w:val="20"/>
      <w:u w:val="none"/>
    </w:rPr>
  </w:style>
  <w:style w:type="character" w:customStyle="1" w:styleId="339">
    <w:name w:val="font71"/>
    <w:basedOn w:val="54"/>
    <w:autoRedefine/>
    <w:qFormat/>
    <w:uiPriority w:val="0"/>
    <w:rPr>
      <w:rFonts w:hint="eastAsia" w:ascii="宋体" w:hAnsi="宋体" w:eastAsia="宋体" w:cs="宋体"/>
      <w:color w:val="000000"/>
      <w:sz w:val="22"/>
      <w:szCs w:val="22"/>
      <w:u w:val="none"/>
    </w:rPr>
  </w:style>
  <w:style w:type="paragraph" w:customStyle="1" w:styleId="340">
    <w:name w:val="01 正文-首行缩进2字符"/>
    <w:basedOn w:val="1"/>
    <w:autoRedefine/>
    <w:qFormat/>
    <w:uiPriority w:val="0"/>
    <w:pPr>
      <w:spacing w:before="50" w:beforeLines="50" w:after="50" w:afterLines="50"/>
      <w:ind w:firstLine="200" w:firstLineChars="200"/>
    </w:pPr>
    <w:rPr>
      <w:rFonts w:ascii="Arial" w:hAnsi="Arial"/>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59</Pages>
  <Words>20191</Words>
  <Characters>21078</Characters>
  <Lines>322</Lines>
  <Paragraphs>90</Paragraphs>
  <TotalTime>0</TotalTime>
  <ScaleCrop>false</ScaleCrop>
  <LinksUpToDate>false</LinksUpToDate>
  <CharactersWithSpaces>22073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2020-10-13T06:50:00Z</dcterms:created>
  <dc:creator>zyq</dc:creator>
  <cp:lastModifiedBy>历程</cp:lastModifiedBy>
  <cp:lastPrinted>2021-03-22T07:00:00Z</cp:lastPrinted>
  <dcterms:modified xsi:type="dcterms:W3CDTF">2025-04-30T04:44:28Z</dcterms:modified>
  <dc:title>招标文件目录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BC1BA64C697642BF92F420CC9F67FF35</vt:lpwstr>
  </property>
  <property fmtid="{D5CDD505-2E9C-101B-9397-08002B2CF9AE}" pid="4" name="KSOTemplateDocerSaveRecord">
    <vt:lpwstr>eyJoZGlkIjoiNzc5NjEzODExYjg0YzBhMzhhYjgzNmIyODJmYjYzMWEiLCJ1c2VySWQiOiIxNTUyNTMyNzYyIn0=</vt:lpwstr>
  </property>
</Properties>
</file>