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lear" w:pos="840"/>
        </w:tabs>
        <w:adjustRightInd/>
        <w:snapToGrid/>
        <w:spacing w:before="120" w:after="120" w:line="300" w:lineRule="exact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bookmarkStart w:id="0" w:name="_Toc451522337"/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温州市中医院</w:t>
      </w:r>
      <w:r>
        <w:rPr>
          <w:rFonts w:hint="eastAsia" w:hAnsi="宋体" w:cs="宋体"/>
          <w:b/>
          <w:bCs w:val="0"/>
          <w:color w:val="000000"/>
          <w:sz w:val="44"/>
          <w:szCs w:val="44"/>
          <w:lang w:val="en-US" w:eastAsia="zh-CN"/>
        </w:rPr>
        <w:t>一批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高压氧专用</w:t>
      </w:r>
      <w:r>
        <w:rPr>
          <w:rFonts w:hint="eastAsia" w:hAnsi="宋体" w:cs="宋体"/>
          <w:b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产品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采购</w:t>
      </w:r>
      <w:bookmarkEnd w:id="0"/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val="en-US" w:eastAsia="zh-CN"/>
        </w:rPr>
        <w:t>文件</w:t>
      </w:r>
    </w:p>
    <w:p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一、项目概况</w:t>
      </w:r>
    </w:p>
    <w:p>
      <w:pPr>
        <w:spacing w:line="360" w:lineRule="auto"/>
        <w:ind w:firstLine="480" w:firstLineChars="20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bookmarkStart w:id="1" w:name="OLE_LINK3"/>
      <w:bookmarkStart w:id="2" w:name="OLE_LINK4"/>
      <w:bookmarkStart w:id="5" w:name="_GoBack"/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温州市中医院</w:t>
      </w:r>
      <w:bookmarkStart w:id="3" w:name="OLE_LINK1"/>
      <w:r>
        <w:rPr>
          <w:rFonts w:hint="eastAsia" w:ascii="宋体" w:hAnsi="宋体" w:cs="宋体"/>
          <w:sz w:val="24"/>
          <w:szCs w:val="24"/>
          <w:lang w:val="en-US" w:eastAsia="zh-CN"/>
        </w:rPr>
        <w:t>一批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高压氧专用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产品采购</w:t>
      </w:r>
      <w:bookmarkEnd w:id="1"/>
      <w:bookmarkEnd w:id="5"/>
    </w:p>
    <w:bookmarkEnd w:id="2"/>
    <w:bookmarkEnd w:id="3"/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采购方式：公开遴选（非政府采购）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预算金额：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13600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</w:t>
      </w:r>
    </w:p>
    <w:p>
      <w:pPr>
        <w:spacing w:line="360" w:lineRule="auto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采购</w:t>
      </w:r>
      <w:r>
        <w:rPr>
          <w:rFonts w:hint="eastAsia" w:ascii="宋体" w:hAnsi="宋体" w:cs="宋体"/>
          <w:b/>
          <w:sz w:val="28"/>
          <w:szCs w:val="28"/>
        </w:rPr>
        <w:t>内容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及要求</w:t>
      </w:r>
    </w:p>
    <w:tbl>
      <w:tblPr>
        <w:tblStyle w:val="18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767"/>
        <w:gridCol w:w="3685"/>
        <w:gridCol w:w="1023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序号</w:t>
            </w:r>
          </w:p>
        </w:tc>
        <w:tc>
          <w:tcPr>
            <w:tcW w:w="17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产品名称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技术要求</w:t>
            </w:r>
          </w:p>
        </w:tc>
        <w:tc>
          <w:tcPr>
            <w:tcW w:w="102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7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高压氧棉被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cs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</w:rPr>
              <w:t>（1）规格：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200*120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cm</w:t>
            </w:r>
          </w:p>
          <w:p>
            <w:pPr>
              <w:spacing w:line="360" w:lineRule="auto"/>
              <w:ind w:left="240" w:hanging="240" w:hangingChars="100"/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</w:rPr>
              <w:t>C100优质全棉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</w:rPr>
              <w:t xml:space="preserve">         </w:t>
            </w:r>
          </w:p>
          <w:p>
            <w:pPr>
              <w:spacing w:line="360" w:lineRule="auto"/>
              <w:ind w:left="240" w:hanging="240" w:hangingChars="100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</w:rPr>
              <w:t>（3）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</w:rPr>
              <w:t>填充物2250克棉絮</w:t>
            </w:r>
          </w:p>
        </w:tc>
        <w:tc>
          <w:tcPr>
            <w:tcW w:w="10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条</w:t>
            </w: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17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高压氧棉褥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</w:rPr>
              <w:t>（1）规格：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190*60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cm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</w:rPr>
              <w:t>C100优质全棉，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</w:rPr>
              <w:t xml:space="preserve">         （3）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</w:rPr>
              <w:t>填充物1500克棉絮</w:t>
            </w:r>
          </w:p>
        </w:tc>
        <w:tc>
          <w:tcPr>
            <w:tcW w:w="10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条</w:t>
            </w: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17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高压氧棉被套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</w:rPr>
              <w:t>（1）规格：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200*120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cm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</w:rPr>
              <w:t>C100优质全棉</w:t>
            </w:r>
          </w:p>
        </w:tc>
        <w:tc>
          <w:tcPr>
            <w:tcW w:w="10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条</w:t>
            </w: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7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高压氧棉褥套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cs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</w:rPr>
              <w:t>（1）规格：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190*60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cm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</w:rPr>
              <w:t>C100优质全棉</w:t>
            </w:r>
          </w:p>
        </w:tc>
        <w:tc>
          <w:tcPr>
            <w:tcW w:w="10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条</w:t>
            </w: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7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高压氧棉枕芯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</w:rPr>
              <w:t>（1）规格：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78*46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cm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</w:rPr>
              <w:t>C100优质全棉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</w:rPr>
              <w:t xml:space="preserve">          （3）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</w:rPr>
              <w:t>填充物900克棉絮</w:t>
            </w:r>
          </w:p>
        </w:tc>
        <w:tc>
          <w:tcPr>
            <w:tcW w:w="10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只</w:t>
            </w: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7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17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高压氧棉枕套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</w:rPr>
              <w:t>（1）规格：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78*46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cm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</w:rPr>
              <w:t>C100优质全棉</w:t>
            </w:r>
          </w:p>
        </w:tc>
        <w:tc>
          <w:tcPr>
            <w:tcW w:w="10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只</w:t>
            </w:r>
          </w:p>
        </w:tc>
        <w:tc>
          <w:tcPr>
            <w:tcW w:w="108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40</w:t>
            </w:r>
          </w:p>
        </w:tc>
      </w:tr>
    </w:tbl>
    <w:p>
      <w:pPr>
        <w:pStyle w:val="4"/>
        <w:numPr>
          <w:ilvl w:val="3"/>
          <w:numId w:val="0"/>
        </w:numPr>
        <w:ind w:leftChars="0" w:firstLine="964" w:firstLineChars="400"/>
        <w:rPr>
          <w:rFonts w:hint="default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</w:rPr>
        <w:t>★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注：以上产品均须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color="auto" w:fill="FBFBFB"/>
          <w:lang w:val="en-US" w:eastAsia="zh-CN"/>
        </w:rPr>
        <w:t>提供全棉检测报告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color="auto" w:fill="FBFBFB"/>
          <w:lang w:val="en-US" w:eastAsia="zh-CN"/>
        </w:rPr>
        <w:t>，否则视为无效投标。</w:t>
      </w:r>
    </w:p>
    <w:p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  <w:t>、主要商务要求</w:t>
      </w:r>
    </w:p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  <w:t>1、报价方式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1.1本次采购采用固定单价合同（包括货物到达医院库房的运输费、保管费、检测费、税费及质保期内的一切费用等），在合同范围内及合同执行期限内不因原材料、人工、运输等因素的上涨或下跌进行调价。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采购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申请人在报价中须充分考虑可能承担的风险费用。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1.2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本次项目预计采购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高压氧专用棉服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套装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套，最终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甲方根据实际需求进行采购。</w:t>
      </w:r>
    </w:p>
    <w:p>
      <w:pPr>
        <w:numPr>
          <w:ilvl w:val="0"/>
          <w:numId w:val="2"/>
        </w:numPr>
        <w:spacing w:line="360" w:lineRule="auto"/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  <w:t>付款方式：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根据实际用量按实结算（供货数量×中标单价）。货物验收合格，甲方在收到发票后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三个月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内付清该批货款。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  <w:t>3、发货时间：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合同签订后5个工作日内交货并完成验收交付甲方使用。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  <w:t>4、到货地点：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温州市中医院指定地点。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5、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bidi="ar"/>
        </w:rPr>
        <w:t>验收标准：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符合我国国家有关技术规范和技术标准</w:t>
      </w:r>
    </w:p>
    <w:p>
      <w:pPr>
        <w:spacing w:line="360" w:lineRule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6、交货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、验收合格前所产生的一切费用（包括卸货、搬运、必要时的安全性能检测费等）由供方负责提供。</w:t>
      </w:r>
    </w:p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7</w:t>
      </w:r>
      <w:r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  <w:t>、质保期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7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.1中标人对提交的所有产品免费质保期不少于1年，质保期从货物验收合格交付使用之日起算。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7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.2质保期内，由于产品自身原因出现问题，由中标人免费更换，并达到合同约定的质量要求，中标人应该在收到院方更换通知24小时内解决处理。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8</w:t>
      </w:r>
      <w:r>
        <w:rPr>
          <w:rFonts w:hint="default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、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发货前，中标供应商须提供该批次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产品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的检测合格报告。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9</w:t>
      </w:r>
      <w:r>
        <w:rPr>
          <w:rFonts w:hint="default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bidi="ar"/>
        </w:rPr>
        <w:t>投标商提供的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产品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bidi="ar"/>
        </w:rPr>
        <w:t>必须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为最新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bidi="ar"/>
        </w:rPr>
        <w:t>生产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eastAsia="zh-CN" w:bidi="ar"/>
        </w:rPr>
        <w:t>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最新款式</w:t>
      </w:r>
    </w:p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五</w:t>
      </w:r>
      <w:r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  <w:t>、其它要求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1、供应商需要考虑所供产品布料缩水率，确保产品合身。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2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、工作范围：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根据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采购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文件，各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供应商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须按国家有关标准及规范完成下列工作：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（1）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提供完整成套的货物（包括原材料、加工、制作等）；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（2）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产品及相关附件的提供、运输、装卸；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（3）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在采购人的配合下通过验收；并提供出厂产品合格证、产品检验证明，直至通过验收；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（4）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售后服务的措施及承诺。</w:t>
      </w:r>
    </w:p>
    <w:p>
      <w:pPr>
        <w:spacing w:line="360" w:lineRule="auto"/>
        <w:ind w:firstLine="480" w:firstLineChars="200"/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以上工作内容的费用均包含在报价总价中。</w:t>
      </w:r>
    </w:p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六</w:t>
      </w:r>
      <w:r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  <w:t>、样品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供应商根据采购内容及评分要求提供样品：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高压氧棉被套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条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高压氧棉枕芯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1只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高压氧棉枕套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1只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注：评审结束后，中标供应商的样品须封装后由采购人留样保存。未中标供应商的样品由供应商自行带回。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评分细则</w:t>
      </w:r>
    </w:p>
    <w:p>
      <w:pPr>
        <w:spacing w:line="360" w:lineRule="auto"/>
        <w:ind w:firstLine="457" w:firstLineChars="196"/>
        <w:rPr>
          <w:rStyle w:val="20"/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1、商务技术分（0-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60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分）</w:t>
      </w:r>
    </w:p>
    <w:tbl>
      <w:tblPr>
        <w:tblStyle w:val="18"/>
        <w:tblW w:w="10075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95"/>
        <w:gridCol w:w="6045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bookmarkStart w:id="4" w:name="OLE_LINK2" w:colFirst="0" w:colLast="3"/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评分内容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评审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细则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技术参数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符合性</w:t>
            </w:r>
          </w:p>
        </w:tc>
        <w:tc>
          <w:tcPr>
            <w:tcW w:w="6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对应于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采购</w:t>
            </w:r>
            <w:r>
              <w:rPr>
                <w:rFonts w:hint="eastAsia"/>
                <w:sz w:val="22"/>
                <w:szCs w:val="22"/>
              </w:rPr>
              <w:t>文件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中</w:t>
            </w:r>
            <w:r>
              <w:rPr>
                <w:rFonts w:hint="eastAsia"/>
                <w:sz w:val="22"/>
                <w:szCs w:val="22"/>
              </w:rPr>
              <w:t>技术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参数</w:t>
            </w:r>
            <w:r>
              <w:rPr>
                <w:rFonts w:hint="eastAsia"/>
                <w:sz w:val="22"/>
                <w:szCs w:val="22"/>
              </w:rPr>
              <w:t>的偏离度，每一项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负</w:t>
            </w:r>
            <w:r>
              <w:rPr>
                <w:rFonts w:hint="eastAsia"/>
                <w:sz w:val="22"/>
                <w:szCs w:val="22"/>
              </w:rPr>
              <w:t>偏离扣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2"/>
                <w:szCs w:val="22"/>
              </w:rPr>
              <w:t>分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扣完为止。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注：投标人须在偏离表中明确。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样品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（1）</w:t>
            </w:r>
            <w:r>
              <w:rPr>
                <w:sz w:val="22"/>
                <w:szCs w:val="22"/>
              </w:rPr>
              <w:t>外观质量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0-3</w:t>
            </w:r>
            <w:r>
              <w:rPr>
                <w:rFonts w:hint="eastAsia"/>
                <w:sz w:val="22"/>
                <w:szCs w:val="22"/>
              </w:rPr>
              <w:t>分）：</w:t>
            </w:r>
            <w:r>
              <w:rPr>
                <w:sz w:val="22"/>
                <w:szCs w:val="22"/>
              </w:rPr>
              <w:t>主要表面部位有无明显织疵</w:t>
            </w:r>
            <w:r>
              <w:rPr>
                <w:rFonts w:hint="eastAsia"/>
                <w:sz w:val="22"/>
                <w:szCs w:val="22"/>
              </w:rPr>
              <w:t>；</w:t>
            </w:r>
            <w:r>
              <w:rPr>
                <w:sz w:val="22"/>
                <w:szCs w:val="22"/>
              </w:rPr>
              <w:t>主要缝接部位有无色差</w:t>
            </w:r>
            <w:r>
              <w:rPr>
                <w:rFonts w:hint="eastAsia"/>
                <w:sz w:val="22"/>
                <w:szCs w:val="22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instrText xml:space="preserve"> HYPERLINK "https://www.alltextile.cn/" \t "_blank" </w:instrTex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面料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的花型</w:t>
            </w:r>
            <w:r>
              <w:rPr>
                <w:sz w:val="22"/>
                <w:szCs w:val="22"/>
              </w:rPr>
              <w:t>、倒顺毛是否顺向一致，主要部位是否对称、对齐。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（2）</w:t>
            </w:r>
            <w:r>
              <w:rPr>
                <w:sz w:val="22"/>
                <w:szCs w:val="22"/>
              </w:rPr>
              <w:t>缝制质量</w:t>
            </w:r>
            <w:r>
              <w:rPr>
                <w:rFonts w:hint="eastAsia"/>
                <w:sz w:val="22"/>
                <w:szCs w:val="22"/>
              </w:rPr>
              <w:t>（制造工艺）</w:t>
            </w: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0-3</w:t>
            </w:r>
            <w:r>
              <w:rPr>
                <w:rFonts w:hint="eastAsia"/>
                <w:sz w:val="22"/>
                <w:szCs w:val="22"/>
              </w:rPr>
              <w:t>分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各部位的缝制线路是否顺直，拼缝是否平服</w:t>
            </w:r>
            <w:r>
              <w:rPr>
                <w:rFonts w:hint="eastAsia"/>
                <w:sz w:val="2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（3）样品的材质、舒适度（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0-3</w:t>
            </w:r>
            <w:r>
              <w:rPr>
                <w:rFonts w:hint="eastAsia"/>
                <w:sz w:val="22"/>
                <w:szCs w:val="22"/>
              </w:rPr>
              <w:t>分）；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（4）外观设计的美观性（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0-3</w:t>
            </w:r>
            <w:r>
              <w:rPr>
                <w:rFonts w:hint="eastAsia"/>
                <w:sz w:val="22"/>
                <w:szCs w:val="22"/>
              </w:rPr>
              <w:t>分）；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（5）产品功能实用性、适用性（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0-3</w:t>
            </w:r>
            <w:r>
              <w:rPr>
                <w:rFonts w:hint="eastAsia"/>
                <w:sz w:val="22"/>
                <w:szCs w:val="22"/>
              </w:rPr>
              <w:t>分）</w:t>
            </w:r>
            <w:r>
              <w:rPr>
                <w:rFonts w:hint="eastAsia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投标产品业绩</w:t>
            </w:r>
          </w:p>
        </w:tc>
        <w:tc>
          <w:tcPr>
            <w:tcW w:w="6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shd w:val="clear"/>
              </w:rPr>
              <w:t>评委对投标产品</w:t>
            </w:r>
            <w:r>
              <w:rPr>
                <w:rFonts w:hint="eastAsia"/>
                <w:color w:val="auto"/>
                <w:sz w:val="22"/>
                <w:szCs w:val="22"/>
                <w:shd w:val="clear" w:color="auto"/>
              </w:rPr>
              <w:t>20</w:t>
            </w:r>
            <w:r>
              <w:rPr>
                <w:rFonts w:hint="eastAsia"/>
                <w:color w:val="auto"/>
                <w:sz w:val="22"/>
                <w:szCs w:val="22"/>
                <w:shd w:val="clear" w:color="auto"/>
                <w:lang w:val="en-US" w:eastAsia="zh-CN"/>
              </w:rPr>
              <w:t>22</w:t>
            </w:r>
            <w:r>
              <w:rPr>
                <w:rFonts w:hint="eastAsia"/>
                <w:color w:val="auto"/>
                <w:sz w:val="22"/>
                <w:szCs w:val="22"/>
                <w:shd w:val="clear" w:color="auto"/>
              </w:rPr>
              <w:t>年1月1日</w:t>
            </w:r>
            <w:r>
              <w:rPr>
                <w:rFonts w:hint="eastAsia"/>
                <w:color w:val="auto"/>
                <w:sz w:val="22"/>
                <w:szCs w:val="22"/>
                <w:shd w:val="clear"/>
              </w:rPr>
              <w:t>起</w:t>
            </w:r>
            <w:r>
              <w:rPr>
                <w:rFonts w:hint="eastAsia"/>
                <w:color w:val="auto"/>
                <w:sz w:val="22"/>
                <w:szCs w:val="22"/>
                <w:shd w:val="clear"/>
                <w:lang w:val="en-US" w:eastAsia="zh-CN"/>
              </w:rPr>
              <w:t>同类项目业绩</w:t>
            </w:r>
            <w:r>
              <w:rPr>
                <w:rFonts w:hint="eastAsia"/>
                <w:color w:val="auto"/>
                <w:sz w:val="22"/>
                <w:szCs w:val="22"/>
                <w:shd w:val="clear"/>
              </w:rPr>
              <w:t>数（提供合同复印件</w:t>
            </w:r>
            <w:r>
              <w:rPr>
                <w:rFonts w:hint="eastAsia"/>
                <w:color w:val="auto"/>
                <w:sz w:val="22"/>
                <w:szCs w:val="22"/>
                <w:shd w:val="clear"/>
                <w:lang w:val="en-US" w:eastAsia="zh-CN"/>
              </w:rPr>
              <w:t>并加盖投标人公章</w:t>
            </w:r>
            <w:r>
              <w:rPr>
                <w:rFonts w:hint="eastAsia"/>
                <w:color w:val="auto"/>
                <w:sz w:val="22"/>
                <w:szCs w:val="22"/>
                <w:shd w:val="clear"/>
              </w:rPr>
              <w:t>）进行评分。每个</w:t>
            </w:r>
            <w:r>
              <w:rPr>
                <w:rFonts w:hint="eastAsia"/>
                <w:color w:val="auto"/>
                <w:sz w:val="22"/>
                <w:szCs w:val="22"/>
                <w:shd w:val="clear"/>
                <w:lang w:val="en-US" w:eastAsia="zh-CN"/>
              </w:rPr>
              <w:t>业绩</w:t>
            </w:r>
            <w:r>
              <w:rPr>
                <w:rFonts w:hint="eastAsia"/>
                <w:color w:val="auto"/>
                <w:sz w:val="22"/>
                <w:szCs w:val="22"/>
                <w:shd w:val="clear"/>
              </w:rPr>
              <w:t>得1分，满分为</w:t>
            </w:r>
            <w:r>
              <w:rPr>
                <w:rFonts w:hint="eastAsia"/>
                <w:color w:val="auto"/>
                <w:sz w:val="22"/>
                <w:szCs w:val="22"/>
                <w:shd w:val="clear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2"/>
                <w:szCs w:val="22"/>
                <w:shd w:val="clear"/>
              </w:rPr>
              <w:t>分。</w:t>
            </w:r>
            <w:r>
              <w:rPr>
                <w:rFonts w:hint="eastAsia"/>
                <w:color w:val="auto"/>
                <w:sz w:val="22"/>
                <w:szCs w:val="22"/>
                <w:shd w:val="clear" w:color="auto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szCs w:val="22"/>
                <w:shd w:val="clear" w:color="auto"/>
                <w:lang w:val="en-US" w:eastAsia="zh-CN"/>
              </w:rPr>
              <w:t>与同一个采购单位签订的多份合同算一个业绩</w:t>
            </w:r>
            <w:r>
              <w:rPr>
                <w:rFonts w:hint="eastAsia"/>
                <w:color w:val="auto"/>
                <w:sz w:val="22"/>
                <w:szCs w:val="22"/>
                <w:shd w:val="clear" w:color="auto"/>
                <w:lang w:eastAsia="zh-CN"/>
              </w:rPr>
              <w:t>）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  <w:r>
              <w:rPr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售后服务能力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评委根据供应商提供的售后服务方案情况，对交货后出现不合格产品等问题所采取的措施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等进行综合比较打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分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shd w:val="clear" w:color="auto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color w:val="auto"/>
                <w:sz w:val="22"/>
                <w:szCs w:val="22"/>
                <w:highlight w:val="none"/>
                <w:shd w:val="clear" w:color="auto"/>
                <w:lang w:val="en-US" w:eastAsia="zh-CN"/>
              </w:rPr>
              <w:t>0-7分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shd w:val="clear" w:color="auto"/>
                <w:lang w:eastAsia="zh-CN"/>
              </w:rPr>
              <w:t>）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shd w:val="clear"/>
              </w:rPr>
              <w:t>。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shd w:val="clear" w:color="auto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22"/>
                <w:szCs w:val="22"/>
                <w:shd w:val="clear" w:color="auto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原材料检测报告</w:t>
            </w:r>
          </w:p>
        </w:tc>
        <w:tc>
          <w:tcPr>
            <w:tcW w:w="6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根据供应商提供的原材料检测报告情况（详细度、完整度）进行综合比较打分（0-5分）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/>
                <w:sz w:val="22"/>
                <w:szCs w:val="22"/>
              </w:rPr>
              <w:t>分</w:t>
            </w:r>
          </w:p>
        </w:tc>
      </w:tr>
      <w:bookmarkEnd w:id="4"/>
    </w:tbl>
    <w:p>
      <w:pPr>
        <w:pStyle w:val="10"/>
        <w:ind w:left="0" w:leftChars="0" w:firstLine="0" w:firstLineChars="0"/>
        <w:rPr>
          <w:rFonts w:hint="default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before="120" w:beforeLines="50" w:after="120" w:afterLines="50" w:line="360" w:lineRule="auto"/>
        <w:ind w:firstLine="466" w:firstLineChars="200"/>
        <w:jc w:val="both"/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价格分（0-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分）</w:t>
      </w:r>
    </w:p>
    <w:p>
      <w:pPr>
        <w:numPr>
          <w:ilvl w:val="0"/>
          <w:numId w:val="0"/>
        </w:numPr>
        <w:spacing w:before="120" w:beforeLines="50" w:after="120" w:afterLines="50" w:line="360" w:lineRule="auto"/>
        <w:ind w:firstLine="464" w:firstLineChars="200"/>
        <w:jc w:val="both"/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  <w:t>价格分采用低价优先法计算，即满足招标文件要求且投标报价最低的投标报价为评标基准价，其得分为满分</w:t>
      </w: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  <w:t>分。其他投标人的价格分按照下列公式计算：</w:t>
      </w:r>
    </w:p>
    <w:p>
      <w:pPr>
        <w:spacing w:before="120" w:beforeLines="50" w:after="120" w:afterLines="50"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价格分=（评标基准价/</w:t>
      </w:r>
      <w:r>
        <w:rPr>
          <w:rFonts w:hint="eastAsia" w:asciiTheme="minorEastAsia" w:hAnsiTheme="minorEastAsia" w:eastAsiaTheme="minorEastAsia" w:cstheme="minorEastAsia"/>
          <w:bCs/>
          <w:spacing w:val="-4"/>
          <w:sz w:val="24"/>
          <w:szCs w:val="24"/>
        </w:rPr>
        <w:t>投标报价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%×100</w:t>
      </w:r>
    </w:p>
    <w:p>
      <w:pPr>
        <w:pStyle w:val="4"/>
        <w:jc w:val="center"/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jc w:val="center"/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（一）报价一览表</w:t>
      </w:r>
    </w:p>
    <w:p>
      <w:pPr>
        <w:spacing w:line="360" w:lineRule="auto"/>
        <w:ind w:firstLine="440" w:firstLineChars="200"/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</w:pP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>项目名称：</w:t>
      </w:r>
      <w:r>
        <w:rPr>
          <w:rFonts w:hint="eastAsia" w:ascii="宋体" w:hAnsi="宋体" w:eastAsia="宋体" w:cs="宋体"/>
          <w:sz w:val="22"/>
          <w:szCs w:val="22"/>
          <w:lang w:val="en-US" w:eastAsia="zh-Hans"/>
        </w:rPr>
        <w:t>温州市中医院</w:t>
      </w:r>
      <w:r>
        <w:rPr>
          <w:rFonts w:hint="eastAsia" w:ascii="宋体" w:hAnsi="宋体" w:cs="宋体"/>
          <w:sz w:val="22"/>
          <w:szCs w:val="22"/>
          <w:lang w:val="en-US" w:eastAsia="zh-CN"/>
        </w:rPr>
        <w:t>一批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高压氧专用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 xml:space="preserve">产品采购         </w:t>
      </w:r>
      <w:r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  <w:t xml:space="preserve">  </w:t>
      </w:r>
    </w:p>
    <w:tbl>
      <w:tblPr>
        <w:tblStyle w:val="17"/>
        <w:tblW w:w="9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914"/>
        <w:gridCol w:w="2809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序号</w:t>
            </w:r>
          </w:p>
        </w:tc>
        <w:tc>
          <w:tcPr>
            <w:tcW w:w="391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</w:rPr>
              <w:t>报价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人民币元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319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3914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Hans"/>
              </w:rPr>
              <w:t>温州市中医院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一批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高压氧专用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产品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大写：</w:t>
            </w:r>
          </w:p>
        </w:tc>
        <w:tc>
          <w:tcPr>
            <w:tcW w:w="185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319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3914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2809" w:type="dxa"/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小写：</w:t>
            </w: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</w:tr>
    </w:tbl>
    <w:p>
      <w:pPr>
        <w:pStyle w:val="7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2"/>
          <w:szCs w:val="1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18"/>
          <w:highlight w:val="none"/>
        </w:rPr>
        <w:t xml:space="preserve">                          </w:t>
      </w:r>
    </w:p>
    <w:p>
      <w:pPr>
        <w:spacing w:line="450" w:lineRule="exact"/>
        <w:ind w:firstLine="541" w:firstLineChars="245"/>
        <w:rPr>
          <w:rFonts w:hint="eastAsia" w:ascii="宋体" w:hAnsi="宋体" w:eastAsia="宋体" w:cs="宋体"/>
          <w:b/>
          <w:color w:val="auto"/>
          <w:sz w:val="22"/>
          <w:highlight w:val="none"/>
        </w:rPr>
      </w:pPr>
    </w:p>
    <w:p>
      <w:pPr>
        <w:spacing w:line="240" w:lineRule="auto"/>
        <w:rPr>
          <w:rFonts w:hint="eastAsia" w:ascii="宋体" w:hAnsi="宋体" w:eastAsia="宋体" w:cs="宋体"/>
          <w:b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说明：</w:t>
      </w:r>
    </w:p>
    <w:p>
      <w:pPr>
        <w:spacing w:line="360" w:lineRule="auto"/>
        <w:ind w:firstLine="442" w:firstLineChars="200"/>
        <w:rPr>
          <w:rFonts w:hint="eastAsia" w:ascii="宋体" w:hAnsi="宋体" w:eastAsia="宋体" w:cs="宋体"/>
          <w:b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、全部报价均为税后价。</w:t>
      </w:r>
    </w:p>
    <w:p>
      <w:pPr>
        <w:pStyle w:val="2"/>
        <w:spacing w:line="360" w:lineRule="auto"/>
        <w:ind w:firstLine="442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2、</w:t>
      </w:r>
      <w:r>
        <w:rPr>
          <w:rFonts w:hint="eastAsia"/>
          <w:sz w:val="22"/>
          <w:szCs w:val="22"/>
        </w:rPr>
        <w:t>投标总价应包括本项目整个服务期所需的一切设备、材料、软硬件、人工、工具、设备、保险、交通、利润、税金（包含须由投标人承担的各种税费）、其它需投标人承担的费用及潜在可能涉及的一切费用。投标人应认真计算可能发生的各相关费用并计入投标报价内，在项目实施过程中不得藉此要求增加任何费用。如上述没有提及但该项目仍需要的内容，请投标人自行考虑一并计入投标报价中（未计入的，视为投标人的优惠）</w:t>
      </w:r>
    </w:p>
    <w:p>
      <w:pPr>
        <w:pStyle w:val="2"/>
        <w:spacing w:line="360" w:lineRule="auto"/>
        <w:ind w:firstLine="442" w:firstLineChars="200"/>
        <w:rPr>
          <w:rFonts w:hint="eastAsia" w:ascii="宋体" w:hAnsi="宋体" w:eastAsia="宋体" w:cs="宋体"/>
          <w:b/>
          <w:color w:val="auto"/>
          <w:sz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、不提供此表格将被视为没有实质性响应文件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  <w:lang w:eastAsia="zh-CN"/>
        </w:rPr>
        <w:t>。</w:t>
      </w:r>
    </w:p>
    <w:p>
      <w:pPr>
        <w:ind w:firstLine="442" w:firstLineChars="200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2"/>
          <w:highlight w:val="none"/>
          <w:lang w:val="en-US" w:eastAsia="zh-CN"/>
        </w:rPr>
        <w:t>4、报价超过预算金额按无效标处理。</w:t>
      </w:r>
    </w:p>
    <w:p>
      <w:pPr>
        <w:spacing w:line="460" w:lineRule="exact"/>
        <w:ind w:firstLine="4400" w:firstLineChars="200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      </w:t>
      </w:r>
    </w:p>
    <w:p>
      <w:pPr>
        <w:spacing w:line="460" w:lineRule="exact"/>
        <w:ind w:firstLine="4400" w:firstLineChars="200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  供应商全称（盖章）：</w:t>
      </w:r>
    </w:p>
    <w:p>
      <w:pPr>
        <w:spacing w:line="460" w:lineRule="exact"/>
        <w:ind w:firstLine="4400" w:firstLineChars="200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  供应商代表（签字）：</w:t>
      </w:r>
    </w:p>
    <w:p>
      <w:pPr>
        <w:spacing w:line="460" w:lineRule="exact"/>
        <w:ind w:firstLine="4400" w:firstLineChars="200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  日  期：   </w:t>
      </w:r>
    </w:p>
    <w:p>
      <w:pPr>
        <w:tabs>
          <w:tab w:val="left" w:pos="774"/>
        </w:tabs>
        <w:autoSpaceDE w:val="0"/>
        <w:autoSpaceDN w:val="0"/>
        <w:spacing w:before="240" w:line="276" w:lineRule="auto"/>
        <w:ind w:left="774" w:hanging="576"/>
        <w:jc w:val="center"/>
        <w:outlineLvl w:val="2"/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zh-CN"/>
        </w:rPr>
      </w:pPr>
    </w:p>
    <w:p>
      <w:pPr>
        <w:tabs>
          <w:tab w:val="left" w:pos="774"/>
        </w:tabs>
        <w:autoSpaceDE w:val="0"/>
        <w:autoSpaceDN w:val="0"/>
        <w:spacing w:before="240" w:line="276" w:lineRule="auto"/>
        <w:ind w:left="774" w:hanging="576"/>
        <w:jc w:val="center"/>
        <w:outlineLvl w:val="2"/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zh-CN"/>
        </w:rPr>
      </w:pPr>
    </w:p>
    <w:p>
      <w:pPr>
        <w:tabs>
          <w:tab w:val="left" w:pos="774"/>
        </w:tabs>
        <w:autoSpaceDE w:val="0"/>
        <w:autoSpaceDN w:val="0"/>
        <w:spacing w:before="240" w:line="276" w:lineRule="auto"/>
        <w:ind w:left="774" w:hanging="576"/>
        <w:jc w:val="center"/>
        <w:outlineLvl w:val="2"/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zh-CN"/>
        </w:rPr>
      </w:pPr>
    </w:p>
    <w:p>
      <w:pPr>
        <w:tabs>
          <w:tab w:val="left" w:pos="774"/>
        </w:tabs>
        <w:autoSpaceDE w:val="0"/>
        <w:autoSpaceDN w:val="0"/>
        <w:spacing w:before="240" w:line="276" w:lineRule="auto"/>
        <w:ind w:left="774" w:hanging="576"/>
        <w:jc w:val="center"/>
        <w:outlineLvl w:val="2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zh-CN"/>
        </w:rPr>
        <w:t>（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zh-CN"/>
        </w:rPr>
        <w:t>）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分项报价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zh-CN"/>
        </w:rPr>
        <w:t>表</w:t>
      </w:r>
    </w:p>
    <w:tbl>
      <w:tblPr>
        <w:tblStyle w:val="17"/>
        <w:tblW w:w="10773" w:type="dxa"/>
        <w:tblInd w:w="-4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936"/>
        <w:gridCol w:w="1132"/>
        <w:gridCol w:w="1050"/>
        <w:gridCol w:w="1377"/>
        <w:gridCol w:w="1378"/>
        <w:gridCol w:w="1378"/>
        <w:gridCol w:w="1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规格（cm )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高压氧棉被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条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200*120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高压氧棉褥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条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190*60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高压氧棉被套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条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200*120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高压氧棉褥套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条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190*60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高压氧棉枕芯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只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78*46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高压氧棉枕套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只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78*46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7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总计价（元）</w:t>
            </w:r>
          </w:p>
        </w:tc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240" w:lineRule="auto"/>
        <w:rPr>
          <w:rFonts w:hint="eastAsia" w:ascii="宋体" w:hAnsi="宋体" w:eastAsia="宋体" w:cs="宋体"/>
          <w:b/>
          <w:color w:val="auto"/>
          <w:sz w:val="22"/>
          <w:highlight w:val="none"/>
        </w:rPr>
      </w:pPr>
    </w:p>
    <w:p>
      <w:pPr>
        <w:spacing w:line="240" w:lineRule="auto"/>
        <w:rPr>
          <w:rFonts w:hint="eastAsia" w:ascii="宋体" w:hAnsi="宋体" w:eastAsia="宋体" w:cs="宋体"/>
          <w:b/>
          <w:color w:val="auto"/>
          <w:sz w:val="22"/>
          <w:highlight w:val="none"/>
        </w:rPr>
      </w:pPr>
    </w:p>
    <w:p>
      <w:pPr>
        <w:spacing w:line="240" w:lineRule="auto"/>
        <w:rPr>
          <w:rFonts w:hint="eastAsia" w:ascii="宋体" w:hAnsi="宋体" w:eastAsia="宋体" w:cs="宋体"/>
          <w:b/>
          <w:color w:val="auto"/>
          <w:sz w:val="22"/>
          <w:highlight w:val="none"/>
        </w:rPr>
      </w:pPr>
    </w:p>
    <w:p>
      <w:pPr>
        <w:spacing w:line="240" w:lineRule="auto"/>
        <w:rPr>
          <w:rFonts w:hint="eastAsia" w:ascii="宋体" w:hAnsi="宋体" w:eastAsia="宋体" w:cs="宋体"/>
          <w:b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说明：</w:t>
      </w:r>
    </w:p>
    <w:p>
      <w:pPr>
        <w:spacing w:line="360" w:lineRule="auto"/>
        <w:ind w:firstLine="442" w:firstLineChars="200"/>
        <w:rPr>
          <w:rFonts w:hint="eastAsia" w:ascii="宋体" w:hAnsi="宋体" w:eastAsia="宋体" w:cs="宋体"/>
          <w:b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、全部报价均为税后价。</w:t>
      </w:r>
    </w:p>
    <w:p>
      <w:pPr>
        <w:pStyle w:val="2"/>
        <w:spacing w:line="360" w:lineRule="auto"/>
        <w:ind w:firstLine="442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2、</w:t>
      </w:r>
      <w:r>
        <w:rPr>
          <w:rFonts w:hint="eastAsia"/>
          <w:sz w:val="22"/>
          <w:szCs w:val="22"/>
        </w:rPr>
        <w:t>投标总价应包括本项目整个服务期所需的一切设备、材料、软硬件、人工、工具、设备、保险、交通、利润、税金（包含须由投标人承担的各种税费）、其它需投标人承担的费用及潜在可能涉及的一切费用。投标人应认真计算可能发生的各相关费用并计入投标报价内，在项目实施过程中不得藉此要求增加任何费用。如上述没有提及但该项目仍需要的内容，请投标人自行考虑一并计入投标报价中（未计入的，视为投标人的优惠）</w:t>
      </w:r>
    </w:p>
    <w:p>
      <w:pPr>
        <w:pStyle w:val="2"/>
        <w:spacing w:line="360" w:lineRule="auto"/>
        <w:ind w:firstLine="442" w:firstLineChars="200"/>
        <w:rPr>
          <w:rFonts w:hint="eastAsia" w:ascii="宋体" w:hAnsi="宋体" w:eastAsia="宋体" w:cs="宋体"/>
          <w:b/>
          <w:color w:val="auto"/>
          <w:sz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、不提供此表格将被视为没有实质性响应文件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  <w:lang w:eastAsia="zh-CN"/>
        </w:rPr>
        <w:t>。</w:t>
      </w:r>
    </w:p>
    <w:p>
      <w:pPr>
        <w:ind w:firstLine="442" w:firstLineChars="20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color w:val="auto"/>
          <w:sz w:val="22"/>
          <w:highlight w:val="none"/>
          <w:lang w:val="en-US" w:eastAsia="zh-CN"/>
        </w:rPr>
        <w:t>4、报价超过预算金额按无效标处理。</w:t>
      </w:r>
    </w:p>
    <w:p>
      <w:pPr>
        <w:spacing w:line="460" w:lineRule="exact"/>
        <w:ind w:firstLine="4400" w:firstLineChars="200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  供应商全称（盖章）：</w:t>
      </w:r>
    </w:p>
    <w:p>
      <w:pPr>
        <w:spacing w:line="460" w:lineRule="exact"/>
        <w:ind w:firstLine="4400" w:firstLineChars="200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  供应商代表（签字）：</w:t>
      </w:r>
    </w:p>
    <w:p>
      <w:pPr>
        <w:spacing w:line="460" w:lineRule="exact"/>
        <w:ind w:firstLine="4400" w:firstLineChars="2000"/>
        <w:rPr>
          <w:rFonts w:hint="eastAsia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  日  期：   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color w:val="000000"/>
          <w:szCs w:val="21"/>
        </w:rPr>
      </w:pPr>
    </w:p>
    <w:p>
      <w:pPr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left"/>
        <w:rPr>
          <w:sz w:val="24"/>
        </w:rPr>
      </w:pPr>
    </w:p>
    <w:p>
      <w:pPr>
        <w:spacing w:line="380" w:lineRule="exact"/>
        <w:rPr>
          <w:rFonts w:hint="eastAsia"/>
        </w:rPr>
      </w:pPr>
    </w:p>
    <w:sectPr>
      <w:footerReference r:id="rId3" w:type="default"/>
      <w:pgSz w:w="11906" w:h="16838"/>
      <w:pgMar w:top="850" w:right="1236" w:bottom="85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12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40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4381D"/>
    <w:multiLevelType w:val="singleLevel"/>
    <w:tmpl w:val="CF74381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F531BBC"/>
    <w:multiLevelType w:val="singleLevel"/>
    <w:tmpl w:val="4F531BB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D497C9E"/>
    <w:multiLevelType w:val="multilevel"/>
    <w:tmpl w:val="5D497C9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2"/>
        <w:szCs w:val="32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IzN2FlZGQyNmExMDc1YTc1OWIxYmFlNmE1NTFhMTUifQ=="/>
  </w:docVars>
  <w:rsids>
    <w:rsidRoot w:val="442D7AA8"/>
    <w:rsid w:val="000838A3"/>
    <w:rsid w:val="0029760C"/>
    <w:rsid w:val="003D41C7"/>
    <w:rsid w:val="003E091A"/>
    <w:rsid w:val="00537F7B"/>
    <w:rsid w:val="005D6C7D"/>
    <w:rsid w:val="0077449E"/>
    <w:rsid w:val="009C732C"/>
    <w:rsid w:val="00A81427"/>
    <w:rsid w:val="00BD504C"/>
    <w:rsid w:val="00DB7EDC"/>
    <w:rsid w:val="00FA6B75"/>
    <w:rsid w:val="03BC4EA5"/>
    <w:rsid w:val="03C84B20"/>
    <w:rsid w:val="04B15D87"/>
    <w:rsid w:val="061E2864"/>
    <w:rsid w:val="076646E5"/>
    <w:rsid w:val="084B5379"/>
    <w:rsid w:val="09CB578A"/>
    <w:rsid w:val="0F427144"/>
    <w:rsid w:val="0F9C6A6C"/>
    <w:rsid w:val="1124087B"/>
    <w:rsid w:val="15F0193F"/>
    <w:rsid w:val="16586A57"/>
    <w:rsid w:val="16EF2001"/>
    <w:rsid w:val="17B96491"/>
    <w:rsid w:val="1B951E05"/>
    <w:rsid w:val="1ED3428B"/>
    <w:rsid w:val="203F5CE6"/>
    <w:rsid w:val="2195168A"/>
    <w:rsid w:val="252A6495"/>
    <w:rsid w:val="25900E53"/>
    <w:rsid w:val="26614AE7"/>
    <w:rsid w:val="26A36964"/>
    <w:rsid w:val="26D9654C"/>
    <w:rsid w:val="2A061B01"/>
    <w:rsid w:val="2A6B7798"/>
    <w:rsid w:val="2A6D24D2"/>
    <w:rsid w:val="2C0B329E"/>
    <w:rsid w:val="2DCF6290"/>
    <w:rsid w:val="2EE23DA1"/>
    <w:rsid w:val="31C16B04"/>
    <w:rsid w:val="32E87DD1"/>
    <w:rsid w:val="332E495D"/>
    <w:rsid w:val="33F15215"/>
    <w:rsid w:val="35584BB1"/>
    <w:rsid w:val="368048EA"/>
    <w:rsid w:val="36F20F59"/>
    <w:rsid w:val="36FF0897"/>
    <w:rsid w:val="38473A9D"/>
    <w:rsid w:val="38620F4A"/>
    <w:rsid w:val="3A5C534F"/>
    <w:rsid w:val="3AA307AA"/>
    <w:rsid w:val="3D4A148F"/>
    <w:rsid w:val="3D766728"/>
    <w:rsid w:val="3F351791"/>
    <w:rsid w:val="42417305"/>
    <w:rsid w:val="43F47C2B"/>
    <w:rsid w:val="442D7AA8"/>
    <w:rsid w:val="45B222C8"/>
    <w:rsid w:val="46AB0BAA"/>
    <w:rsid w:val="4B2C08F7"/>
    <w:rsid w:val="4B86017E"/>
    <w:rsid w:val="4BB26B7D"/>
    <w:rsid w:val="4F835253"/>
    <w:rsid w:val="50430A48"/>
    <w:rsid w:val="52957526"/>
    <w:rsid w:val="539C47DE"/>
    <w:rsid w:val="57A36574"/>
    <w:rsid w:val="58D72375"/>
    <w:rsid w:val="5A1D1FAE"/>
    <w:rsid w:val="5D2B41A3"/>
    <w:rsid w:val="5DAF6DF6"/>
    <w:rsid w:val="5EEC01A1"/>
    <w:rsid w:val="61165EE3"/>
    <w:rsid w:val="61E865CA"/>
    <w:rsid w:val="63750765"/>
    <w:rsid w:val="64607667"/>
    <w:rsid w:val="64F466B7"/>
    <w:rsid w:val="654C0859"/>
    <w:rsid w:val="658A4855"/>
    <w:rsid w:val="65B0017A"/>
    <w:rsid w:val="677734BF"/>
    <w:rsid w:val="68EA35C9"/>
    <w:rsid w:val="6AD77E43"/>
    <w:rsid w:val="6FA3415F"/>
    <w:rsid w:val="712E3A4E"/>
    <w:rsid w:val="71BA3A22"/>
    <w:rsid w:val="71CD3E62"/>
    <w:rsid w:val="724D0AFE"/>
    <w:rsid w:val="72E83474"/>
    <w:rsid w:val="72F62F44"/>
    <w:rsid w:val="75A35A24"/>
    <w:rsid w:val="78362761"/>
    <w:rsid w:val="78BC52C2"/>
    <w:rsid w:val="79F966D5"/>
    <w:rsid w:val="7D531607"/>
    <w:rsid w:val="7DBF4FA6"/>
    <w:rsid w:val="7E036272"/>
    <w:rsid w:val="7E7A2C7B"/>
    <w:rsid w:val="7EEE556E"/>
    <w:rsid w:val="7EFA0DDF"/>
    <w:rsid w:val="7F081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tabs>
        <w:tab w:val="left" w:pos="840"/>
      </w:tabs>
      <w:adjustRightInd w:val="0"/>
      <w:snapToGrid w:val="0"/>
      <w:spacing w:line="360" w:lineRule="auto"/>
      <w:outlineLvl w:val="0"/>
    </w:pPr>
    <w:rPr>
      <w:rFonts w:ascii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line="540" w:lineRule="atLeast"/>
      <w:outlineLvl w:val="3"/>
    </w:pPr>
    <w:rPr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6">
    <w:name w:val="Body Text"/>
    <w:basedOn w:val="1"/>
    <w:next w:val="7"/>
    <w:autoRedefine/>
    <w:qFormat/>
    <w:uiPriority w:val="0"/>
    <w:pPr>
      <w:spacing w:after="120" w:afterLines="0"/>
    </w:pPr>
  </w:style>
  <w:style w:type="paragraph" w:styleId="7">
    <w:name w:val="Body Text First Indent"/>
    <w:basedOn w:val="6"/>
    <w:next w:val="8"/>
    <w:autoRedefine/>
    <w:qFormat/>
    <w:uiPriority w:val="0"/>
    <w:pPr>
      <w:ind w:firstLine="420" w:firstLineChars="100"/>
    </w:pPr>
    <w:rPr>
      <w:b/>
      <w:bCs/>
      <w:szCs w:val="24"/>
    </w:rPr>
  </w:style>
  <w:style w:type="paragraph" w:styleId="8">
    <w:name w:val="toc 6"/>
    <w:basedOn w:val="1"/>
    <w:next w:val="1"/>
    <w:autoRedefine/>
    <w:qFormat/>
    <w:uiPriority w:val="0"/>
    <w:pPr>
      <w:ind w:left="2100" w:leftChars="1000"/>
    </w:pPr>
  </w:style>
  <w:style w:type="paragraph" w:styleId="9">
    <w:name w:val="Body Text Indent"/>
    <w:basedOn w:val="1"/>
    <w:next w:val="10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  <w14:ligatures w14:val="none"/>
    </w:rPr>
  </w:style>
  <w:style w:type="paragraph" w:styleId="10">
    <w:name w:val="Body Text First Indent 2"/>
    <w:basedOn w:val="9"/>
    <w:autoRedefine/>
    <w:qFormat/>
    <w:uiPriority w:val="0"/>
    <w:pPr>
      <w:spacing w:after="120"/>
      <w:ind w:left="420" w:leftChars="200" w:firstLine="420"/>
    </w:pPr>
    <w:rPr>
      <w:rFonts w:cs="宋体"/>
      <w:sz w:val="21"/>
      <w:szCs w:val="21"/>
    </w:rPr>
  </w:style>
  <w:style w:type="paragraph" w:styleId="11">
    <w:name w:val="Plain Text"/>
    <w:basedOn w:val="1"/>
    <w:autoRedefine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12">
    <w:name w:val="footer"/>
    <w:basedOn w:val="1"/>
    <w:link w:val="2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qFormat/>
    <w:uiPriority w:val="39"/>
    <w:pPr>
      <w:spacing w:before="120" w:after="120" w:line="360" w:lineRule="auto"/>
      <w:jc w:val="left"/>
    </w:pPr>
    <w:rPr>
      <w:b/>
      <w:bCs/>
      <w:caps/>
      <w:sz w:val="24"/>
      <w:szCs w:val="20"/>
    </w:rPr>
  </w:style>
  <w:style w:type="paragraph" w:styleId="1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autoRedefine/>
    <w:qFormat/>
    <w:uiPriority w:val="0"/>
    <w:pPr>
      <w:jc w:val="center"/>
    </w:pPr>
    <w:rPr>
      <w:rFonts w:ascii="Arial" w:hAnsi="Arial" w:eastAsia="宋体"/>
      <w:b/>
      <w:kern w:val="0"/>
      <w:sz w:val="36"/>
      <w:szCs w:val="20"/>
      <w:lang w:eastAsia="en-US"/>
      <w14:ligatures w14:val="none"/>
    </w:rPr>
  </w:style>
  <w:style w:type="table" w:styleId="18">
    <w:name w:val="Table Grid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autoRedefine/>
    <w:qFormat/>
    <w:uiPriority w:val="22"/>
    <w:rPr>
      <w:b/>
    </w:rPr>
  </w:style>
  <w:style w:type="character" w:styleId="21">
    <w:name w:val="page number"/>
    <w:autoRedefine/>
    <w:qFormat/>
    <w:uiPriority w:val="0"/>
  </w:style>
  <w:style w:type="paragraph" w:customStyle="1" w:styleId="22">
    <w:name w:val="BodyText1I"/>
    <w:basedOn w:val="23"/>
    <w:autoRedefine/>
    <w:qFormat/>
    <w:uiPriority w:val="0"/>
    <w:pPr>
      <w:ind w:firstLine="420" w:firstLineChars="100"/>
    </w:pPr>
  </w:style>
  <w:style w:type="paragraph" w:customStyle="1" w:styleId="23">
    <w:name w:val="BodyText"/>
    <w:basedOn w:val="1"/>
    <w:autoRedefine/>
    <w:qFormat/>
    <w:uiPriority w:val="0"/>
    <w:pPr>
      <w:spacing w:after="120"/>
    </w:pPr>
  </w:style>
  <w:style w:type="paragraph" w:customStyle="1" w:styleId="24">
    <w:name w:val="表格文字"/>
    <w:basedOn w:val="1"/>
    <w:next w:val="6"/>
    <w:autoRedefine/>
    <w:qFormat/>
    <w:uiPriority w:val="0"/>
    <w:pPr>
      <w:autoSpaceDE w:val="0"/>
      <w:autoSpaceDN w:val="0"/>
      <w:adjustRightInd w:val="0"/>
      <w:spacing w:line="420" w:lineRule="atLeast"/>
      <w:jc w:val="left"/>
      <w:textAlignment w:val="baseline"/>
    </w:pPr>
    <w:rPr>
      <w:rFonts w:hAnsi="宋体" w:cs="宋体"/>
      <w:kern w:val="0"/>
      <w:sz w:val="22"/>
      <w:lang w:val="zh-CN" w:bidi="zh-CN"/>
    </w:rPr>
  </w:style>
  <w:style w:type="character" w:customStyle="1" w:styleId="25">
    <w:name w:val="页眉 Char"/>
    <w:basedOn w:val="19"/>
    <w:link w:val="13"/>
    <w:autoRedefine/>
    <w:qFormat/>
    <w:uiPriority w:val="0"/>
    <w:rPr>
      <w:kern w:val="2"/>
      <w:sz w:val="18"/>
      <w:szCs w:val="18"/>
    </w:rPr>
  </w:style>
  <w:style w:type="character" w:customStyle="1" w:styleId="26">
    <w:name w:val="页脚 Char"/>
    <w:basedOn w:val="19"/>
    <w:link w:val="12"/>
    <w:autoRedefine/>
    <w:qFormat/>
    <w:uiPriority w:val="0"/>
    <w:rPr>
      <w:kern w:val="2"/>
      <w:sz w:val="18"/>
      <w:szCs w:val="18"/>
    </w:rPr>
  </w:style>
  <w:style w:type="paragraph" w:styleId="27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列出段落1"/>
    <w:basedOn w:val="1"/>
    <w:autoRedefine/>
    <w:qFormat/>
    <w:uiPriority w:val="0"/>
    <w:pPr>
      <w:widowControl/>
      <w:spacing w:after="160" w:line="360" w:lineRule="auto"/>
      <w:ind w:left="720"/>
      <w:contextualSpacing/>
      <w:jc w:val="left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2033</Words>
  <Characters>2299</Characters>
  <Lines>17</Lines>
  <Paragraphs>4</Paragraphs>
  <TotalTime>25</TotalTime>
  <ScaleCrop>false</ScaleCrop>
  <LinksUpToDate>false</LinksUpToDate>
  <CharactersWithSpaces>2342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2019-08-15T01:42:00Z</dcterms:created>
  <dc:creator>小米</dc:creator>
  <cp:lastModifiedBy>市渔业应急处置指挥中心</cp:lastModifiedBy>
  <dcterms:modified xsi:type="dcterms:W3CDTF">2025-03-17T00:55:00Z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BDC350B777C44DFDACB8FBB696258D1E</vt:lpwstr>
  </property>
</Properties>
</file>