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tLeast"/>
        <w:jc w:val="center"/>
        <w:rPr>
          <w:rFonts w:hint="eastAsia" w:ascii="宋体" w:hAnsi="宋体" w:cs="宋体"/>
          <w:b/>
          <w:bCs/>
          <w:color w:val="000000"/>
          <w:sz w:val="36"/>
          <w:szCs w:val="36"/>
        </w:rPr>
      </w:pPr>
      <w:bookmarkStart w:id="0" w:name="_Toc451522337"/>
      <w:r>
        <w:rPr>
          <w:rFonts w:hint="eastAsia" w:ascii="宋体" w:hAnsi="宋体" w:cs="宋体"/>
          <w:b/>
          <w:bCs/>
          <w:color w:val="000000"/>
          <w:sz w:val="36"/>
          <w:szCs w:val="36"/>
        </w:rPr>
        <w:t>温州市中医院</w:t>
      </w:r>
      <w:r>
        <w:rPr>
          <w:rFonts w:hint="eastAsia"/>
          <w:b/>
          <w:bCs/>
          <w:sz w:val="36"/>
          <w:szCs w:val="36"/>
        </w:rPr>
        <w:t>人事管理系统维保</w:t>
      </w:r>
      <w:r>
        <w:rPr>
          <w:rFonts w:hint="eastAsia" w:ascii="宋体" w:hAnsi="宋体" w:cs="宋体"/>
          <w:b/>
          <w:bCs/>
          <w:color w:val="000000"/>
          <w:sz w:val="36"/>
          <w:szCs w:val="36"/>
        </w:rPr>
        <w:t>项目采购</w:t>
      </w:r>
      <w:bookmarkEnd w:id="0"/>
      <w:r>
        <w:rPr>
          <w:rFonts w:hint="eastAsia" w:ascii="宋体" w:hAnsi="宋体" w:cs="宋体"/>
          <w:b/>
          <w:bCs/>
          <w:color w:val="000000"/>
          <w:sz w:val="36"/>
          <w:szCs w:val="36"/>
        </w:rPr>
        <w:t>文件</w:t>
      </w:r>
    </w:p>
    <w:p>
      <w:pPr>
        <w:spacing w:line="300" w:lineRule="atLeast"/>
        <w:ind w:firstLine="562" w:firstLineChars="200"/>
        <w:rPr>
          <w:b/>
          <w:bCs/>
          <w:sz w:val="28"/>
          <w:szCs w:val="28"/>
        </w:rPr>
      </w:pPr>
    </w:p>
    <w:p>
      <w:pPr>
        <w:spacing w:line="300" w:lineRule="atLeast"/>
        <w:rPr>
          <w:rFonts w:hint="eastAsia" w:ascii="宋体" w:hAnsi="宋体" w:cs="宋体"/>
          <w:color w:val="FF0000"/>
          <w:sz w:val="24"/>
        </w:rPr>
      </w:pPr>
      <w:r>
        <w:rPr>
          <w:rFonts w:hint="eastAsia"/>
          <w:b/>
          <w:bCs/>
          <w:sz w:val="28"/>
          <w:szCs w:val="28"/>
        </w:rPr>
        <w:t>一、项目名称</w:t>
      </w:r>
      <w:r>
        <w:rPr>
          <w:rFonts w:hint="eastAsia"/>
          <w:sz w:val="24"/>
        </w:rPr>
        <w:t>：</w:t>
      </w:r>
      <w:r>
        <w:rPr>
          <w:rFonts w:hint="eastAsia" w:ascii="宋体" w:hAnsi="宋体" w:cs="宋体"/>
          <w:sz w:val="24"/>
          <w:lang w:eastAsia="zh-Hans"/>
        </w:rPr>
        <w:t>温州市中医院</w:t>
      </w:r>
      <w:r>
        <w:rPr>
          <w:rFonts w:hint="eastAsia"/>
          <w:sz w:val="24"/>
        </w:rPr>
        <w:t>人事管理系统维保</w:t>
      </w:r>
    </w:p>
    <w:p>
      <w:pPr>
        <w:spacing w:line="360" w:lineRule="auto"/>
        <w:rPr>
          <w:sz w:val="24"/>
        </w:rPr>
      </w:pPr>
      <w:r>
        <w:rPr>
          <w:rFonts w:hint="eastAsia"/>
          <w:b/>
          <w:bCs/>
          <w:sz w:val="28"/>
          <w:szCs w:val="28"/>
        </w:rPr>
        <w:t>二、采购方式：</w:t>
      </w:r>
      <w:r>
        <w:rPr>
          <w:rFonts w:hint="eastAsia"/>
          <w:sz w:val="24"/>
        </w:rPr>
        <w:t>公开遴选（非政府采购）</w:t>
      </w:r>
    </w:p>
    <w:p>
      <w:pPr>
        <w:spacing w:line="360" w:lineRule="auto"/>
        <w:rPr>
          <w:rFonts w:hint="eastAsia" w:ascii="宋体" w:hAnsi="宋体" w:cs="宋体"/>
          <w:sz w:val="24"/>
        </w:rPr>
      </w:pPr>
      <w:r>
        <w:rPr>
          <w:rFonts w:hint="eastAsia"/>
          <w:b/>
          <w:bCs/>
          <w:sz w:val="28"/>
          <w:szCs w:val="28"/>
        </w:rPr>
        <w:t>三、预算金额：</w:t>
      </w:r>
      <w:r>
        <w:rPr>
          <w:rFonts w:hint="eastAsia" w:ascii="宋体" w:hAnsi="宋体" w:cs="宋体"/>
          <w:sz w:val="24"/>
          <w:lang w:val="en-US" w:eastAsia="zh-CN"/>
        </w:rPr>
        <w:t>25000</w:t>
      </w:r>
      <w:r>
        <w:rPr>
          <w:rFonts w:hint="eastAsia" w:ascii="宋体" w:hAnsi="宋体" w:cs="宋体"/>
          <w:sz w:val="24"/>
        </w:rPr>
        <w:t>元/年</w:t>
      </w:r>
    </w:p>
    <w:p>
      <w:pPr>
        <w:spacing w:line="360" w:lineRule="auto"/>
        <w:rPr>
          <w:rFonts w:hint="eastAsia" w:ascii="宋体" w:hAnsi="宋体"/>
          <w:b/>
          <w:bCs/>
          <w:color w:val="000000"/>
          <w:sz w:val="28"/>
          <w:szCs w:val="28"/>
        </w:rPr>
      </w:pPr>
      <w:r>
        <w:rPr>
          <w:rFonts w:hint="eastAsia" w:ascii="宋体" w:hAnsi="宋体"/>
          <w:b/>
          <w:bCs/>
          <w:color w:val="000000"/>
          <w:sz w:val="28"/>
          <w:szCs w:val="28"/>
        </w:rPr>
        <w:t>四、服务期限及付款方式</w:t>
      </w:r>
    </w:p>
    <w:p>
      <w:pPr>
        <w:numPr>
          <w:ilvl w:val="0"/>
          <w:numId w:val="0"/>
        </w:numPr>
        <w:spacing w:line="360" w:lineRule="auto"/>
        <w:ind w:firstLine="480" w:firstLineChars="200"/>
        <w:rPr>
          <w:rFonts w:hint="eastAsia" w:ascii="宋体" w:hAnsi="宋体" w:eastAsia="宋体" w:cs="宋体"/>
          <w:sz w:val="24"/>
          <w:lang w:eastAsia="zh-CN"/>
        </w:rPr>
      </w:pPr>
      <w:r>
        <w:rPr>
          <w:rFonts w:hint="eastAsia" w:ascii="宋体" w:hAnsi="宋体" w:cs="宋体"/>
          <w:sz w:val="24"/>
        </w:rPr>
        <w:t>1、服务期限：1年，自合同签订之日起计。</w:t>
      </w:r>
      <w:r>
        <w:rPr>
          <w:rFonts w:hint="eastAsia" w:ascii="宋体" w:hAnsi="宋体" w:eastAsia="宋体" w:cs="宋体"/>
          <w:sz w:val="24"/>
          <w:lang w:eastAsia="zh-CN"/>
        </w:rPr>
        <w:t>服务期满后，若满意率</w:t>
      </w:r>
      <w:r>
        <w:rPr>
          <w:rFonts w:hint="eastAsia" w:ascii="宋体" w:hAnsi="宋体" w:eastAsia="宋体" w:cs="宋体"/>
          <w:sz w:val="24"/>
          <w:lang w:val="en-US" w:eastAsia="zh-CN"/>
        </w:rPr>
        <w:t>报告合格</w:t>
      </w:r>
      <w:r>
        <w:rPr>
          <w:rFonts w:hint="eastAsia" w:ascii="宋体" w:hAnsi="宋体" w:eastAsia="宋体" w:cs="宋体"/>
          <w:sz w:val="24"/>
          <w:lang w:eastAsia="zh-CN"/>
        </w:rPr>
        <w:t>，根据医</w:t>
      </w:r>
    </w:p>
    <w:p>
      <w:pPr>
        <w:numPr>
          <w:ilvl w:val="0"/>
          <w:numId w:val="0"/>
        </w:numPr>
        <w:spacing w:line="360" w:lineRule="auto"/>
        <w:rPr>
          <w:rFonts w:hint="eastAsia" w:ascii="宋体" w:hAnsi="宋体" w:eastAsia="宋体" w:cs="宋体"/>
          <w:sz w:val="24"/>
          <w:lang w:eastAsia="zh-CN"/>
        </w:rPr>
      </w:pPr>
      <w:r>
        <w:rPr>
          <w:rFonts w:hint="eastAsia" w:ascii="宋体" w:hAnsi="宋体" w:eastAsia="宋体" w:cs="宋体"/>
          <w:sz w:val="24"/>
          <w:lang w:eastAsia="zh-CN"/>
        </w:rPr>
        <w:t>院相关采购管理办法可续签一年的合同。同时新一年度的承包合同服务要求与上一年度相同且</w:t>
      </w:r>
      <w:r>
        <w:rPr>
          <w:rFonts w:hint="eastAsia" w:ascii="宋体" w:hAnsi="宋体" w:eastAsia="宋体" w:cs="宋体"/>
          <w:sz w:val="24"/>
          <w:lang w:val="en-US" w:eastAsia="zh-CN"/>
        </w:rPr>
        <w:t>合同</w:t>
      </w:r>
      <w:r>
        <w:rPr>
          <w:rFonts w:hint="eastAsia" w:ascii="宋体" w:hAnsi="宋体" w:eastAsia="宋体" w:cs="宋体"/>
          <w:sz w:val="24"/>
          <w:lang w:eastAsia="zh-CN"/>
        </w:rPr>
        <w:t>总价不高于上一年度</w:t>
      </w:r>
      <w:r>
        <w:rPr>
          <w:rFonts w:hint="eastAsia" w:ascii="宋体" w:hAnsi="宋体" w:eastAsia="宋体" w:cs="宋体"/>
          <w:sz w:val="24"/>
          <w:lang w:val="en-US" w:eastAsia="zh-CN"/>
        </w:rPr>
        <w:t>合同</w:t>
      </w:r>
      <w:r>
        <w:rPr>
          <w:rFonts w:hint="eastAsia" w:ascii="宋体" w:hAnsi="宋体" w:eastAsia="宋体" w:cs="宋体"/>
          <w:sz w:val="24"/>
          <w:lang w:eastAsia="zh-CN"/>
        </w:rPr>
        <w:t>总价。</w:t>
      </w:r>
    </w:p>
    <w:p>
      <w:pPr>
        <w:spacing w:line="360" w:lineRule="auto"/>
        <w:ind w:firstLine="480" w:firstLineChars="200"/>
        <w:rPr>
          <w:rFonts w:hint="eastAsia" w:ascii="宋体" w:hAnsi="宋体" w:cs="宋体"/>
          <w:sz w:val="24"/>
        </w:rPr>
      </w:pPr>
      <w:r>
        <w:rPr>
          <w:rFonts w:hint="eastAsia" w:ascii="宋体" w:hAnsi="宋体" w:cs="宋体"/>
          <w:sz w:val="24"/>
        </w:rPr>
        <w:t>2、续约时间：距离合同结束3个月左右时，由双方确认是否续约。</w:t>
      </w:r>
    </w:p>
    <w:p>
      <w:pPr>
        <w:spacing w:line="360" w:lineRule="auto"/>
        <w:ind w:firstLine="480" w:firstLineChars="200"/>
      </w:pPr>
      <w:r>
        <w:rPr>
          <w:rFonts w:hint="eastAsia" w:ascii="宋体" w:hAnsi="宋体" w:cs="宋体"/>
          <w:sz w:val="24"/>
        </w:rPr>
        <w:t xml:space="preserve">3、付款方式：在服务期半年期到后三个月内支付合同总金额的50%，服务期满后三个月内支付合同总金额的50%。 </w:t>
      </w:r>
    </w:p>
    <w:p>
      <w:pPr>
        <w:spacing w:line="360" w:lineRule="auto"/>
        <w:rPr>
          <w:b/>
          <w:bCs/>
          <w:sz w:val="28"/>
          <w:szCs w:val="28"/>
        </w:rPr>
      </w:pPr>
      <w:r>
        <w:rPr>
          <w:rFonts w:hint="eastAsia"/>
          <w:b/>
          <w:bCs/>
          <w:sz w:val="28"/>
          <w:szCs w:val="28"/>
        </w:rPr>
        <w:t>五、服务具体要求</w:t>
      </w:r>
    </w:p>
    <w:p>
      <w:pPr>
        <w:spacing w:line="360" w:lineRule="auto"/>
        <w:ind w:firstLine="480" w:firstLineChars="200"/>
        <w:jc w:val="left"/>
        <w:rPr>
          <w:rFonts w:hint="eastAsia" w:ascii="宋体" w:hAnsi="宋体" w:cs="宋体"/>
          <w:sz w:val="24"/>
        </w:rPr>
      </w:pPr>
      <w:r>
        <w:rPr>
          <w:rFonts w:hint="eastAsia" w:ascii="宋体" w:hAnsi="宋体" w:cs="宋体"/>
          <w:sz w:val="24"/>
        </w:rPr>
        <w:t>高级人天：每年5个高级工程师现场人天服务。</w:t>
      </w:r>
    </w:p>
    <w:p>
      <w:pPr>
        <w:spacing w:line="360" w:lineRule="auto"/>
        <w:ind w:firstLine="480" w:firstLineChars="200"/>
        <w:jc w:val="left"/>
        <w:rPr>
          <w:rFonts w:hint="eastAsia" w:ascii="宋体" w:hAnsi="宋体" w:cs="宋体"/>
          <w:sz w:val="24"/>
        </w:rPr>
      </w:pPr>
      <w:r>
        <w:rPr>
          <w:rFonts w:hint="eastAsia" w:ascii="宋体" w:hAnsi="宋体" w:cs="宋体"/>
          <w:sz w:val="24"/>
        </w:rPr>
        <w:t>现场巡检：一年4次的现场巡检，进行系统调优，并了解人事管理系统的使用情况和存在的问题，解答疑问并了解建议。</w:t>
      </w:r>
    </w:p>
    <w:p>
      <w:pPr>
        <w:spacing w:line="360" w:lineRule="auto"/>
        <w:ind w:firstLine="480" w:firstLineChars="200"/>
        <w:jc w:val="left"/>
        <w:rPr>
          <w:rFonts w:hint="eastAsia" w:ascii="宋体" w:hAnsi="宋体" w:cs="宋体"/>
          <w:sz w:val="24"/>
        </w:rPr>
      </w:pPr>
      <w:r>
        <w:rPr>
          <w:rFonts w:hint="eastAsia" w:ascii="宋体" w:hAnsi="宋体" w:cs="宋体"/>
          <w:sz w:val="24"/>
        </w:rPr>
        <w:t>远程支持：当人事管理系统运行出现故障时或要求对系统进行调整时，在远程方式可以解决问题的情况下，中标方需7*24小时响应，并通过电话、email和远程登录等方式解决系统中出现的问题。</w:t>
      </w:r>
    </w:p>
    <w:p>
      <w:pPr>
        <w:spacing w:line="360" w:lineRule="auto"/>
        <w:ind w:firstLine="480" w:firstLineChars="200"/>
        <w:jc w:val="left"/>
        <w:rPr>
          <w:rFonts w:hint="eastAsia" w:ascii="宋体" w:hAnsi="宋体" w:cs="宋体"/>
          <w:sz w:val="24"/>
        </w:rPr>
      </w:pPr>
      <w:r>
        <w:rPr>
          <w:rFonts w:hint="eastAsia" w:ascii="宋体" w:hAnsi="宋体" w:cs="宋体"/>
          <w:sz w:val="24"/>
        </w:rPr>
        <w:t>现场支持：在系统保修期内，如果出现了紧急故障而必需现场解决问题时，中标方需在4小时内派遣工程师到现场对出现的故障进行解决。</w:t>
      </w:r>
    </w:p>
    <w:p>
      <w:pPr>
        <w:spacing w:line="360" w:lineRule="auto"/>
        <w:ind w:firstLine="480" w:firstLineChars="200"/>
        <w:jc w:val="left"/>
        <w:rPr>
          <w:rFonts w:hint="eastAsia" w:ascii="宋体" w:hAnsi="宋体" w:cs="宋体"/>
          <w:sz w:val="24"/>
        </w:rPr>
      </w:pPr>
      <w:r>
        <w:rPr>
          <w:rFonts w:hint="eastAsia" w:ascii="宋体" w:hAnsi="宋体" w:cs="宋体"/>
          <w:sz w:val="24"/>
        </w:rPr>
        <w:t>技术咨询：解答采购方提出的关于人事管理系统的技术问题，协助采购方对系统进行调整和规划，使系统更优化，更可靠，更完善。</w:t>
      </w:r>
    </w:p>
    <w:p>
      <w:pPr>
        <w:spacing w:line="360" w:lineRule="auto"/>
        <w:ind w:firstLine="480" w:firstLineChars="200"/>
        <w:jc w:val="left"/>
        <w:rPr>
          <w:rFonts w:hint="eastAsia" w:ascii="宋体" w:hAnsi="宋体" w:cs="宋体"/>
          <w:sz w:val="24"/>
        </w:rPr>
      </w:pPr>
      <w:r>
        <w:rPr>
          <w:rFonts w:hint="eastAsia" w:ascii="宋体" w:hAnsi="宋体" w:cs="宋体"/>
          <w:sz w:val="24"/>
        </w:rPr>
        <w:t>软件升级：当人事管理系统现有版本</w:t>
      </w:r>
      <w:r>
        <w:rPr>
          <w:rFonts w:hint="eastAsia" w:ascii="宋体" w:hAnsi="宋体" w:cs="宋体"/>
          <w:sz w:val="24"/>
          <w:lang w:val="en-US" w:eastAsia="zh-CN"/>
        </w:rPr>
        <w:t>出现</w:t>
      </w:r>
      <w:r>
        <w:rPr>
          <w:rFonts w:hint="eastAsia" w:ascii="宋体" w:hAnsi="宋体" w:cs="宋体"/>
          <w:sz w:val="24"/>
        </w:rPr>
        <w:t>新的Bug fix时，将提供补丁安装服务。</w:t>
      </w:r>
    </w:p>
    <w:p>
      <w:pPr>
        <w:spacing w:line="360" w:lineRule="auto"/>
        <w:ind w:firstLine="480" w:firstLineChars="200"/>
        <w:jc w:val="left"/>
        <w:rPr>
          <w:rFonts w:hint="eastAsia" w:ascii="宋体" w:hAnsi="宋体" w:cs="宋体"/>
          <w:sz w:val="24"/>
        </w:rPr>
      </w:pPr>
      <w:r>
        <w:rPr>
          <w:rFonts w:hint="eastAsia" w:ascii="宋体" w:hAnsi="宋体" w:cs="宋体"/>
          <w:sz w:val="24"/>
        </w:rPr>
        <w:t>●系统健康检查</w:t>
      </w:r>
    </w:p>
    <w:p>
      <w:pPr>
        <w:spacing w:line="360" w:lineRule="auto"/>
        <w:ind w:firstLine="480" w:firstLineChars="200"/>
        <w:jc w:val="left"/>
        <w:rPr>
          <w:rFonts w:hint="eastAsia" w:ascii="宋体" w:hAnsi="宋体" w:cs="宋体"/>
          <w:sz w:val="24"/>
        </w:rPr>
      </w:pPr>
      <w:r>
        <w:rPr>
          <w:rFonts w:hint="eastAsia" w:ascii="宋体" w:hAnsi="宋体" w:cs="宋体"/>
          <w:sz w:val="24"/>
        </w:rPr>
        <w:t>中标方需派出资深支持工程师，对生产系统进行如下方面的检查：</w:t>
      </w:r>
    </w:p>
    <w:p>
      <w:pPr>
        <w:spacing w:line="360" w:lineRule="auto"/>
        <w:ind w:firstLine="480" w:firstLineChars="200"/>
        <w:jc w:val="left"/>
        <w:rPr>
          <w:rFonts w:hint="eastAsia" w:ascii="宋体" w:hAnsi="宋体" w:cs="宋体"/>
          <w:sz w:val="24"/>
        </w:rPr>
      </w:pPr>
      <w:r>
        <w:rPr>
          <w:rFonts w:hint="eastAsia" w:ascii="宋体" w:hAnsi="宋体" w:cs="宋体"/>
          <w:sz w:val="24"/>
        </w:rPr>
        <w:t>检查人事管理系统的配置健康情况</w:t>
      </w:r>
    </w:p>
    <w:p>
      <w:pPr>
        <w:spacing w:line="360" w:lineRule="auto"/>
        <w:ind w:firstLine="480" w:firstLineChars="200"/>
        <w:jc w:val="left"/>
        <w:rPr>
          <w:rFonts w:hint="eastAsia" w:ascii="宋体" w:hAnsi="宋体" w:cs="宋体"/>
          <w:sz w:val="24"/>
        </w:rPr>
      </w:pPr>
      <w:r>
        <w:rPr>
          <w:rFonts w:hint="eastAsia" w:ascii="宋体" w:hAnsi="宋体" w:cs="宋体"/>
          <w:sz w:val="24"/>
        </w:rPr>
        <w:t>检查人事管理系统的性能健康情况</w:t>
      </w:r>
    </w:p>
    <w:p>
      <w:pPr>
        <w:spacing w:line="360" w:lineRule="auto"/>
        <w:ind w:firstLine="480" w:firstLineChars="200"/>
        <w:jc w:val="left"/>
        <w:rPr>
          <w:rFonts w:hint="eastAsia" w:ascii="宋体" w:hAnsi="宋体" w:cs="宋体"/>
          <w:sz w:val="24"/>
        </w:rPr>
      </w:pPr>
      <w:r>
        <w:rPr>
          <w:rFonts w:hint="eastAsia" w:ascii="宋体" w:hAnsi="宋体" w:cs="宋体"/>
          <w:sz w:val="24"/>
        </w:rPr>
        <w:t>检查人事管理系统备份的完整性</w:t>
      </w:r>
    </w:p>
    <w:p>
      <w:pPr>
        <w:spacing w:line="360" w:lineRule="auto"/>
        <w:ind w:firstLine="480" w:firstLineChars="200"/>
        <w:jc w:val="left"/>
        <w:rPr>
          <w:rFonts w:hint="eastAsia" w:ascii="宋体" w:hAnsi="宋体" w:cs="宋体"/>
          <w:sz w:val="24"/>
        </w:rPr>
      </w:pPr>
      <w:r>
        <w:rPr>
          <w:rFonts w:hint="eastAsia" w:ascii="宋体" w:hAnsi="宋体" w:cs="宋体"/>
          <w:sz w:val="24"/>
        </w:rPr>
        <w:t>检查人事管理系统空间的使用情况</w:t>
      </w:r>
    </w:p>
    <w:p>
      <w:pPr>
        <w:spacing w:line="360" w:lineRule="auto"/>
        <w:ind w:firstLine="480" w:firstLineChars="200"/>
        <w:jc w:val="left"/>
        <w:rPr>
          <w:rFonts w:hint="eastAsia" w:ascii="宋体" w:hAnsi="宋体" w:cs="宋体"/>
          <w:sz w:val="24"/>
        </w:rPr>
      </w:pPr>
      <w:r>
        <w:rPr>
          <w:rFonts w:hint="eastAsia" w:ascii="宋体" w:hAnsi="宋体" w:cs="宋体"/>
          <w:sz w:val="24"/>
        </w:rPr>
        <w:t>容错检查，检查并分析系统日志及跟踪文件，发现并排除错误隐患</w:t>
      </w:r>
    </w:p>
    <w:p>
      <w:pPr>
        <w:spacing w:line="360" w:lineRule="auto"/>
        <w:ind w:firstLine="480" w:firstLineChars="200"/>
        <w:jc w:val="left"/>
        <w:rPr>
          <w:rFonts w:hint="eastAsia" w:ascii="宋体" w:hAnsi="宋体" w:cs="宋体"/>
          <w:sz w:val="24"/>
        </w:rPr>
      </w:pPr>
      <w:r>
        <w:rPr>
          <w:rFonts w:hint="eastAsia" w:ascii="宋体" w:hAnsi="宋体" w:cs="宋体"/>
          <w:sz w:val="24"/>
        </w:rPr>
        <w:t>●故障分析与诊断</w:t>
      </w:r>
    </w:p>
    <w:p>
      <w:pPr>
        <w:spacing w:line="360" w:lineRule="auto"/>
        <w:ind w:firstLine="480" w:firstLineChars="200"/>
        <w:jc w:val="left"/>
        <w:rPr>
          <w:rFonts w:hint="eastAsia" w:ascii="宋体" w:hAnsi="宋体" w:cs="宋体"/>
          <w:sz w:val="24"/>
        </w:rPr>
      </w:pPr>
      <w:r>
        <w:rPr>
          <w:rFonts w:hint="eastAsia" w:ascii="宋体" w:hAnsi="宋体" w:cs="宋体"/>
          <w:sz w:val="24"/>
        </w:rPr>
        <w:t>系统故障分析与诊断服务一般包括，但不局限于如下内容：</w:t>
      </w:r>
    </w:p>
    <w:p>
      <w:pPr>
        <w:spacing w:line="360" w:lineRule="auto"/>
        <w:ind w:firstLine="480" w:firstLineChars="200"/>
        <w:jc w:val="left"/>
        <w:rPr>
          <w:rFonts w:hint="eastAsia" w:ascii="宋体" w:hAnsi="宋体" w:cs="宋体"/>
          <w:sz w:val="24"/>
        </w:rPr>
      </w:pPr>
      <w:r>
        <w:rPr>
          <w:rFonts w:hint="eastAsia" w:ascii="宋体" w:hAnsi="宋体" w:cs="宋体"/>
          <w:sz w:val="24"/>
        </w:rPr>
        <w:t>分析系统主要的性能瓶颈。</w:t>
      </w:r>
    </w:p>
    <w:p>
      <w:pPr>
        <w:spacing w:line="360" w:lineRule="auto"/>
        <w:ind w:firstLine="480" w:firstLineChars="200"/>
        <w:jc w:val="left"/>
        <w:rPr>
          <w:rFonts w:hint="eastAsia" w:ascii="宋体" w:hAnsi="宋体" w:cs="宋体"/>
          <w:sz w:val="24"/>
        </w:rPr>
      </w:pPr>
      <w:r>
        <w:rPr>
          <w:rFonts w:hint="eastAsia" w:ascii="宋体" w:hAnsi="宋体" w:cs="宋体"/>
          <w:sz w:val="24"/>
        </w:rPr>
        <w:t>问题根本原因的分析及错误诊断</w:t>
      </w:r>
    </w:p>
    <w:p>
      <w:pPr>
        <w:spacing w:line="360" w:lineRule="auto"/>
        <w:ind w:firstLine="480" w:firstLineChars="200"/>
        <w:jc w:val="left"/>
        <w:rPr>
          <w:rFonts w:hint="eastAsia" w:ascii="宋体" w:hAnsi="宋体" w:cs="宋体"/>
          <w:sz w:val="24"/>
        </w:rPr>
      </w:pPr>
      <w:r>
        <w:rPr>
          <w:rFonts w:hint="eastAsia" w:ascii="宋体" w:hAnsi="宋体" w:cs="宋体"/>
          <w:sz w:val="24"/>
        </w:rPr>
        <w:t>●协助补丁安装</w:t>
      </w:r>
    </w:p>
    <w:p>
      <w:pPr>
        <w:spacing w:line="360" w:lineRule="auto"/>
        <w:ind w:firstLine="480" w:firstLineChars="200"/>
        <w:jc w:val="left"/>
        <w:rPr>
          <w:rFonts w:hint="eastAsia" w:ascii="宋体" w:hAnsi="宋体" w:cs="宋体"/>
          <w:sz w:val="24"/>
        </w:rPr>
      </w:pPr>
      <w:r>
        <w:rPr>
          <w:rFonts w:hint="eastAsia" w:ascii="宋体" w:hAnsi="宋体" w:cs="宋体"/>
          <w:sz w:val="24"/>
        </w:rPr>
        <w:t xml:space="preserve">由中标方派遣人事管理系统工程师协助进行的补丁安装包括, 但不局限于如下方面: </w:t>
      </w:r>
    </w:p>
    <w:p>
      <w:pPr>
        <w:spacing w:line="360" w:lineRule="auto"/>
        <w:ind w:firstLine="480" w:firstLineChars="200"/>
        <w:jc w:val="left"/>
        <w:rPr>
          <w:rFonts w:hint="eastAsia" w:ascii="宋体" w:hAnsi="宋体" w:cs="宋体"/>
          <w:sz w:val="24"/>
        </w:rPr>
      </w:pPr>
      <w:r>
        <w:rPr>
          <w:rFonts w:hint="eastAsia" w:ascii="宋体" w:hAnsi="宋体" w:cs="宋体"/>
          <w:sz w:val="24"/>
        </w:rPr>
        <w:t>补丁程序的准备</w:t>
      </w:r>
    </w:p>
    <w:p>
      <w:pPr>
        <w:spacing w:line="360" w:lineRule="auto"/>
        <w:ind w:firstLine="480" w:firstLineChars="200"/>
        <w:jc w:val="left"/>
        <w:rPr>
          <w:rFonts w:hint="eastAsia" w:ascii="宋体" w:hAnsi="宋体" w:cs="宋体"/>
          <w:sz w:val="24"/>
        </w:rPr>
      </w:pPr>
      <w:r>
        <w:rPr>
          <w:rFonts w:hint="eastAsia" w:ascii="宋体" w:hAnsi="宋体" w:cs="宋体"/>
          <w:sz w:val="24"/>
        </w:rPr>
        <w:t>补丁安装过程的测试</w:t>
      </w:r>
    </w:p>
    <w:p>
      <w:pPr>
        <w:spacing w:line="360" w:lineRule="auto"/>
        <w:ind w:firstLine="480" w:firstLineChars="200"/>
        <w:jc w:val="left"/>
        <w:rPr>
          <w:rFonts w:hint="eastAsia" w:ascii="宋体" w:hAnsi="宋体" w:cs="宋体"/>
          <w:sz w:val="24"/>
        </w:rPr>
      </w:pPr>
      <w:r>
        <w:rPr>
          <w:rFonts w:hint="eastAsia" w:ascii="宋体" w:hAnsi="宋体" w:cs="宋体"/>
          <w:sz w:val="24"/>
        </w:rPr>
        <w:t>单个补丁及补丁集的安装</w:t>
      </w:r>
    </w:p>
    <w:p>
      <w:pPr>
        <w:spacing w:line="360" w:lineRule="auto"/>
        <w:ind w:firstLine="480" w:firstLineChars="200"/>
        <w:jc w:val="left"/>
        <w:rPr>
          <w:rFonts w:hint="eastAsia" w:ascii="宋体" w:hAnsi="宋体" w:cs="宋体"/>
          <w:sz w:val="24"/>
        </w:rPr>
      </w:pPr>
      <w:r>
        <w:rPr>
          <w:rFonts w:hint="eastAsia" w:ascii="宋体" w:hAnsi="宋体" w:cs="宋体"/>
          <w:sz w:val="24"/>
        </w:rPr>
        <w:t>安装后系统及业务功能的测试</w:t>
      </w:r>
    </w:p>
    <w:p>
      <w:pPr>
        <w:spacing w:line="360" w:lineRule="auto"/>
        <w:ind w:firstLine="480" w:firstLineChars="200"/>
        <w:jc w:val="left"/>
        <w:rPr>
          <w:rFonts w:hint="eastAsia" w:ascii="宋体" w:hAnsi="宋体" w:cs="宋体"/>
          <w:sz w:val="24"/>
        </w:rPr>
      </w:pPr>
      <w:r>
        <w:rPr>
          <w:rFonts w:hint="eastAsia" w:ascii="宋体" w:hAnsi="宋体" w:cs="宋体"/>
          <w:sz w:val="24"/>
        </w:rPr>
        <w:t>提供补丁安装报告</w:t>
      </w:r>
    </w:p>
    <w:p>
      <w:pPr>
        <w:spacing w:line="360" w:lineRule="auto"/>
        <w:rPr>
          <w:rFonts w:hint="eastAsia" w:ascii="宋体" w:hAnsi="宋体" w:cs="宋体"/>
          <w:sz w:val="24"/>
        </w:rPr>
      </w:pPr>
    </w:p>
    <w:p>
      <w:pPr>
        <w:overflowPunct w:val="0"/>
        <w:spacing w:line="360" w:lineRule="auto"/>
        <w:rPr>
          <w:rFonts w:hint="eastAsia" w:ascii="宋体" w:hAnsi="宋体" w:cs="黑体"/>
          <w:b/>
          <w:bCs/>
          <w:sz w:val="28"/>
          <w:szCs w:val="28"/>
        </w:rPr>
      </w:pPr>
      <w:r>
        <w:rPr>
          <w:rFonts w:hint="eastAsia" w:ascii="宋体" w:hAnsi="宋体" w:cs="黑体"/>
          <w:b/>
          <w:bCs/>
          <w:sz w:val="28"/>
          <w:szCs w:val="28"/>
        </w:rPr>
        <w:t>六、定标方法</w:t>
      </w:r>
    </w:p>
    <w:p>
      <w:pPr>
        <w:pStyle w:val="4"/>
        <w:spacing w:line="360" w:lineRule="auto"/>
        <w:ind w:firstLine="0"/>
        <w:rPr>
          <w:rFonts w:hint="eastAsia" w:ascii="宋体" w:hAnsi="宋体" w:cs="宋体"/>
          <w:sz w:val="24"/>
          <w:szCs w:val="24"/>
        </w:rPr>
      </w:pPr>
      <w:r>
        <w:rPr>
          <w:rFonts w:hint="eastAsia" w:ascii="宋体" w:hAnsi="宋体" w:cs="宋体"/>
          <w:sz w:val="24"/>
          <w:szCs w:val="24"/>
        </w:rPr>
        <w:t>1、确定中标候选人</w:t>
      </w:r>
    </w:p>
    <w:p>
      <w:pPr>
        <w:pStyle w:val="4"/>
        <w:spacing w:line="360" w:lineRule="auto"/>
        <w:ind w:firstLine="480" w:firstLineChars="200"/>
        <w:rPr>
          <w:rFonts w:hint="eastAsia" w:ascii="宋体" w:hAnsi="宋体" w:cs="宋体"/>
          <w:sz w:val="24"/>
          <w:szCs w:val="24"/>
        </w:rPr>
      </w:pPr>
      <w:r>
        <w:rPr>
          <w:rFonts w:hint="eastAsia" w:ascii="宋体" w:hAnsi="宋体" w:cs="宋体"/>
          <w:sz w:val="24"/>
          <w:szCs w:val="24"/>
        </w:rPr>
        <w:t>1.1由评标委员会确定中标候选人。</w:t>
      </w:r>
    </w:p>
    <w:p>
      <w:pPr>
        <w:pStyle w:val="4"/>
        <w:spacing w:line="360" w:lineRule="auto"/>
        <w:ind w:firstLine="480" w:firstLineChars="200"/>
        <w:rPr>
          <w:rFonts w:hint="eastAsia" w:ascii="宋体" w:hAnsi="宋体" w:cs="宋体"/>
          <w:sz w:val="24"/>
          <w:szCs w:val="24"/>
        </w:rPr>
      </w:pPr>
      <w:r>
        <w:rPr>
          <w:rFonts w:hint="eastAsia" w:ascii="宋体" w:hAnsi="宋体" w:cs="宋体"/>
          <w:sz w:val="24"/>
          <w:szCs w:val="24"/>
        </w:rPr>
        <w:t>1.2评标委员会依据法律、法规及招标文件有关规定按评审后得分（即技术分与商务分之和）由高到低顺序排序，得分前二名的投标人确定为该项目的第一和第二中标候选人（得分相同报价低的排序第一；得分且报价相同的，技术指标优的排序第一）向采购人推荐。</w:t>
      </w:r>
    </w:p>
    <w:p>
      <w:pPr>
        <w:pStyle w:val="4"/>
        <w:spacing w:line="360" w:lineRule="auto"/>
        <w:ind w:firstLine="0"/>
        <w:rPr>
          <w:rFonts w:hint="eastAsia" w:ascii="宋体" w:hAnsi="宋体" w:cs="宋体"/>
          <w:sz w:val="24"/>
          <w:szCs w:val="24"/>
        </w:rPr>
      </w:pPr>
      <w:r>
        <w:rPr>
          <w:rFonts w:hint="eastAsia" w:ascii="宋体" w:hAnsi="宋体" w:cs="宋体"/>
          <w:sz w:val="24"/>
          <w:szCs w:val="24"/>
        </w:rPr>
        <w:t>2、确定中标人</w:t>
      </w:r>
    </w:p>
    <w:p>
      <w:pPr>
        <w:pStyle w:val="4"/>
        <w:spacing w:line="360" w:lineRule="auto"/>
        <w:ind w:firstLine="480" w:firstLineChars="200"/>
        <w:rPr>
          <w:rFonts w:hint="eastAsia" w:ascii="宋体" w:hAnsi="宋体" w:cs="宋体"/>
          <w:sz w:val="24"/>
          <w:szCs w:val="24"/>
        </w:rPr>
      </w:pPr>
      <w:r>
        <w:rPr>
          <w:rFonts w:hint="eastAsia" w:ascii="宋体" w:hAnsi="宋体" w:cs="宋体"/>
          <w:sz w:val="24"/>
          <w:szCs w:val="24"/>
        </w:rPr>
        <w:t>2.1采购人按照评标报告中推荐的中标候选供应商顺序确定中标人；也可以事先授权评标委员会按照推荐的中标候选供应商顺序直接确定中标人。中标候选人并列的，采取随机抽取的方式确定。</w:t>
      </w:r>
    </w:p>
    <w:p>
      <w:pPr>
        <w:pStyle w:val="4"/>
        <w:spacing w:line="360" w:lineRule="auto"/>
        <w:ind w:firstLine="480" w:firstLineChars="200"/>
        <w:rPr>
          <w:rFonts w:hint="eastAsia" w:ascii="宋体" w:hAnsi="宋体" w:cs="宋体"/>
          <w:sz w:val="24"/>
          <w:szCs w:val="24"/>
        </w:rPr>
      </w:pPr>
      <w:r>
        <w:rPr>
          <w:rFonts w:hint="eastAsia" w:ascii="宋体" w:hAnsi="宋体" w:cs="宋体"/>
          <w:sz w:val="24"/>
          <w:szCs w:val="24"/>
        </w:rPr>
        <w:t>2.2如中标人放弃中标、或未能在规定时间内与采购单位签订合同的；或者经质疑，采购人审查后，确因排名第一的候选人在本次采购活动中存在违法违规行为或其他原因使质疑成立的，采购人可以视情况直接确定排名第二的候选人为中标人或重新组织招标。</w:t>
      </w:r>
    </w:p>
    <w:p>
      <w:pPr>
        <w:pStyle w:val="4"/>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3、中标人确定后，采购人将在温州市中医院官网公告中标结果，</w:t>
      </w:r>
      <w:r>
        <w:rPr>
          <w:rFonts w:hint="eastAsia" w:ascii="宋体" w:hAnsi="宋体" w:cs="宋体"/>
          <w:sz w:val="24"/>
          <w:szCs w:val="24"/>
          <w:lang w:val="en-US" w:eastAsia="zh-CN"/>
        </w:rPr>
        <w:t>并通知</w:t>
      </w:r>
      <w:r>
        <w:rPr>
          <w:rFonts w:hint="eastAsia" w:ascii="宋体" w:hAnsi="宋体" w:cs="宋体"/>
          <w:sz w:val="24"/>
          <w:szCs w:val="24"/>
        </w:rPr>
        <w:t>中标人</w:t>
      </w:r>
      <w:r>
        <w:rPr>
          <w:rFonts w:hint="eastAsia" w:ascii="宋体" w:hAnsi="宋体" w:cs="宋体"/>
          <w:sz w:val="24"/>
          <w:szCs w:val="24"/>
          <w:lang w:val="en-US" w:eastAsia="zh-CN"/>
        </w:rPr>
        <w:t>进行合同的签订及项目具体实施</w:t>
      </w:r>
      <w:r>
        <w:rPr>
          <w:rFonts w:hint="eastAsia" w:ascii="宋体" w:hAnsi="宋体" w:cs="宋体"/>
          <w:sz w:val="24"/>
          <w:szCs w:val="24"/>
        </w:rPr>
        <w:t>。</w:t>
      </w: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b/>
          <w:bCs/>
          <w:sz w:val="28"/>
          <w:szCs w:val="28"/>
        </w:rPr>
      </w:pPr>
      <w:r>
        <w:rPr>
          <w:rFonts w:hint="eastAsia"/>
          <w:b/>
          <w:bCs/>
          <w:sz w:val="28"/>
          <w:szCs w:val="28"/>
        </w:rPr>
        <w:t>七、评分细则</w:t>
      </w:r>
    </w:p>
    <w:p>
      <w:pPr>
        <w:spacing w:line="360" w:lineRule="auto"/>
        <w:rPr>
          <w:rFonts w:hint="eastAsia" w:ascii="宋体" w:hAnsi="宋体" w:cs="宋体"/>
          <w:sz w:val="24"/>
        </w:rPr>
      </w:pPr>
      <w:r>
        <w:rPr>
          <w:rFonts w:hint="eastAsia" w:ascii="宋体" w:hAnsi="宋体" w:cs="宋体"/>
          <w:sz w:val="24"/>
        </w:rPr>
        <w:t>1、技术分的评定（70分)（权值70%）</w:t>
      </w:r>
    </w:p>
    <w:p>
      <w:pPr>
        <w:spacing w:line="360" w:lineRule="auto"/>
        <w:ind w:firstLine="480" w:firstLineChars="200"/>
        <w:rPr>
          <w:rFonts w:hint="eastAsia" w:ascii="宋体" w:hAnsi="宋体" w:cs="宋体"/>
          <w:sz w:val="24"/>
        </w:rPr>
      </w:pPr>
      <w:r>
        <w:rPr>
          <w:rFonts w:hint="eastAsia" w:ascii="宋体" w:hAnsi="宋体" w:cs="宋体"/>
          <w:sz w:val="24"/>
        </w:rPr>
        <w:t>各评委成员按下列评分项目进行评判，每人一张评分计算票，并记名。投标文件各项评分内容由评标委员会成员各自评分，如某张票的一个因素项目超过规定的范围，则该张票无效。各评标委员会成员对各投标人的各项评分内容评分的算术平均值为各投标人技术分得分（小数点后按四舍五入保留2位）。</w:t>
      </w:r>
    </w:p>
    <w:p>
      <w:pPr>
        <w:spacing w:line="360" w:lineRule="auto"/>
        <w:rPr>
          <w:rFonts w:hint="eastAsia" w:ascii="宋体" w:hAnsi="宋体" w:cs="宋体"/>
          <w:sz w:val="24"/>
        </w:rPr>
      </w:pPr>
      <w:r>
        <w:rPr>
          <w:rFonts w:hint="eastAsia" w:ascii="宋体" w:hAnsi="宋体" w:cs="宋体"/>
          <w:sz w:val="24"/>
        </w:rPr>
        <w:t>2、商务标（报价）30分（权值30%）</w:t>
      </w:r>
    </w:p>
    <w:p>
      <w:pPr>
        <w:spacing w:line="360" w:lineRule="auto"/>
        <w:ind w:firstLine="480" w:firstLineChars="200"/>
        <w:rPr>
          <w:rFonts w:hint="eastAsia" w:ascii="宋体" w:hAnsi="宋体" w:cs="宋体"/>
          <w:sz w:val="24"/>
        </w:rPr>
      </w:pPr>
      <w:r>
        <w:rPr>
          <w:rFonts w:hint="eastAsia" w:ascii="宋体" w:hAnsi="宋体" w:cs="宋体"/>
          <w:sz w:val="24"/>
        </w:rPr>
        <w:t>满足招标文件要求且报价最低的报价为评审基准价，其余投标人报价与该基准价对比，计算出商务报价评分值（保留小数2位）：</w:t>
      </w:r>
    </w:p>
    <w:p>
      <w:pPr>
        <w:spacing w:line="360" w:lineRule="auto"/>
        <w:ind w:firstLine="480" w:firstLineChars="200"/>
        <w:rPr>
          <w:rFonts w:hint="eastAsia" w:ascii="宋体" w:hAnsi="宋体" w:cs="宋体"/>
          <w:sz w:val="24"/>
        </w:rPr>
      </w:pPr>
      <w:r>
        <w:rPr>
          <w:rFonts w:hint="eastAsia" w:ascii="宋体" w:hAnsi="宋体" w:cs="宋体"/>
          <w:sz w:val="24"/>
        </w:rPr>
        <w:t>1）有效投标人的报价等于评审基准价时其报价分为满分30分；</w:t>
      </w:r>
    </w:p>
    <w:p>
      <w:pPr>
        <w:spacing w:line="360" w:lineRule="auto"/>
        <w:ind w:firstLine="480" w:firstLineChars="200"/>
        <w:rPr>
          <w:rFonts w:hint="eastAsia" w:ascii="宋体" w:hAnsi="宋体" w:cs="宋体"/>
          <w:sz w:val="24"/>
        </w:rPr>
      </w:pPr>
      <w:r>
        <w:rPr>
          <w:rFonts w:hint="eastAsia" w:ascii="宋体" w:hAnsi="宋体" w:cs="宋体"/>
          <w:sz w:val="24"/>
        </w:rPr>
        <w:t>2）其他投标人的价格分按以下公式计算：</w:t>
      </w:r>
    </w:p>
    <w:p>
      <w:pPr>
        <w:spacing w:line="360" w:lineRule="auto"/>
        <w:ind w:firstLine="480" w:firstLineChars="200"/>
        <w:rPr>
          <w:rFonts w:hint="eastAsia" w:ascii="宋体" w:hAnsi="宋体" w:cs="宋体"/>
          <w:sz w:val="24"/>
        </w:rPr>
      </w:pPr>
      <w:r>
        <w:rPr>
          <w:rFonts w:hint="eastAsia" w:ascii="宋体" w:hAnsi="宋体" w:cs="宋体"/>
          <w:sz w:val="24"/>
        </w:rPr>
        <w:t>报价得分=（评分基准价/投标人投标报价）× 价格权值 ×100（保留小数2位）</w:t>
      </w:r>
    </w:p>
    <w:p>
      <w:pPr>
        <w:spacing w:line="360" w:lineRule="auto"/>
        <w:rPr>
          <w:rFonts w:hint="eastAsia" w:ascii="宋体" w:hAnsi="宋体" w:cs="宋体"/>
          <w:sz w:val="24"/>
        </w:rPr>
      </w:pPr>
      <w:r>
        <w:rPr>
          <w:rFonts w:hint="eastAsia" w:ascii="宋体" w:hAnsi="宋体" w:cs="宋体"/>
          <w:sz w:val="24"/>
        </w:rPr>
        <w:t>3、有效投标人的综合得分为技术分和商务（报价）分的总和。</w:t>
      </w:r>
    </w:p>
    <w:p>
      <w:pPr>
        <w:spacing w:line="360" w:lineRule="auto"/>
        <w:rPr>
          <w:rFonts w:hint="eastAsia" w:ascii="宋体" w:hAnsi="宋体" w:cs="宋体"/>
          <w:sz w:val="24"/>
        </w:rPr>
      </w:pPr>
      <w:r>
        <w:rPr>
          <w:rFonts w:hint="eastAsia" w:ascii="宋体" w:hAnsi="宋体" w:cs="宋体"/>
          <w:sz w:val="24"/>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4"/>
      </w:pPr>
    </w:p>
    <w:p/>
    <w:p>
      <w:pPr>
        <w:pStyle w:val="4"/>
      </w:pPr>
    </w:p>
    <w:p/>
    <w:p>
      <w:pPr>
        <w:pStyle w:val="2"/>
        <w:pageBreakBefore/>
        <w:rPr>
          <w:sz w:val="28"/>
          <w:szCs w:val="28"/>
        </w:rPr>
      </w:pPr>
      <w:r>
        <w:rPr>
          <w:rFonts w:hint="eastAsia"/>
          <w:sz w:val="28"/>
          <w:szCs w:val="28"/>
        </w:rPr>
        <w:t>八、附件</w:t>
      </w:r>
    </w:p>
    <w:p>
      <w:pPr>
        <w:spacing w:line="360" w:lineRule="auto"/>
        <w:rPr>
          <w:rFonts w:hint="eastAsia" w:ascii="宋体" w:hAnsi="宋体"/>
          <w:b/>
          <w:sz w:val="22"/>
          <w:szCs w:val="22"/>
        </w:rPr>
      </w:pPr>
      <w:r>
        <w:rPr>
          <w:rFonts w:hint="eastAsia" w:ascii="宋体" w:hAnsi="宋体"/>
          <w:b/>
          <w:sz w:val="22"/>
          <w:szCs w:val="22"/>
        </w:rPr>
        <w:t>1、技术评分：满分70分</w:t>
      </w:r>
    </w:p>
    <w:tbl>
      <w:tblPr>
        <w:tblStyle w:val="13"/>
        <w:tblW w:w="9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2070"/>
        <w:gridCol w:w="5500"/>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35" w:type="dxa"/>
            <w:shd w:val="clear" w:color="auto" w:fill="auto"/>
            <w:vAlign w:val="center"/>
          </w:tcPr>
          <w:p>
            <w:pPr>
              <w:jc w:val="center"/>
              <w:rPr>
                <w:rFonts w:hint="eastAsia" w:ascii="宋体" w:hAnsi="宋体" w:cs="宋体"/>
                <w:b/>
                <w:bCs/>
                <w:kern w:val="0"/>
                <w:sz w:val="22"/>
                <w:szCs w:val="22"/>
              </w:rPr>
            </w:pPr>
            <w:r>
              <w:rPr>
                <w:rFonts w:hint="eastAsia" w:ascii="宋体" w:hAnsi="宋体" w:cs="宋体"/>
                <w:b/>
                <w:bCs/>
                <w:kern w:val="0"/>
                <w:sz w:val="22"/>
                <w:szCs w:val="22"/>
              </w:rPr>
              <w:t>序号</w:t>
            </w:r>
          </w:p>
        </w:tc>
        <w:tc>
          <w:tcPr>
            <w:tcW w:w="2070" w:type="dxa"/>
            <w:shd w:val="clear" w:color="auto" w:fill="auto"/>
            <w:vAlign w:val="center"/>
          </w:tcPr>
          <w:p>
            <w:pPr>
              <w:jc w:val="center"/>
              <w:rPr>
                <w:rFonts w:hint="eastAsia" w:ascii="宋体" w:hAnsi="宋体" w:cs="宋体"/>
                <w:b/>
                <w:bCs/>
                <w:kern w:val="0"/>
                <w:sz w:val="22"/>
                <w:szCs w:val="22"/>
              </w:rPr>
            </w:pPr>
            <w:r>
              <w:rPr>
                <w:rFonts w:hint="eastAsia" w:ascii="宋体" w:hAnsi="宋体" w:cs="宋体"/>
                <w:b/>
                <w:bCs/>
                <w:kern w:val="0"/>
                <w:sz w:val="22"/>
                <w:szCs w:val="22"/>
              </w:rPr>
              <w:t>评分项</w:t>
            </w:r>
          </w:p>
        </w:tc>
        <w:tc>
          <w:tcPr>
            <w:tcW w:w="5500" w:type="dxa"/>
            <w:shd w:val="clear" w:color="auto" w:fill="auto"/>
            <w:vAlign w:val="center"/>
          </w:tcPr>
          <w:p>
            <w:pPr>
              <w:jc w:val="center"/>
              <w:rPr>
                <w:rFonts w:hint="eastAsia" w:ascii="宋体" w:hAnsi="宋体" w:cs="宋体"/>
                <w:b/>
                <w:bCs/>
                <w:kern w:val="0"/>
                <w:sz w:val="22"/>
                <w:szCs w:val="22"/>
              </w:rPr>
            </w:pPr>
            <w:r>
              <w:rPr>
                <w:rFonts w:hint="eastAsia" w:ascii="宋体" w:hAnsi="宋体" w:cs="宋体"/>
                <w:b/>
                <w:bCs/>
                <w:kern w:val="0"/>
                <w:sz w:val="22"/>
                <w:szCs w:val="22"/>
              </w:rPr>
              <w:t>评分细则</w:t>
            </w:r>
          </w:p>
        </w:tc>
        <w:tc>
          <w:tcPr>
            <w:tcW w:w="1100" w:type="dxa"/>
            <w:shd w:val="clear" w:color="auto" w:fill="auto"/>
            <w:vAlign w:val="center"/>
          </w:tcPr>
          <w:p>
            <w:pPr>
              <w:jc w:val="center"/>
              <w:rPr>
                <w:rFonts w:hint="eastAsia" w:ascii="宋体" w:hAnsi="宋体" w:cs="宋体"/>
                <w:b/>
                <w:bCs/>
                <w:kern w:val="0"/>
                <w:sz w:val="22"/>
                <w:szCs w:val="22"/>
              </w:rPr>
            </w:pPr>
            <w:r>
              <w:rPr>
                <w:rFonts w:hint="eastAsia" w:ascii="宋体" w:hAnsi="宋体" w:cs="宋体"/>
                <w:b/>
                <w:bCs/>
                <w:kern w:val="0"/>
                <w:sz w:val="22"/>
                <w:szCs w:val="2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trPr>
        <w:tc>
          <w:tcPr>
            <w:tcW w:w="835" w:type="dxa"/>
            <w:shd w:val="clear" w:color="auto" w:fill="auto"/>
            <w:vAlign w:val="center"/>
          </w:tcPr>
          <w:p>
            <w:pPr>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2070" w:type="dxa"/>
            <w:shd w:val="clear" w:color="auto" w:fill="auto"/>
            <w:vAlign w:val="center"/>
          </w:tcPr>
          <w:p>
            <w:pPr>
              <w:jc w:val="center"/>
              <w:rPr>
                <w:rFonts w:hint="eastAsia" w:ascii="宋体" w:hAnsi="宋体" w:eastAsia="宋体" w:cs="宋体"/>
                <w:kern w:val="0"/>
                <w:sz w:val="22"/>
                <w:szCs w:val="22"/>
              </w:rPr>
            </w:pPr>
            <w:r>
              <w:rPr>
                <w:rFonts w:hint="eastAsia" w:ascii="宋体" w:hAnsi="宋体" w:eastAsia="宋体" w:cs="宋体"/>
                <w:kern w:val="0"/>
                <w:sz w:val="22"/>
                <w:szCs w:val="22"/>
              </w:rPr>
              <w:t>投标供应商资质</w:t>
            </w:r>
          </w:p>
        </w:tc>
        <w:tc>
          <w:tcPr>
            <w:tcW w:w="5500" w:type="dxa"/>
            <w:shd w:val="clear" w:color="auto" w:fill="auto"/>
            <w:vAlign w:val="center"/>
          </w:tcPr>
          <w:p>
            <w:pPr>
              <w:rPr>
                <w:rFonts w:hint="eastAsia" w:ascii="宋体" w:hAnsi="宋体" w:eastAsia="宋体" w:cs="宋体"/>
                <w:sz w:val="22"/>
                <w:szCs w:val="22"/>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1</w:t>
            </w:r>
            <w:r>
              <w:rPr>
                <w:rFonts w:hint="eastAsia" w:ascii="宋体" w:hAnsi="宋体" w:eastAsia="宋体" w:cs="宋体"/>
                <w:sz w:val="22"/>
                <w:szCs w:val="22"/>
                <w:lang w:eastAsia="zh-CN"/>
              </w:rPr>
              <w:t>）</w:t>
            </w:r>
            <w:r>
              <w:rPr>
                <w:rFonts w:hint="eastAsia" w:ascii="宋体" w:hAnsi="宋体" w:eastAsia="宋体" w:cs="宋体"/>
                <w:sz w:val="22"/>
                <w:szCs w:val="22"/>
              </w:rPr>
              <w:t>原厂授权盖章证明；(5分)</w:t>
            </w:r>
          </w:p>
          <w:p>
            <w:pPr>
              <w:rPr>
                <w:rFonts w:hint="eastAsia" w:ascii="宋体" w:hAnsi="宋体" w:eastAsia="宋体" w:cs="宋体"/>
                <w:sz w:val="22"/>
                <w:szCs w:val="22"/>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2</w:t>
            </w:r>
            <w:r>
              <w:rPr>
                <w:rFonts w:hint="eastAsia" w:ascii="宋体" w:hAnsi="宋体" w:eastAsia="宋体" w:cs="宋体"/>
                <w:sz w:val="22"/>
                <w:szCs w:val="22"/>
                <w:lang w:eastAsia="zh-CN"/>
              </w:rPr>
              <w:t>）</w:t>
            </w:r>
            <w:r>
              <w:rPr>
                <w:rFonts w:hint="eastAsia" w:ascii="宋体" w:hAnsi="宋体" w:eastAsia="宋体" w:cs="宋体"/>
                <w:sz w:val="22"/>
                <w:szCs w:val="22"/>
              </w:rPr>
              <w:t>浙江省科技型中小企业证书；(5分)</w:t>
            </w:r>
          </w:p>
          <w:p>
            <w:pPr>
              <w:rPr>
                <w:rFonts w:hint="eastAsia" w:ascii="宋体" w:hAnsi="宋体" w:eastAsia="宋体" w:cs="宋体"/>
                <w:sz w:val="22"/>
                <w:szCs w:val="22"/>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3</w:t>
            </w:r>
            <w:r>
              <w:rPr>
                <w:rFonts w:hint="eastAsia" w:ascii="宋体" w:hAnsi="宋体" w:eastAsia="宋体" w:cs="宋体"/>
                <w:sz w:val="22"/>
                <w:szCs w:val="22"/>
                <w:lang w:eastAsia="zh-CN"/>
              </w:rPr>
              <w:t>）</w:t>
            </w:r>
            <w:r>
              <w:rPr>
                <w:rFonts w:hint="eastAsia" w:ascii="宋体" w:hAnsi="宋体" w:eastAsia="宋体" w:cs="宋体"/>
                <w:sz w:val="22"/>
                <w:szCs w:val="22"/>
              </w:rPr>
              <w:t>温州本地服务网点证明（营业执照）(5分)</w:t>
            </w:r>
          </w:p>
          <w:p>
            <w:pPr>
              <w:rPr>
                <w:rFonts w:hint="eastAsia" w:ascii="宋体" w:hAnsi="宋体" w:eastAsia="宋体" w:cs="宋体"/>
                <w:sz w:val="22"/>
                <w:szCs w:val="22"/>
              </w:rPr>
            </w:pPr>
            <w:r>
              <w:rPr>
                <w:rFonts w:hint="eastAsia" w:ascii="宋体" w:hAnsi="宋体" w:eastAsia="宋体" w:cs="宋体"/>
                <w:sz w:val="22"/>
                <w:szCs w:val="22"/>
              </w:rPr>
              <w:t>注：提供相关证书</w:t>
            </w:r>
            <w:r>
              <w:rPr>
                <w:rFonts w:hint="eastAsia" w:ascii="宋体" w:hAnsi="宋体" w:eastAsia="宋体" w:cs="宋体"/>
                <w:sz w:val="22"/>
                <w:szCs w:val="22"/>
                <w:lang w:val="en-US" w:eastAsia="zh-CN"/>
              </w:rPr>
              <w:t>复印件</w:t>
            </w:r>
            <w:r>
              <w:rPr>
                <w:rFonts w:hint="eastAsia" w:ascii="宋体" w:hAnsi="宋体" w:eastAsia="宋体" w:cs="宋体"/>
                <w:sz w:val="22"/>
                <w:szCs w:val="22"/>
              </w:rPr>
              <w:t>并加盖</w:t>
            </w:r>
            <w:r>
              <w:rPr>
                <w:rFonts w:hint="eastAsia" w:ascii="宋体" w:hAnsi="宋体" w:eastAsia="宋体" w:cs="宋体"/>
                <w:sz w:val="22"/>
                <w:szCs w:val="22"/>
                <w:lang w:val="en-US" w:eastAsia="zh-CN"/>
              </w:rPr>
              <w:t>投标人</w:t>
            </w:r>
            <w:r>
              <w:rPr>
                <w:rFonts w:hint="eastAsia" w:ascii="宋体" w:hAnsi="宋体" w:eastAsia="宋体" w:cs="宋体"/>
                <w:sz w:val="22"/>
                <w:szCs w:val="22"/>
              </w:rPr>
              <w:t>公章，未提供不得分。</w:t>
            </w:r>
          </w:p>
        </w:tc>
        <w:tc>
          <w:tcPr>
            <w:tcW w:w="1100" w:type="dxa"/>
            <w:shd w:val="clear" w:color="auto" w:fill="auto"/>
            <w:vAlign w:val="center"/>
          </w:tcPr>
          <w:p>
            <w:pPr>
              <w:jc w:val="center"/>
              <w:rPr>
                <w:rFonts w:hint="eastAsia" w:ascii="宋体" w:hAnsi="宋体" w:eastAsia="宋体" w:cs="宋体"/>
                <w:kern w:val="0"/>
                <w:sz w:val="22"/>
                <w:szCs w:val="22"/>
              </w:rPr>
            </w:pPr>
            <w:r>
              <w:rPr>
                <w:rFonts w:hint="eastAsia" w:ascii="宋体" w:hAnsi="宋体" w:eastAsia="宋体" w:cs="宋体"/>
                <w:kern w:val="0"/>
                <w:sz w:val="22"/>
                <w:szCs w:val="2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trPr>
        <w:tc>
          <w:tcPr>
            <w:tcW w:w="835" w:type="dxa"/>
            <w:shd w:val="clear" w:color="auto" w:fill="auto"/>
            <w:vAlign w:val="center"/>
          </w:tcPr>
          <w:p>
            <w:pPr>
              <w:jc w:val="center"/>
              <w:rPr>
                <w:rFonts w:hint="eastAsia" w:ascii="宋体" w:hAnsi="宋体" w:eastAsia="宋体" w:cs="宋体"/>
                <w:kern w:val="0"/>
                <w:sz w:val="22"/>
                <w:szCs w:val="22"/>
              </w:rPr>
            </w:pPr>
            <w:r>
              <w:rPr>
                <w:rFonts w:hint="eastAsia" w:ascii="宋体" w:hAnsi="宋体" w:eastAsia="宋体" w:cs="宋体"/>
                <w:kern w:val="0"/>
                <w:sz w:val="22"/>
                <w:szCs w:val="22"/>
              </w:rPr>
              <w:t>2</w:t>
            </w:r>
          </w:p>
        </w:tc>
        <w:tc>
          <w:tcPr>
            <w:tcW w:w="2070" w:type="dxa"/>
            <w:shd w:val="clear" w:color="auto" w:fill="auto"/>
            <w:vAlign w:val="center"/>
          </w:tcPr>
          <w:p>
            <w:pPr>
              <w:jc w:val="center"/>
              <w:rPr>
                <w:rFonts w:hint="eastAsia" w:ascii="宋体" w:hAnsi="宋体" w:eastAsia="宋体" w:cs="宋体"/>
                <w:kern w:val="0"/>
                <w:sz w:val="22"/>
                <w:szCs w:val="22"/>
              </w:rPr>
            </w:pPr>
            <w:r>
              <w:rPr>
                <w:rFonts w:hint="eastAsia" w:ascii="宋体" w:hAnsi="宋体" w:eastAsia="宋体" w:cs="宋体"/>
                <w:kern w:val="0"/>
                <w:sz w:val="22"/>
                <w:szCs w:val="22"/>
              </w:rPr>
              <w:t>相关业绩</w:t>
            </w:r>
          </w:p>
        </w:tc>
        <w:tc>
          <w:tcPr>
            <w:tcW w:w="5500" w:type="dxa"/>
            <w:shd w:val="clear" w:color="auto" w:fill="auto"/>
            <w:vAlign w:val="center"/>
          </w:tcPr>
          <w:p>
            <w:pPr>
              <w:jc w:val="both"/>
              <w:rPr>
                <w:rFonts w:hint="eastAsia" w:ascii="宋体" w:hAnsi="宋体" w:eastAsia="宋体" w:cs="宋体"/>
                <w:kern w:val="0"/>
                <w:sz w:val="22"/>
                <w:szCs w:val="22"/>
              </w:rPr>
            </w:pPr>
            <w:r>
              <w:rPr>
                <w:rFonts w:hint="eastAsia" w:ascii="宋体" w:hAnsi="宋体" w:eastAsia="宋体" w:cs="宋体"/>
                <w:kern w:val="0"/>
                <w:sz w:val="22"/>
                <w:szCs w:val="22"/>
              </w:rPr>
              <w:t>投标供应商自2022年1月1日以来具有人力资源系统技术服务业绩，每个业绩得</w:t>
            </w:r>
            <w:r>
              <w:rPr>
                <w:rFonts w:hint="eastAsia" w:ascii="宋体" w:hAnsi="宋体" w:eastAsia="宋体" w:cs="宋体"/>
                <w:kern w:val="0"/>
                <w:sz w:val="22"/>
                <w:szCs w:val="22"/>
                <w:lang w:val="en-US" w:eastAsia="zh-CN"/>
              </w:rPr>
              <w:t>1</w:t>
            </w:r>
            <w:r>
              <w:rPr>
                <w:rFonts w:hint="eastAsia" w:ascii="宋体" w:hAnsi="宋体" w:eastAsia="宋体" w:cs="宋体"/>
                <w:kern w:val="0"/>
                <w:sz w:val="22"/>
                <w:szCs w:val="22"/>
              </w:rPr>
              <w:t>分，最高得</w:t>
            </w:r>
            <w:r>
              <w:rPr>
                <w:rFonts w:hint="eastAsia" w:ascii="宋体" w:hAnsi="宋体" w:eastAsia="宋体" w:cs="宋体"/>
                <w:kern w:val="0"/>
                <w:sz w:val="22"/>
                <w:szCs w:val="22"/>
                <w:lang w:val="en-US" w:eastAsia="zh-CN"/>
              </w:rPr>
              <w:t>3</w:t>
            </w:r>
            <w:r>
              <w:rPr>
                <w:rFonts w:hint="eastAsia" w:ascii="宋体" w:hAnsi="宋体" w:eastAsia="宋体" w:cs="宋体"/>
                <w:kern w:val="0"/>
                <w:sz w:val="22"/>
                <w:szCs w:val="22"/>
              </w:rPr>
              <w:t>分（需提供业绩合同</w:t>
            </w:r>
            <w:r>
              <w:rPr>
                <w:rFonts w:hint="eastAsia" w:ascii="宋体" w:hAnsi="宋体" w:eastAsia="宋体" w:cs="宋体"/>
                <w:kern w:val="0"/>
                <w:sz w:val="22"/>
                <w:szCs w:val="22"/>
                <w:lang w:val="en-US" w:eastAsia="zh-CN"/>
              </w:rPr>
              <w:t>复印</w:t>
            </w:r>
            <w:r>
              <w:rPr>
                <w:rFonts w:hint="eastAsia" w:ascii="宋体" w:hAnsi="宋体" w:eastAsia="宋体" w:cs="宋体"/>
                <w:kern w:val="0"/>
                <w:sz w:val="22"/>
                <w:szCs w:val="22"/>
              </w:rPr>
              <w:t>件</w:t>
            </w:r>
            <w:r>
              <w:rPr>
                <w:rFonts w:hint="eastAsia" w:ascii="宋体" w:hAnsi="宋体" w:eastAsia="宋体" w:cs="宋体"/>
                <w:kern w:val="0"/>
                <w:sz w:val="22"/>
                <w:szCs w:val="22"/>
                <w:lang w:val="en-US" w:eastAsia="zh-CN"/>
              </w:rPr>
              <w:t>并</w:t>
            </w:r>
            <w:r>
              <w:rPr>
                <w:rFonts w:hint="eastAsia" w:ascii="宋体" w:hAnsi="宋体" w:eastAsia="宋体" w:cs="宋体"/>
                <w:kern w:val="0"/>
                <w:sz w:val="22"/>
                <w:szCs w:val="22"/>
              </w:rPr>
              <w:t>加盖</w:t>
            </w:r>
            <w:r>
              <w:rPr>
                <w:rFonts w:hint="eastAsia" w:ascii="宋体" w:hAnsi="宋体" w:eastAsia="宋体" w:cs="宋体"/>
                <w:kern w:val="0"/>
                <w:sz w:val="22"/>
                <w:szCs w:val="22"/>
                <w:lang w:val="en-US" w:eastAsia="zh-CN"/>
              </w:rPr>
              <w:t>投标人</w:t>
            </w:r>
            <w:r>
              <w:rPr>
                <w:rFonts w:hint="eastAsia" w:ascii="宋体" w:hAnsi="宋体" w:eastAsia="宋体" w:cs="宋体"/>
                <w:kern w:val="0"/>
                <w:sz w:val="22"/>
                <w:szCs w:val="22"/>
              </w:rPr>
              <w:t>公章，时间以合同签订时间为准</w:t>
            </w:r>
            <w:r>
              <w:rPr>
                <w:rFonts w:hint="eastAsia" w:ascii="宋体" w:hAnsi="宋体" w:eastAsia="宋体" w:cs="宋体"/>
                <w:kern w:val="0"/>
                <w:sz w:val="22"/>
                <w:szCs w:val="22"/>
                <w:lang w:eastAsia="zh-CN"/>
              </w:rPr>
              <w:t>，</w:t>
            </w:r>
            <w:r>
              <w:rPr>
                <w:rFonts w:hint="eastAsia" w:ascii="宋体" w:hAnsi="宋体" w:eastAsia="宋体" w:cs="宋体"/>
                <w:kern w:val="0"/>
                <w:sz w:val="22"/>
                <w:szCs w:val="22"/>
                <w:lang w:val="en-US" w:eastAsia="zh-CN"/>
              </w:rPr>
              <w:t>与同一采购人签订的多份合同视为1个业绩</w:t>
            </w:r>
            <w:r>
              <w:rPr>
                <w:rFonts w:hint="eastAsia" w:ascii="宋体" w:hAnsi="宋体" w:eastAsia="宋体" w:cs="宋体"/>
                <w:kern w:val="0"/>
                <w:sz w:val="22"/>
                <w:szCs w:val="22"/>
              </w:rPr>
              <w:t>）</w:t>
            </w:r>
          </w:p>
        </w:tc>
        <w:tc>
          <w:tcPr>
            <w:tcW w:w="1100" w:type="dxa"/>
            <w:shd w:val="clear" w:color="auto" w:fill="auto"/>
            <w:vAlign w:val="center"/>
          </w:tcPr>
          <w:p>
            <w:pPr>
              <w:jc w:val="center"/>
              <w:rPr>
                <w:rFonts w:hint="eastAsia" w:ascii="宋体" w:hAnsi="宋体" w:eastAsia="宋体" w:cs="宋体"/>
                <w:kern w:val="0"/>
                <w:sz w:val="22"/>
                <w:szCs w:val="22"/>
                <w:lang w:eastAsia="zh-CN"/>
              </w:rPr>
            </w:pPr>
            <w:r>
              <w:rPr>
                <w:rFonts w:hint="eastAsia" w:ascii="宋体" w:hAnsi="宋体" w:eastAsia="宋体" w:cs="宋体"/>
                <w:kern w:val="0"/>
                <w:sz w:val="22"/>
                <w:szCs w:val="22"/>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trPr>
        <w:tc>
          <w:tcPr>
            <w:tcW w:w="835" w:type="dxa"/>
            <w:shd w:val="clear" w:color="auto" w:fill="auto"/>
            <w:vAlign w:val="center"/>
          </w:tcPr>
          <w:p>
            <w:pPr>
              <w:jc w:val="center"/>
              <w:rPr>
                <w:rFonts w:hint="eastAsia" w:ascii="宋体" w:hAnsi="宋体" w:eastAsia="宋体" w:cs="宋体"/>
                <w:kern w:val="0"/>
                <w:sz w:val="22"/>
                <w:szCs w:val="22"/>
                <w:lang w:eastAsia="zh-CN"/>
              </w:rPr>
            </w:pPr>
            <w:r>
              <w:rPr>
                <w:rFonts w:hint="eastAsia" w:ascii="宋体" w:hAnsi="宋体" w:eastAsia="宋体" w:cs="宋体"/>
                <w:kern w:val="0"/>
                <w:sz w:val="22"/>
                <w:szCs w:val="22"/>
                <w:lang w:val="en-US" w:eastAsia="zh-CN"/>
              </w:rPr>
              <w:t>3</w:t>
            </w:r>
          </w:p>
        </w:tc>
        <w:tc>
          <w:tcPr>
            <w:tcW w:w="2070" w:type="dxa"/>
            <w:shd w:val="clear" w:color="auto" w:fill="auto"/>
            <w:vAlign w:val="center"/>
          </w:tcPr>
          <w:p>
            <w:pPr>
              <w:jc w:val="center"/>
              <w:rPr>
                <w:rFonts w:hint="eastAsia" w:ascii="宋体" w:hAnsi="宋体" w:eastAsia="宋体" w:cs="宋体"/>
                <w:kern w:val="0"/>
                <w:sz w:val="22"/>
                <w:szCs w:val="22"/>
              </w:rPr>
            </w:pPr>
            <w:r>
              <w:rPr>
                <w:rFonts w:hint="eastAsia" w:ascii="宋体" w:hAnsi="宋体" w:eastAsia="宋体" w:cs="宋体"/>
                <w:kern w:val="0"/>
                <w:sz w:val="22"/>
                <w:szCs w:val="22"/>
              </w:rPr>
              <w:t>售后服务方案</w:t>
            </w:r>
          </w:p>
        </w:tc>
        <w:tc>
          <w:tcPr>
            <w:tcW w:w="5500" w:type="dxa"/>
            <w:shd w:val="clear" w:color="auto" w:fill="auto"/>
            <w:vAlign w:val="center"/>
          </w:tcPr>
          <w:p>
            <w:pPr>
              <w:widowControl/>
              <w:jc w:val="both"/>
              <w:rPr>
                <w:rFonts w:hint="default" w:ascii="宋体" w:hAnsi="宋体" w:eastAsia="宋体" w:cs="宋体"/>
                <w:kern w:val="0"/>
                <w:sz w:val="22"/>
                <w:szCs w:val="22"/>
                <w:lang w:val="en-US" w:eastAsia="zh-CN"/>
              </w:rPr>
            </w:pPr>
            <w:r>
              <w:rPr>
                <w:rFonts w:hint="eastAsia" w:ascii="宋体" w:hAnsi="宋体" w:eastAsia="宋体" w:cs="宋体"/>
                <w:sz w:val="22"/>
                <w:szCs w:val="22"/>
              </w:rPr>
              <w:t>根据投标供应商所提供售后服务方案的可行性、完整性以及售后服务承诺落实的保障措施情况等综合评分。A档：</w:t>
            </w:r>
            <w:r>
              <w:rPr>
                <w:rFonts w:hint="eastAsia" w:ascii="宋体" w:hAnsi="宋体" w:eastAsia="宋体" w:cs="宋体"/>
                <w:sz w:val="22"/>
                <w:szCs w:val="22"/>
                <w:lang w:val="en-US" w:eastAsia="zh-CN"/>
              </w:rPr>
              <w:t>26</w:t>
            </w:r>
            <w:r>
              <w:rPr>
                <w:rFonts w:hint="eastAsia" w:ascii="宋体" w:hAnsi="宋体" w:eastAsia="宋体" w:cs="宋体"/>
                <w:sz w:val="22"/>
                <w:szCs w:val="22"/>
              </w:rPr>
              <w:t>-3</w:t>
            </w:r>
            <w:r>
              <w:rPr>
                <w:rFonts w:hint="eastAsia" w:ascii="宋体" w:hAnsi="宋体" w:eastAsia="宋体" w:cs="宋体"/>
                <w:sz w:val="22"/>
                <w:szCs w:val="22"/>
                <w:lang w:val="en-US" w:eastAsia="zh-CN"/>
              </w:rPr>
              <w:t>6</w:t>
            </w:r>
            <w:r>
              <w:rPr>
                <w:rFonts w:hint="eastAsia" w:ascii="宋体" w:hAnsi="宋体" w:eastAsia="宋体" w:cs="宋体"/>
                <w:sz w:val="22"/>
                <w:szCs w:val="22"/>
              </w:rPr>
              <w:t>分；B档：</w:t>
            </w:r>
            <w:r>
              <w:rPr>
                <w:rFonts w:hint="eastAsia" w:ascii="宋体" w:hAnsi="宋体" w:eastAsia="宋体" w:cs="宋体"/>
                <w:sz w:val="22"/>
                <w:szCs w:val="22"/>
                <w:lang w:val="en-US" w:eastAsia="zh-CN"/>
              </w:rPr>
              <w:t>16</w:t>
            </w:r>
            <w:r>
              <w:rPr>
                <w:rFonts w:hint="eastAsia" w:ascii="宋体" w:hAnsi="宋体" w:eastAsia="宋体" w:cs="宋体"/>
                <w:sz w:val="22"/>
                <w:szCs w:val="22"/>
              </w:rPr>
              <w:t>-2</w:t>
            </w:r>
            <w:r>
              <w:rPr>
                <w:rFonts w:hint="eastAsia" w:ascii="宋体" w:hAnsi="宋体" w:eastAsia="宋体" w:cs="宋体"/>
                <w:sz w:val="22"/>
                <w:szCs w:val="22"/>
                <w:lang w:val="en-US" w:eastAsia="zh-CN"/>
              </w:rPr>
              <w:t>6</w:t>
            </w:r>
            <w:r>
              <w:rPr>
                <w:rFonts w:hint="eastAsia" w:ascii="宋体" w:hAnsi="宋体" w:eastAsia="宋体" w:cs="宋体"/>
                <w:sz w:val="22"/>
                <w:szCs w:val="22"/>
              </w:rPr>
              <w:t>分；C档：</w:t>
            </w:r>
            <w:r>
              <w:rPr>
                <w:rFonts w:hint="eastAsia" w:ascii="宋体" w:hAnsi="宋体" w:eastAsia="宋体" w:cs="宋体"/>
                <w:sz w:val="22"/>
                <w:szCs w:val="22"/>
                <w:lang w:val="en-US" w:eastAsia="zh-CN"/>
              </w:rPr>
              <w:t>6</w:t>
            </w:r>
            <w:r>
              <w:rPr>
                <w:rFonts w:hint="eastAsia" w:ascii="宋体" w:hAnsi="宋体" w:eastAsia="宋体" w:cs="宋体"/>
                <w:sz w:val="22"/>
                <w:szCs w:val="22"/>
              </w:rPr>
              <w:t>-1</w:t>
            </w:r>
            <w:r>
              <w:rPr>
                <w:rFonts w:hint="eastAsia" w:ascii="宋体" w:hAnsi="宋体" w:eastAsia="宋体" w:cs="宋体"/>
                <w:sz w:val="22"/>
                <w:szCs w:val="22"/>
                <w:lang w:val="en-US" w:eastAsia="zh-CN"/>
              </w:rPr>
              <w:t>6</w:t>
            </w:r>
            <w:r>
              <w:rPr>
                <w:rFonts w:hint="eastAsia" w:ascii="宋体" w:hAnsi="宋体" w:eastAsia="宋体" w:cs="宋体"/>
                <w:sz w:val="22"/>
                <w:szCs w:val="22"/>
              </w:rPr>
              <w:t>分</w:t>
            </w:r>
            <w:r>
              <w:rPr>
                <w:rFonts w:hint="eastAsia" w:ascii="宋体" w:hAnsi="宋体" w:eastAsia="宋体" w:cs="宋体"/>
                <w:kern w:val="0"/>
                <w:sz w:val="22"/>
                <w:szCs w:val="22"/>
              </w:rPr>
              <w:t>。</w:t>
            </w:r>
            <w:r>
              <w:rPr>
                <w:rFonts w:hint="eastAsia" w:ascii="宋体" w:hAnsi="宋体" w:eastAsia="宋体" w:cs="宋体"/>
                <w:kern w:val="0"/>
                <w:sz w:val="22"/>
                <w:szCs w:val="22"/>
                <w:lang w:val="en-US" w:eastAsia="zh-CN"/>
              </w:rPr>
              <w:t>本项未提供相关内容的不得分。</w:t>
            </w:r>
          </w:p>
        </w:tc>
        <w:tc>
          <w:tcPr>
            <w:tcW w:w="1100" w:type="dxa"/>
            <w:shd w:val="clear" w:color="auto" w:fill="auto"/>
            <w:vAlign w:val="center"/>
          </w:tcPr>
          <w:p>
            <w:pPr>
              <w:jc w:val="center"/>
              <w:rPr>
                <w:rFonts w:hint="eastAsia" w:ascii="宋体" w:hAnsi="宋体" w:eastAsia="宋体" w:cs="宋体"/>
                <w:kern w:val="0"/>
                <w:sz w:val="22"/>
                <w:szCs w:val="22"/>
                <w:lang w:eastAsia="zh-CN"/>
              </w:rPr>
            </w:pPr>
            <w:r>
              <w:rPr>
                <w:rFonts w:hint="eastAsia" w:ascii="宋体" w:hAnsi="宋体" w:eastAsia="宋体" w:cs="宋体"/>
                <w:kern w:val="0"/>
                <w:sz w:val="22"/>
                <w:szCs w:val="22"/>
              </w:rPr>
              <w:t>3</w:t>
            </w:r>
            <w:r>
              <w:rPr>
                <w:rFonts w:hint="eastAsia" w:ascii="宋体" w:hAnsi="宋体" w:eastAsia="宋体" w:cs="宋体"/>
                <w:kern w:val="0"/>
                <w:sz w:val="22"/>
                <w:szCs w:val="22"/>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atLeast"/>
        </w:trPr>
        <w:tc>
          <w:tcPr>
            <w:tcW w:w="835" w:type="dxa"/>
            <w:shd w:val="clear" w:color="auto" w:fill="auto"/>
            <w:vAlign w:val="center"/>
          </w:tcPr>
          <w:p>
            <w:pPr>
              <w:jc w:val="center"/>
              <w:rPr>
                <w:rFonts w:hint="eastAsia" w:ascii="宋体" w:hAnsi="宋体" w:eastAsia="宋体" w:cs="宋体"/>
                <w:kern w:val="0"/>
                <w:sz w:val="22"/>
                <w:szCs w:val="22"/>
                <w:lang w:eastAsia="zh-CN"/>
              </w:rPr>
            </w:pPr>
            <w:r>
              <w:rPr>
                <w:rFonts w:hint="eastAsia" w:ascii="宋体" w:hAnsi="宋体" w:eastAsia="宋体" w:cs="宋体"/>
                <w:kern w:val="0"/>
                <w:sz w:val="22"/>
                <w:szCs w:val="22"/>
                <w:lang w:val="en-US" w:eastAsia="zh-CN"/>
              </w:rPr>
              <w:t>4</w:t>
            </w:r>
          </w:p>
        </w:tc>
        <w:tc>
          <w:tcPr>
            <w:tcW w:w="2070" w:type="dxa"/>
            <w:shd w:val="clear" w:color="auto" w:fill="auto"/>
            <w:vAlign w:val="center"/>
          </w:tcPr>
          <w:p>
            <w:pPr>
              <w:jc w:val="center"/>
              <w:rPr>
                <w:rFonts w:hint="eastAsia" w:ascii="宋体" w:hAnsi="宋体" w:eastAsia="宋体" w:cs="宋体"/>
                <w:kern w:val="0"/>
                <w:sz w:val="22"/>
                <w:szCs w:val="22"/>
              </w:rPr>
            </w:pPr>
            <w:r>
              <w:rPr>
                <w:rFonts w:hint="eastAsia" w:ascii="宋体" w:hAnsi="宋体" w:eastAsia="宋体" w:cs="宋体"/>
                <w:kern w:val="0"/>
                <w:sz w:val="22"/>
                <w:szCs w:val="22"/>
              </w:rPr>
              <w:t>合理化建议</w:t>
            </w:r>
          </w:p>
        </w:tc>
        <w:tc>
          <w:tcPr>
            <w:tcW w:w="5500" w:type="dxa"/>
            <w:shd w:val="clear" w:color="auto" w:fill="auto"/>
            <w:vAlign w:val="center"/>
          </w:tcPr>
          <w:p>
            <w:pPr>
              <w:jc w:val="both"/>
              <w:rPr>
                <w:rFonts w:hint="eastAsia" w:ascii="宋体" w:hAnsi="宋体" w:eastAsia="宋体" w:cs="宋体"/>
                <w:kern w:val="0"/>
                <w:sz w:val="22"/>
                <w:szCs w:val="22"/>
              </w:rPr>
            </w:pPr>
            <w:r>
              <w:rPr>
                <w:rFonts w:hint="eastAsia" w:ascii="宋体" w:hAnsi="宋体" w:eastAsia="宋体" w:cs="宋体"/>
                <w:sz w:val="22"/>
                <w:szCs w:val="22"/>
              </w:rPr>
              <w:t>针对投标供应商提供的实质性合理化建议及有助于提升项目建设效果的方案建议综合评分。A档：</w:t>
            </w:r>
            <w:r>
              <w:rPr>
                <w:rFonts w:hint="eastAsia" w:ascii="宋体" w:hAnsi="宋体" w:eastAsia="宋体" w:cs="宋体"/>
                <w:sz w:val="22"/>
                <w:szCs w:val="22"/>
                <w:lang w:val="en-US" w:eastAsia="zh-CN"/>
              </w:rPr>
              <w:t>11</w:t>
            </w:r>
            <w:r>
              <w:rPr>
                <w:rFonts w:hint="eastAsia" w:ascii="宋体" w:hAnsi="宋体" w:eastAsia="宋体" w:cs="宋体"/>
                <w:sz w:val="22"/>
                <w:szCs w:val="22"/>
              </w:rPr>
              <w:t>-</w:t>
            </w:r>
            <w:r>
              <w:rPr>
                <w:rFonts w:hint="eastAsia" w:ascii="宋体" w:hAnsi="宋体" w:eastAsia="宋体" w:cs="宋体"/>
                <w:sz w:val="22"/>
                <w:szCs w:val="22"/>
                <w:lang w:val="en-US" w:eastAsia="zh-CN"/>
              </w:rPr>
              <w:t>16</w:t>
            </w:r>
            <w:r>
              <w:rPr>
                <w:rFonts w:hint="eastAsia" w:ascii="宋体" w:hAnsi="宋体" w:eastAsia="宋体" w:cs="宋体"/>
                <w:sz w:val="22"/>
                <w:szCs w:val="22"/>
              </w:rPr>
              <w:t>分；B档：</w:t>
            </w:r>
            <w:r>
              <w:rPr>
                <w:rFonts w:hint="eastAsia" w:ascii="宋体" w:hAnsi="宋体" w:eastAsia="宋体" w:cs="宋体"/>
                <w:sz w:val="22"/>
                <w:szCs w:val="22"/>
                <w:lang w:val="en-US" w:eastAsia="zh-CN"/>
              </w:rPr>
              <w:t>6</w:t>
            </w:r>
            <w:r>
              <w:rPr>
                <w:rFonts w:hint="eastAsia" w:ascii="宋体" w:hAnsi="宋体" w:eastAsia="宋体" w:cs="宋体"/>
                <w:sz w:val="22"/>
                <w:szCs w:val="22"/>
              </w:rPr>
              <w:t>-</w:t>
            </w:r>
            <w:r>
              <w:rPr>
                <w:rFonts w:hint="eastAsia" w:ascii="宋体" w:hAnsi="宋体" w:eastAsia="宋体" w:cs="宋体"/>
                <w:sz w:val="22"/>
                <w:szCs w:val="22"/>
                <w:lang w:val="en-US" w:eastAsia="zh-CN"/>
              </w:rPr>
              <w:t>11</w:t>
            </w:r>
            <w:r>
              <w:rPr>
                <w:rFonts w:hint="eastAsia" w:ascii="宋体" w:hAnsi="宋体" w:eastAsia="宋体" w:cs="宋体"/>
                <w:sz w:val="22"/>
                <w:szCs w:val="22"/>
              </w:rPr>
              <w:t>分；C档：</w:t>
            </w:r>
            <w:r>
              <w:rPr>
                <w:rFonts w:hint="eastAsia" w:ascii="宋体" w:hAnsi="宋体" w:eastAsia="宋体" w:cs="宋体"/>
                <w:sz w:val="22"/>
                <w:szCs w:val="22"/>
                <w:lang w:val="en-US" w:eastAsia="zh-CN"/>
              </w:rPr>
              <w:t>6</w:t>
            </w:r>
            <w:r>
              <w:rPr>
                <w:rFonts w:hint="eastAsia" w:ascii="宋体" w:hAnsi="宋体" w:eastAsia="宋体" w:cs="宋体"/>
                <w:sz w:val="22"/>
                <w:szCs w:val="22"/>
              </w:rPr>
              <w:t>-</w:t>
            </w:r>
            <w:r>
              <w:rPr>
                <w:rFonts w:hint="eastAsia" w:ascii="宋体" w:hAnsi="宋体" w:eastAsia="宋体" w:cs="宋体"/>
                <w:sz w:val="22"/>
                <w:szCs w:val="22"/>
                <w:lang w:val="en-US" w:eastAsia="zh-CN"/>
              </w:rPr>
              <w:t>0</w:t>
            </w:r>
            <w:r>
              <w:rPr>
                <w:rFonts w:hint="eastAsia" w:ascii="宋体" w:hAnsi="宋体" w:eastAsia="宋体" w:cs="宋体"/>
                <w:sz w:val="22"/>
                <w:szCs w:val="22"/>
              </w:rPr>
              <w:t>分</w:t>
            </w:r>
            <w:r>
              <w:rPr>
                <w:rFonts w:hint="eastAsia" w:ascii="宋体" w:hAnsi="宋体" w:eastAsia="宋体" w:cs="宋体"/>
                <w:kern w:val="0"/>
                <w:sz w:val="22"/>
                <w:szCs w:val="22"/>
              </w:rPr>
              <w:t>。</w:t>
            </w:r>
            <w:r>
              <w:rPr>
                <w:rFonts w:hint="eastAsia" w:ascii="宋体" w:hAnsi="宋体" w:eastAsia="宋体" w:cs="宋体"/>
                <w:kern w:val="0"/>
                <w:sz w:val="22"/>
                <w:szCs w:val="22"/>
                <w:lang w:val="en-US" w:eastAsia="zh-CN"/>
              </w:rPr>
              <w:t>本项未提供相关内容的不得分。</w:t>
            </w:r>
          </w:p>
        </w:tc>
        <w:tc>
          <w:tcPr>
            <w:tcW w:w="1100" w:type="dxa"/>
            <w:shd w:val="clear" w:color="auto" w:fill="auto"/>
            <w:vAlign w:val="center"/>
          </w:tcPr>
          <w:p>
            <w:pPr>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16</w:t>
            </w:r>
          </w:p>
        </w:tc>
      </w:tr>
    </w:tbl>
    <w:p>
      <w:pPr>
        <w:pStyle w:val="4"/>
        <w:ind w:firstLine="0"/>
        <w:rPr>
          <w:rFonts w:hint="eastAsia" w:ascii="宋体" w:hAnsi="宋体" w:eastAsia="宋体" w:cs="宋体"/>
          <w:b/>
          <w:bCs/>
          <w:sz w:val="22"/>
          <w:szCs w:val="22"/>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numPr>
          <w:ilvl w:val="0"/>
          <w:numId w:val="1"/>
        </w:numPr>
        <w:rPr>
          <w:rFonts w:hint="eastAsia" w:ascii="宋体" w:hAnsi="宋体" w:cs="宋体"/>
          <w:b/>
          <w:bCs/>
          <w:sz w:val="22"/>
          <w:szCs w:val="22"/>
        </w:rPr>
      </w:pPr>
      <w:r>
        <w:rPr>
          <w:rFonts w:hint="eastAsia" w:ascii="宋体" w:hAnsi="宋体" w:cs="宋体"/>
          <w:b/>
          <w:bCs/>
          <w:sz w:val="22"/>
          <w:szCs w:val="22"/>
        </w:rPr>
        <w:t>价格评分：满分30分</w:t>
      </w:r>
    </w:p>
    <w:p>
      <w:pPr>
        <w:tabs>
          <w:tab w:val="left" w:pos="774"/>
        </w:tabs>
        <w:autoSpaceDE w:val="0"/>
        <w:autoSpaceDN w:val="0"/>
        <w:spacing w:before="240" w:line="276" w:lineRule="auto"/>
        <w:ind w:left="774" w:hanging="576"/>
        <w:jc w:val="center"/>
        <w:outlineLvl w:val="2"/>
        <w:rPr>
          <w:rFonts w:hint="eastAsia" w:ascii="宋体" w:hAnsi="宋体" w:cs="宋体"/>
          <w:b/>
          <w:sz w:val="28"/>
          <w:szCs w:val="28"/>
          <w:lang w:val="zh-CN"/>
        </w:rPr>
      </w:pPr>
      <w:bookmarkStart w:id="1" w:name="_Toc11964"/>
      <w:bookmarkStart w:id="2" w:name="_Toc8618"/>
      <w:r>
        <w:rPr>
          <w:rFonts w:hint="eastAsia" w:ascii="宋体" w:hAnsi="宋体" w:cs="宋体"/>
          <w:b/>
          <w:sz w:val="28"/>
          <w:szCs w:val="28"/>
          <w:lang w:val="zh-CN"/>
        </w:rPr>
        <w:t>报价一览表</w:t>
      </w:r>
      <w:bookmarkEnd w:id="1"/>
      <w:bookmarkEnd w:id="2"/>
    </w:p>
    <w:p>
      <w:pPr>
        <w:spacing w:line="360" w:lineRule="auto"/>
        <w:rPr>
          <w:rFonts w:hint="eastAsia" w:ascii="宋体" w:hAnsi="宋体" w:cs="宋体"/>
          <w:sz w:val="22"/>
          <w:szCs w:val="18"/>
        </w:rPr>
      </w:pPr>
      <w:r>
        <w:rPr>
          <w:rFonts w:hint="eastAsia" w:ascii="宋体" w:hAnsi="宋体" w:cs="宋体"/>
          <w:sz w:val="24"/>
        </w:rPr>
        <w:t>项目名称：</w:t>
      </w:r>
      <w:r>
        <w:rPr>
          <w:rFonts w:hint="eastAsia" w:ascii="宋体" w:hAnsi="宋体" w:cs="宋体"/>
          <w:sz w:val="24"/>
          <w:lang w:eastAsia="zh-Hans"/>
        </w:rPr>
        <w:t>温州市中医院人事管理系统维保</w:t>
      </w:r>
      <w:r>
        <w:rPr>
          <w:rFonts w:hint="eastAsia" w:ascii="宋体" w:hAnsi="宋体" w:cs="宋体"/>
          <w:sz w:val="24"/>
        </w:rPr>
        <w:t xml:space="preserve">   </w:t>
      </w:r>
      <w:r>
        <w:rPr>
          <w:rFonts w:hint="eastAsia" w:ascii="宋体" w:hAnsi="宋体" w:cs="宋体"/>
          <w:sz w:val="22"/>
          <w:szCs w:val="18"/>
        </w:rPr>
        <w:t xml:space="preserve">                            </w:t>
      </w:r>
    </w:p>
    <w:tbl>
      <w:tblPr>
        <w:tblStyle w:val="13"/>
        <w:tblW w:w="9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5"/>
        <w:gridCol w:w="3540"/>
        <w:gridCol w:w="3105"/>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535" w:type="dxa"/>
            <w:vAlign w:val="center"/>
          </w:tcPr>
          <w:p>
            <w:pPr>
              <w:spacing w:line="380" w:lineRule="exact"/>
              <w:jc w:val="center"/>
              <w:rPr>
                <w:rFonts w:hint="eastAsia" w:ascii="宋体" w:hAnsi="宋体" w:cs="宋体"/>
                <w:sz w:val="22"/>
              </w:rPr>
            </w:pPr>
            <w:r>
              <w:rPr>
                <w:rFonts w:hint="eastAsia" w:ascii="宋体" w:hAnsi="宋体" w:cs="宋体"/>
                <w:sz w:val="22"/>
              </w:rPr>
              <w:t>序号</w:t>
            </w:r>
          </w:p>
        </w:tc>
        <w:tc>
          <w:tcPr>
            <w:tcW w:w="3540" w:type="dxa"/>
            <w:vAlign w:val="center"/>
          </w:tcPr>
          <w:p>
            <w:pPr>
              <w:spacing w:line="380" w:lineRule="exact"/>
              <w:jc w:val="center"/>
              <w:rPr>
                <w:rFonts w:hint="eastAsia" w:ascii="宋体" w:hAnsi="宋体" w:cs="宋体"/>
                <w:sz w:val="22"/>
              </w:rPr>
            </w:pPr>
            <w:r>
              <w:rPr>
                <w:rFonts w:hint="eastAsia" w:ascii="宋体" w:hAnsi="宋体" w:cs="宋体"/>
                <w:bCs/>
                <w:sz w:val="22"/>
                <w:szCs w:val="22"/>
              </w:rPr>
              <w:t>项目名称</w:t>
            </w:r>
          </w:p>
        </w:tc>
        <w:tc>
          <w:tcPr>
            <w:tcW w:w="3105" w:type="dxa"/>
            <w:vAlign w:val="center"/>
          </w:tcPr>
          <w:p>
            <w:pPr>
              <w:spacing w:line="380" w:lineRule="exact"/>
              <w:jc w:val="center"/>
              <w:rPr>
                <w:rFonts w:hint="eastAsia" w:ascii="宋体" w:hAnsi="宋体" w:cs="宋体"/>
                <w:sz w:val="22"/>
              </w:rPr>
            </w:pPr>
            <w:r>
              <w:rPr>
                <w:rFonts w:hint="eastAsia" w:ascii="宋体" w:hAnsi="宋体" w:cs="宋体"/>
                <w:bCs/>
                <w:sz w:val="22"/>
                <w:szCs w:val="22"/>
              </w:rPr>
              <w:t>报价（人民币元）</w:t>
            </w:r>
          </w:p>
        </w:tc>
        <w:tc>
          <w:tcPr>
            <w:tcW w:w="1323" w:type="dxa"/>
            <w:vAlign w:val="center"/>
          </w:tcPr>
          <w:p>
            <w:pPr>
              <w:spacing w:line="380" w:lineRule="exact"/>
              <w:jc w:val="center"/>
              <w:rPr>
                <w:rFonts w:hint="eastAsia" w:ascii="宋体" w:hAnsi="宋体" w:cs="宋体"/>
                <w:sz w:val="22"/>
              </w:rPr>
            </w:pPr>
            <w:r>
              <w:rPr>
                <w:rFonts w:hint="eastAsia" w:ascii="宋体" w:hAnsi="宋体" w:cs="宋体"/>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1535" w:type="dxa"/>
            <w:vMerge w:val="restart"/>
            <w:vAlign w:val="center"/>
          </w:tcPr>
          <w:p>
            <w:pPr>
              <w:spacing w:line="380" w:lineRule="exact"/>
              <w:jc w:val="center"/>
              <w:rPr>
                <w:rFonts w:hint="eastAsia" w:ascii="宋体" w:hAnsi="宋体" w:cs="宋体"/>
                <w:sz w:val="22"/>
              </w:rPr>
            </w:pPr>
            <w:r>
              <w:rPr>
                <w:rFonts w:hint="eastAsia" w:ascii="宋体" w:hAnsi="宋体" w:cs="宋体"/>
                <w:sz w:val="22"/>
              </w:rPr>
              <w:t>1</w:t>
            </w:r>
          </w:p>
        </w:tc>
        <w:tc>
          <w:tcPr>
            <w:tcW w:w="3540" w:type="dxa"/>
            <w:vMerge w:val="restart"/>
            <w:vAlign w:val="center"/>
          </w:tcPr>
          <w:p>
            <w:pPr>
              <w:spacing w:line="380" w:lineRule="exact"/>
              <w:jc w:val="center"/>
              <w:rPr>
                <w:rFonts w:hint="eastAsia" w:ascii="宋体" w:hAnsi="宋体" w:cs="宋体"/>
                <w:sz w:val="22"/>
              </w:rPr>
            </w:pPr>
            <w:r>
              <w:rPr>
                <w:rFonts w:hint="eastAsia" w:ascii="宋体" w:hAnsi="宋体" w:cs="宋体"/>
                <w:sz w:val="22"/>
              </w:rPr>
              <w:t>温州市中医院人事管理系统维保</w:t>
            </w:r>
          </w:p>
        </w:tc>
        <w:tc>
          <w:tcPr>
            <w:tcW w:w="3105" w:type="dxa"/>
            <w:vAlign w:val="center"/>
          </w:tcPr>
          <w:p>
            <w:pPr>
              <w:spacing w:line="380" w:lineRule="exact"/>
              <w:rPr>
                <w:rFonts w:hint="eastAsia" w:ascii="宋体" w:hAnsi="宋体" w:cs="宋体"/>
                <w:sz w:val="22"/>
              </w:rPr>
            </w:pPr>
            <w:r>
              <w:rPr>
                <w:rFonts w:hint="eastAsia" w:ascii="宋体" w:hAnsi="宋体" w:cs="宋体"/>
                <w:sz w:val="22"/>
              </w:rPr>
              <w:t>大写：</w:t>
            </w:r>
          </w:p>
        </w:tc>
        <w:tc>
          <w:tcPr>
            <w:tcW w:w="1323" w:type="dxa"/>
            <w:vMerge w:val="restart"/>
            <w:vAlign w:val="center"/>
          </w:tcPr>
          <w:p>
            <w:pPr>
              <w:spacing w:line="380" w:lineRule="exact"/>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1535" w:type="dxa"/>
            <w:vMerge w:val="continue"/>
            <w:vAlign w:val="center"/>
          </w:tcPr>
          <w:p>
            <w:pPr>
              <w:spacing w:line="380" w:lineRule="exact"/>
              <w:jc w:val="center"/>
              <w:rPr>
                <w:rFonts w:hint="eastAsia" w:ascii="宋体" w:hAnsi="宋体" w:cs="宋体"/>
                <w:sz w:val="22"/>
              </w:rPr>
            </w:pPr>
          </w:p>
        </w:tc>
        <w:tc>
          <w:tcPr>
            <w:tcW w:w="3540" w:type="dxa"/>
            <w:vMerge w:val="continue"/>
            <w:vAlign w:val="center"/>
          </w:tcPr>
          <w:p>
            <w:pPr>
              <w:spacing w:line="380" w:lineRule="exact"/>
              <w:jc w:val="center"/>
              <w:rPr>
                <w:rFonts w:hint="eastAsia" w:ascii="宋体" w:hAnsi="宋体" w:cs="宋体"/>
                <w:sz w:val="22"/>
              </w:rPr>
            </w:pPr>
          </w:p>
        </w:tc>
        <w:tc>
          <w:tcPr>
            <w:tcW w:w="3105" w:type="dxa"/>
            <w:vAlign w:val="center"/>
          </w:tcPr>
          <w:p>
            <w:pPr>
              <w:spacing w:line="380" w:lineRule="exact"/>
              <w:rPr>
                <w:rFonts w:hint="eastAsia" w:ascii="宋体" w:hAnsi="宋体" w:cs="宋体"/>
                <w:sz w:val="22"/>
              </w:rPr>
            </w:pPr>
            <w:r>
              <w:rPr>
                <w:rFonts w:hint="eastAsia" w:ascii="宋体" w:hAnsi="宋体" w:cs="宋体"/>
                <w:sz w:val="22"/>
              </w:rPr>
              <w:t>小写：</w:t>
            </w:r>
          </w:p>
        </w:tc>
        <w:tc>
          <w:tcPr>
            <w:tcW w:w="1323" w:type="dxa"/>
            <w:vMerge w:val="continue"/>
            <w:vAlign w:val="center"/>
          </w:tcPr>
          <w:p>
            <w:pPr>
              <w:spacing w:line="380" w:lineRule="exact"/>
              <w:jc w:val="center"/>
              <w:rPr>
                <w:rFonts w:hint="eastAsia" w:ascii="宋体" w:hAnsi="宋体" w:cs="宋体"/>
                <w:sz w:val="22"/>
              </w:rPr>
            </w:pPr>
          </w:p>
        </w:tc>
      </w:tr>
    </w:tbl>
    <w:p>
      <w:pPr>
        <w:spacing w:line="450" w:lineRule="exact"/>
        <w:ind w:firstLine="541" w:firstLineChars="245"/>
        <w:rPr>
          <w:rFonts w:hint="eastAsia" w:ascii="宋体" w:hAnsi="宋体" w:cs="宋体"/>
          <w:b/>
          <w:sz w:val="22"/>
        </w:rPr>
      </w:pPr>
    </w:p>
    <w:p>
      <w:pPr>
        <w:rPr>
          <w:rFonts w:hint="eastAsia" w:ascii="宋体" w:hAnsi="宋体" w:cs="宋体"/>
          <w:b/>
          <w:sz w:val="22"/>
        </w:rPr>
      </w:pPr>
      <w:r>
        <w:rPr>
          <w:rFonts w:hint="eastAsia" w:ascii="宋体" w:hAnsi="宋体" w:cs="宋体"/>
          <w:b/>
          <w:sz w:val="22"/>
        </w:rPr>
        <w:t>说明：</w:t>
      </w:r>
    </w:p>
    <w:p>
      <w:pPr>
        <w:spacing w:line="360" w:lineRule="auto"/>
        <w:ind w:firstLine="442" w:firstLineChars="200"/>
        <w:rPr>
          <w:rFonts w:hint="eastAsia" w:ascii="宋体" w:hAnsi="宋体" w:cs="宋体"/>
          <w:b/>
          <w:sz w:val="22"/>
        </w:rPr>
      </w:pPr>
      <w:r>
        <w:rPr>
          <w:rFonts w:hint="eastAsia" w:ascii="宋体" w:hAnsi="宋体" w:cs="宋体"/>
          <w:b/>
          <w:sz w:val="22"/>
        </w:rPr>
        <w:t>1、全部报价均为税后价。</w:t>
      </w:r>
    </w:p>
    <w:p>
      <w:pPr>
        <w:ind w:firstLine="442" w:firstLineChars="200"/>
        <w:rPr>
          <w:rFonts w:hint="eastAsia" w:ascii="宋体" w:hAnsi="宋体" w:cs="宋体"/>
          <w:b/>
          <w:sz w:val="22"/>
        </w:rPr>
      </w:pPr>
      <w:r>
        <w:rPr>
          <w:rFonts w:hint="eastAsia" w:ascii="宋体" w:hAnsi="宋体" w:cs="宋体"/>
          <w:b/>
          <w:sz w:val="22"/>
        </w:rPr>
        <w:t>2、投标总价应包括本项目整个服务期所需的一切设备、材料、软硬件、人工、工具、设备、保险、交通、利润、税金（包含须由投标人承担的各种税费）、其它需投标人承担的费用及潜在可能涉及的一切费用。投标人应认真计算可能发生的各相关费用并计入投标报价内，在项目实施过程中不得藉此要求增加任何费用。如上述没有提及但该项目仍需要的内容，请投标人自行考虑一并计入投标报价中（未计入的，视为投标人的优惠）</w:t>
      </w:r>
    </w:p>
    <w:p>
      <w:pPr>
        <w:ind w:firstLine="442" w:firstLineChars="200"/>
        <w:rPr>
          <w:rFonts w:hint="eastAsia" w:ascii="宋体" w:hAnsi="宋体" w:cs="宋体"/>
          <w:b/>
          <w:sz w:val="22"/>
        </w:rPr>
      </w:pPr>
      <w:r>
        <w:rPr>
          <w:rFonts w:hint="eastAsia" w:ascii="宋体" w:hAnsi="宋体" w:cs="宋体"/>
          <w:b/>
          <w:sz w:val="22"/>
        </w:rPr>
        <w:t>3、不提供此表格将被视为没有实质性响应文件。</w:t>
      </w:r>
    </w:p>
    <w:p>
      <w:pPr>
        <w:ind w:firstLine="442" w:firstLineChars="200"/>
      </w:pPr>
      <w:r>
        <w:rPr>
          <w:rFonts w:hint="eastAsia" w:ascii="宋体" w:hAnsi="宋体" w:cs="宋体"/>
          <w:b/>
          <w:sz w:val="22"/>
        </w:rPr>
        <w:t>4、报价超过预算金额按无效标处理。</w:t>
      </w:r>
    </w:p>
    <w:p>
      <w:pPr>
        <w:spacing w:line="460" w:lineRule="exact"/>
        <w:ind w:firstLine="4400" w:firstLineChars="2000"/>
        <w:rPr>
          <w:rFonts w:hint="eastAsia" w:ascii="宋体" w:hAnsi="宋体" w:cs="宋体"/>
          <w:sz w:val="22"/>
          <w:szCs w:val="22"/>
        </w:rPr>
      </w:pPr>
      <w:r>
        <w:rPr>
          <w:rFonts w:hint="eastAsia" w:ascii="宋体" w:hAnsi="宋体" w:cs="宋体"/>
          <w:sz w:val="22"/>
          <w:szCs w:val="22"/>
        </w:rPr>
        <w:t xml:space="preserve">       </w:t>
      </w:r>
    </w:p>
    <w:p>
      <w:pPr>
        <w:spacing w:line="460" w:lineRule="exact"/>
        <w:ind w:firstLine="4400" w:firstLineChars="2000"/>
        <w:rPr>
          <w:rFonts w:hint="eastAsia" w:ascii="宋体" w:hAnsi="宋体" w:cs="宋体"/>
          <w:sz w:val="22"/>
          <w:szCs w:val="22"/>
        </w:rPr>
      </w:pPr>
    </w:p>
    <w:p>
      <w:pPr>
        <w:spacing w:line="460" w:lineRule="exact"/>
        <w:ind w:firstLine="4400" w:firstLineChars="2000"/>
        <w:rPr>
          <w:rFonts w:hint="eastAsia" w:ascii="宋体" w:hAnsi="宋体" w:cs="宋体"/>
          <w:sz w:val="22"/>
          <w:szCs w:val="22"/>
        </w:rPr>
      </w:pPr>
    </w:p>
    <w:p>
      <w:pPr>
        <w:spacing w:line="460" w:lineRule="exact"/>
        <w:ind w:firstLine="4400" w:firstLineChars="2000"/>
        <w:rPr>
          <w:rFonts w:hint="eastAsia" w:ascii="宋体" w:hAnsi="宋体" w:cs="宋体"/>
          <w:sz w:val="22"/>
          <w:szCs w:val="22"/>
        </w:rPr>
      </w:pPr>
    </w:p>
    <w:p>
      <w:pPr>
        <w:spacing w:line="460" w:lineRule="exact"/>
        <w:ind w:firstLine="4400" w:firstLineChars="2000"/>
        <w:rPr>
          <w:rFonts w:hint="eastAsia" w:ascii="宋体" w:hAnsi="宋体" w:cs="宋体"/>
          <w:sz w:val="22"/>
          <w:szCs w:val="22"/>
        </w:rPr>
      </w:pPr>
    </w:p>
    <w:p>
      <w:pPr>
        <w:spacing w:line="460" w:lineRule="exact"/>
        <w:ind w:firstLine="4400" w:firstLineChars="2000"/>
        <w:rPr>
          <w:rFonts w:hint="eastAsia" w:ascii="宋体" w:hAnsi="宋体" w:cs="宋体"/>
          <w:sz w:val="22"/>
          <w:szCs w:val="22"/>
        </w:rPr>
      </w:pPr>
      <w:r>
        <w:rPr>
          <w:rFonts w:hint="eastAsia" w:ascii="宋体" w:hAnsi="宋体" w:cs="宋体"/>
          <w:sz w:val="22"/>
          <w:szCs w:val="22"/>
        </w:rPr>
        <w:t xml:space="preserve"> </w:t>
      </w:r>
    </w:p>
    <w:p>
      <w:pPr>
        <w:spacing w:line="460" w:lineRule="exact"/>
        <w:ind w:firstLine="4400" w:firstLineChars="2000"/>
        <w:rPr>
          <w:rFonts w:hint="eastAsia" w:ascii="宋体" w:hAnsi="宋体" w:cs="宋体"/>
          <w:sz w:val="22"/>
          <w:szCs w:val="22"/>
        </w:rPr>
      </w:pPr>
      <w:r>
        <w:rPr>
          <w:rFonts w:hint="eastAsia" w:ascii="宋体" w:hAnsi="宋体" w:cs="宋体"/>
          <w:sz w:val="22"/>
          <w:szCs w:val="22"/>
        </w:rPr>
        <w:t xml:space="preserve">   供应商全称（盖章）：</w:t>
      </w:r>
    </w:p>
    <w:p>
      <w:pPr>
        <w:spacing w:line="460" w:lineRule="exact"/>
        <w:ind w:firstLine="4400" w:firstLineChars="2000"/>
        <w:rPr>
          <w:rFonts w:hint="eastAsia" w:ascii="宋体" w:hAnsi="宋体" w:cs="宋体"/>
          <w:sz w:val="22"/>
          <w:szCs w:val="22"/>
        </w:rPr>
      </w:pPr>
      <w:r>
        <w:rPr>
          <w:rFonts w:hint="eastAsia" w:ascii="宋体" w:hAnsi="宋体" w:cs="宋体"/>
          <w:sz w:val="22"/>
          <w:szCs w:val="22"/>
        </w:rPr>
        <w:t xml:space="preserve">   供应商代表（签字）：</w:t>
      </w:r>
    </w:p>
    <w:p>
      <w:pPr>
        <w:spacing w:line="460" w:lineRule="exact"/>
        <w:ind w:firstLine="4400" w:firstLineChars="2000"/>
        <w:rPr>
          <w:rFonts w:hint="eastAsia" w:ascii="宋体" w:hAnsi="宋体" w:cs="宋体"/>
          <w:sz w:val="22"/>
          <w:szCs w:val="22"/>
        </w:rPr>
      </w:pPr>
      <w:r>
        <w:rPr>
          <w:rFonts w:hint="eastAsia" w:ascii="宋体" w:hAnsi="宋体" w:cs="宋体"/>
          <w:sz w:val="22"/>
          <w:szCs w:val="22"/>
        </w:rPr>
        <w:t xml:space="preserve">   日  期：   </w:t>
      </w:r>
    </w:p>
    <w:p>
      <w:pPr>
        <w:pStyle w:val="2"/>
      </w:pPr>
    </w:p>
    <w:p>
      <w:pPr>
        <w:adjustRightInd w:val="0"/>
        <w:snapToGrid w:val="0"/>
        <w:spacing w:line="360" w:lineRule="auto"/>
        <w:jc w:val="left"/>
        <w:rPr>
          <w:rFonts w:hint="eastAsia" w:ascii="宋体" w:hAnsi="宋体"/>
          <w:color w:val="000000"/>
          <w:szCs w:val="21"/>
        </w:rPr>
      </w:pPr>
    </w:p>
    <w:sectPr>
      <w:pgSz w:w="11906" w:h="16838"/>
      <w:pgMar w:top="850" w:right="1236" w:bottom="85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F69252"/>
    <w:multiLevelType w:val="singleLevel"/>
    <w:tmpl w:val="E7F69252"/>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ZjMDk4ZjUyNmI5ZWM0NTQwMmI0OWNkNmNiZDhjNjUifQ=="/>
  </w:docVars>
  <w:rsids>
    <w:rsidRoot w:val="442D7AA8"/>
    <w:rsid w:val="000838A3"/>
    <w:rsid w:val="001313E2"/>
    <w:rsid w:val="0029760C"/>
    <w:rsid w:val="003D41C7"/>
    <w:rsid w:val="003E091A"/>
    <w:rsid w:val="003F5CCB"/>
    <w:rsid w:val="0045113B"/>
    <w:rsid w:val="00537F7B"/>
    <w:rsid w:val="00585E46"/>
    <w:rsid w:val="005D6C7D"/>
    <w:rsid w:val="00642602"/>
    <w:rsid w:val="00765154"/>
    <w:rsid w:val="0077449E"/>
    <w:rsid w:val="008649C4"/>
    <w:rsid w:val="008F2940"/>
    <w:rsid w:val="009C732C"/>
    <w:rsid w:val="00A46AEA"/>
    <w:rsid w:val="00A81427"/>
    <w:rsid w:val="00BD504C"/>
    <w:rsid w:val="00C608CF"/>
    <w:rsid w:val="00C65B3F"/>
    <w:rsid w:val="00DB7EDC"/>
    <w:rsid w:val="00EB6730"/>
    <w:rsid w:val="00FA6B75"/>
    <w:rsid w:val="03F44E33"/>
    <w:rsid w:val="0A2930B0"/>
    <w:rsid w:val="0CB70D7D"/>
    <w:rsid w:val="0EF80781"/>
    <w:rsid w:val="0F427144"/>
    <w:rsid w:val="0F9C6A6C"/>
    <w:rsid w:val="104D34FA"/>
    <w:rsid w:val="1124087B"/>
    <w:rsid w:val="132E0C2E"/>
    <w:rsid w:val="1367269B"/>
    <w:rsid w:val="154327F2"/>
    <w:rsid w:val="15F0193F"/>
    <w:rsid w:val="16586A57"/>
    <w:rsid w:val="1AAC3B0A"/>
    <w:rsid w:val="1DD0413A"/>
    <w:rsid w:val="1E704E7C"/>
    <w:rsid w:val="203F5CE6"/>
    <w:rsid w:val="215E5325"/>
    <w:rsid w:val="253F05F7"/>
    <w:rsid w:val="26614AE7"/>
    <w:rsid w:val="27F46698"/>
    <w:rsid w:val="2B9D1E83"/>
    <w:rsid w:val="2C0B329E"/>
    <w:rsid w:val="2DA52879"/>
    <w:rsid w:val="2EE23DA1"/>
    <w:rsid w:val="2F251DD2"/>
    <w:rsid w:val="304676BA"/>
    <w:rsid w:val="32EC217B"/>
    <w:rsid w:val="33F15215"/>
    <w:rsid w:val="364762A9"/>
    <w:rsid w:val="37792A93"/>
    <w:rsid w:val="38620F4A"/>
    <w:rsid w:val="39072D82"/>
    <w:rsid w:val="391D4A58"/>
    <w:rsid w:val="3AA307AA"/>
    <w:rsid w:val="3D4A148F"/>
    <w:rsid w:val="3D696B9D"/>
    <w:rsid w:val="3E3C64D5"/>
    <w:rsid w:val="3EBF27E8"/>
    <w:rsid w:val="442D7AA8"/>
    <w:rsid w:val="47530AB5"/>
    <w:rsid w:val="48C177AA"/>
    <w:rsid w:val="4BB26B7D"/>
    <w:rsid w:val="50250266"/>
    <w:rsid w:val="53303AC0"/>
    <w:rsid w:val="56AC1DB5"/>
    <w:rsid w:val="57A36574"/>
    <w:rsid w:val="58D72375"/>
    <w:rsid w:val="59F74833"/>
    <w:rsid w:val="5BA46462"/>
    <w:rsid w:val="5DAF6DF6"/>
    <w:rsid w:val="5E5A675C"/>
    <w:rsid w:val="60B50725"/>
    <w:rsid w:val="61084368"/>
    <w:rsid w:val="63431502"/>
    <w:rsid w:val="63750765"/>
    <w:rsid w:val="67E75AB1"/>
    <w:rsid w:val="6B1E16E2"/>
    <w:rsid w:val="6F9C4D36"/>
    <w:rsid w:val="724D0AFE"/>
    <w:rsid w:val="72E83474"/>
    <w:rsid w:val="72F62F44"/>
    <w:rsid w:val="760D23F9"/>
    <w:rsid w:val="78362761"/>
    <w:rsid w:val="79F966D5"/>
    <w:rsid w:val="7DBF4FA6"/>
    <w:rsid w:val="7E036272"/>
    <w:rsid w:val="7E7A2C7B"/>
    <w:rsid w:val="7F0817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keepNext/>
      <w:keepLines/>
      <w:tabs>
        <w:tab w:val="left" w:pos="840"/>
      </w:tabs>
      <w:adjustRightInd w:val="0"/>
      <w:snapToGrid w:val="0"/>
      <w:spacing w:line="360" w:lineRule="auto"/>
      <w:outlineLvl w:val="0"/>
    </w:pPr>
    <w:rPr>
      <w:rFonts w:ascii="宋体"/>
      <w:b/>
      <w:kern w:val="44"/>
      <w:sz w:val="24"/>
    </w:rPr>
  </w:style>
  <w:style w:type="paragraph" w:styleId="3">
    <w:name w:val="heading 2"/>
    <w:basedOn w:val="1"/>
    <w:next w:val="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next w:val="1"/>
    <w:autoRedefine/>
    <w:qFormat/>
    <w:uiPriority w:val="0"/>
    <w:pPr>
      <w:ind w:firstLine="420"/>
    </w:pPr>
    <w:rPr>
      <w:szCs w:val="20"/>
    </w:rPr>
  </w:style>
  <w:style w:type="paragraph" w:styleId="5">
    <w:name w:val="Body Text"/>
    <w:basedOn w:val="1"/>
    <w:autoRedefine/>
    <w:qFormat/>
    <w:uiPriority w:val="0"/>
    <w:pPr>
      <w:spacing w:after="120"/>
    </w:pPr>
  </w:style>
  <w:style w:type="paragraph" w:styleId="6">
    <w:name w:val="Body Text Indent"/>
    <w:basedOn w:val="1"/>
    <w:autoRedefine/>
    <w:qFormat/>
    <w:uiPriority w:val="0"/>
    <w:pPr>
      <w:ind w:left="480" w:hanging="480" w:hangingChars="200"/>
    </w:pPr>
    <w:rPr>
      <w:sz w:val="24"/>
    </w:rPr>
  </w:style>
  <w:style w:type="paragraph" w:styleId="7">
    <w:name w:val="Plain Text"/>
    <w:basedOn w:val="1"/>
    <w:autoRedefine/>
    <w:qFormat/>
    <w:uiPriority w:val="0"/>
    <w:pPr>
      <w:spacing w:beforeLines="50" w:afterLines="50" w:line="400" w:lineRule="exact"/>
    </w:pPr>
    <w:rPr>
      <w:rFonts w:ascii="宋体" w:hAnsi="Courier New"/>
      <w:sz w:val="24"/>
    </w:rPr>
  </w:style>
  <w:style w:type="paragraph" w:styleId="8">
    <w:name w:val="endnote text"/>
    <w:basedOn w:val="1"/>
    <w:autoRedefine/>
    <w:unhideWhenUsed/>
    <w:qFormat/>
    <w:uiPriority w:val="99"/>
    <w:pPr>
      <w:snapToGrid w:val="0"/>
      <w:jc w:val="left"/>
    </w:pPr>
    <w:rPr>
      <w:lang w:val="zh-CN"/>
    </w:rPr>
  </w:style>
  <w:style w:type="paragraph" w:styleId="9">
    <w:name w:val="footer"/>
    <w:basedOn w:val="1"/>
    <w:link w:val="22"/>
    <w:autoRedefine/>
    <w:qFormat/>
    <w:uiPriority w:val="0"/>
    <w:pPr>
      <w:tabs>
        <w:tab w:val="center" w:pos="4153"/>
        <w:tab w:val="right" w:pos="8306"/>
      </w:tabs>
      <w:snapToGrid w:val="0"/>
      <w:jc w:val="left"/>
    </w:pPr>
    <w:rPr>
      <w:sz w:val="18"/>
      <w:szCs w:val="18"/>
    </w:rPr>
  </w:style>
  <w:style w:type="paragraph" w:styleId="10">
    <w:name w:val="header"/>
    <w:basedOn w:val="1"/>
    <w:link w:val="2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First Indent"/>
    <w:basedOn w:val="5"/>
    <w:autoRedefine/>
    <w:semiHidden/>
    <w:unhideWhenUsed/>
    <w:qFormat/>
    <w:uiPriority w:val="99"/>
    <w:pPr>
      <w:ind w:firstLine="420" w:firstLineChars="100"/>
    </w:pPr>
    <w:rPr>
      <w:rFonts w:asciiTheme="minorHAnsi" w:hAnsiTheme="minorHAnsi" w:eastAsiaTheme="minorEastAsia" w:cstheme="minorBidi"/>
      <w:szCs w:val="22"/>
    </w:rPr>
  </w:style>
  <w:style w:type="paragraph" w:styleId="12">
    <w:name w:val="Body Text First Indent 2"/>
    <w:basedOn w:val="6"/>
    <w:autoRedefine/>
    <w:semiHidden/>
    <w:unhideWhenUsed/>
    <w:qFormat/>
    <w:uiPriority w:val="99"/>
    <w:pPr>
      <w:ind w:firstLine="420" w:firstLineChars="200"/>
    </w:p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正文首行缩进 21"/>
    <w:basedOn w:val="17"/>
    <w:autoRedefine/>
    <w:qFormat/>
    <w:uiPriority w:val="0"/>
    <w:pPr>
      <w:ind w:firstLine="420"/>
    </w:pPr>
    <w:rPr>
      <w:szCs w:val="22"/>
    </w:rPr>
  </w:style>
  <w:style w:type="paragraph" w:customStyle="1" w:styleId="17">
    <w:name w:val="正文文本缩进1"/>
    <w:basedOn w:val="1"/>
    <w:autoRedefine/>
    <w:qFormat/>
    <w:uiPriority w:val="0"/>
    <w:pPr>
      <w:spacing w:line="500" w:lineRule="exact"/>
      <w:ind w:firstLine="880" w:firstLineChars="200"/>
    </w:pPr>
  </w:style>
  <w:style w:type="paragraph" w:customStyle="1" w:styleId="18">
    <w:name w:val="BodyText1I"/>
    <w:basedOn w:val="19"/>
    <w:autoRedefine/>
    <w:qFormat/>
    <w:uiPriority w:val="0"/>
    <w:pPr>
      <w:ind w:firstLine="420" w:firstLineChars="100"/>
    </w:pPr>
  </w:style>
  <w:style w:type="paragraph" w:customStyle="1" w:styleId="19">
    <w:name w:val="BodyText"/>
    <w:basedOn w:val="1"/>
    <w:autoRedefine/>
    <w:qFormat/>
    <w:uiPriority w:val="0"/>
    <w:pPr>
      <w:spacing w:after="120"/>
    </w:pPr>
  </w:style>
  <w:style w:type="paragraph" w:customStyle="1" w:styleId="20">
    <w:name w:val="表格文字"/>
    <w:basedOn w:val="1"/>
    <w:next w:val="5"/>
    <w:autoRedefine/>
    <w:qFormat/>
    <w:uiPriority w:val="0"/>
    <w:pPr>
      <w:autoSpaceDE w:val="0"/>
      <w:autoSpaceDN w:val="0"/>
      <w:adjustRightInd w:val="0"/>
      <w:spacing w:line="420" w:lineRule="atLeast"/>
      <w:jc w:val="left"/>
      <w:textAlignment w:val="baseline"/>
    </w:pPr>
    <w:rPr>
      <w:rFonts w:hAnsi="宋体" w:cs="宋体"/>
      <w:kern w:val="0"/>
      <w:sz w:val="22"/>
      <w:lang w:val="zh-CN" w:bidi="zh-CN"/>
    </w:rPr>
  </w:style>
  <w:style w:type="character" w:customStyle="1" w:styleId="21">
    <w:name w:val="页眉 字符"/>
    <w:basedOn w:val="15"/>
    <w:link w:val="10"/>
    <w:autoRedefine/>
    <w:qFormat/>
    <w:uiPriority w:val="0"/>
    <w:rPr>
      <w:kern w:val="2"/>
      <w:sz w:val="18"/>
      <w:szCs w:val="18"/>
    </w:rPr>
  </w:style>
  <w:style w:type="character" w:customStyle="1" w:styleId="22">
    <w:name w:val="页脚 字符"/>
    <w:basedOn w:val="15"/>
    <w:link w:val="9"/>
    <w:autoRedefine/>
    <w:qFormat/>
    <w:uiPriority w:val="0"/>
    <w:rPr>
      <w:kern w:val="2"/>
      <w:sz w:val="18"/>
      <w:szCs w:val="18"/>
    </w:rPr>
  </w:style>
  <w:style w:type="paragraph" w:styleId="23">
    <w:name w:val="List Paragraph"/>
    <w:basedOn w:val="1"/>
    <w:autoRedefine/>
    <w:qFormat/>
    <w:uiPriority w:val="0"/>
    <w:pPr>
      <w:ind w:firstLine="420" w:firstLineChars="200"/>
    </w:pPr>
    <w:rPr>
      <w:rFonts w:ascii="Calibri" w:hAnsi="Calibri"/>
      <w:szCs w:val="22"/>
    </w:rPr>
  </w:style>
  <w:style w:type="paragraph" w:customStyle="1" w:styleId="24">
    <w:name w:val="列出段落1"/>
    <w:basedOn w:val="1"/>
    <w:autoRedefine/>
    <w:qFormat/>
    <w:uiPriority w:val="0"/>
    <w:pPr>
      <w:widowControl/>
      <w:spacing w:after="160" w:line="360" w:lineRule="auto"/>
      <w:ind w:left="720"/>
      <w:contextualSpacing/>
      <w:jc w:val="left"/>
    </w:pPr>
    <w:rPr>
      <w:szCs w:val="22"/>
    </w:rPr>
  </w:style>
  <w:style w:type="table" w:customStyle="1" w:styleId="25">
    <w:name w:val="网格型1"/>
    <w:basedOn w:val="13"/>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
    <w:name w:val="_Style 8"/>
    <w:next w:val="5"/>
    <w:autoRedefine/>
    <w:unhideWhenUsed/>
    <w:qFormat/>
    <w:uiPriority w:val="0"/>
    <w:pPr>
      <w:widowControl w:val="0"/>
      <w:spacing w:after="120"/>
      <w:ind w:left="420" w:leftChars="200" w:firstLine="420" w:firstLineChars="200"/>
      <w:jc w:val="both"/>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1471</Words>
  <Characters>8391</Characters>
  <Lines>69</Lines>
  <Paragraphs>19</Paragraphs>
  <TotalTime>16</TotalTime>
  <ScaleCrop>false</ScaleCrop>
  <LinksUpToDate>false</LinksUpToDate>
  <CharactersWithSpaces>9843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2024-10-10T00:23:00Z</dcterms:created>
  <dc:creator>小米</dc:creator>
  <cp:lastModifiedBy>李侃</cp:lastModifiedBy>
  <dcterms:modified xsi:type="dcterms:W3CDTF">2024-11-14T06:21:33Z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0101011172F74A7FB77938159D0D6F4C_13</vt:lpwstr>
  </property>
</Properties>
</file>