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采购内容及要求</w:t>
      </w:r>
    </w:p>
    <w:p>
      <w:pPr>
        <w:spacing w:line="360" w:lineRule="auto"/>
        <w:rPr>
          <w:rFonts w:hint="eastAsia"/>
          <w:lang w:val="en-US" w:eastAsia="zh-CN"/>
        </w:rPr>
      </w:pPr>
    </w:p>
    <w:p>
      <w:pPr>
        <w:spacing w:line="360" w:lineRule="auto"/>
        <w:rPr>
          <w:rFonts w:hint="eastAsia" w:eastAsiaTheme="minorEastAsia"/>
          <w:lang w:eastAsia="zh-CN"/>
        </w:rPr>
      </w:pPr>
      <w:r>
        <w:rPr>
          <w:rFonts w:hint="eastAsia"/>
          <w:lang w:val="en-US" w:eastAsia="zh-CN"/>
        </w:rPr>
        <w:t>一、</w:t>
      </w:r>
      <w:r>
        <w:rPr>
          <w:rFonts w:hint="eastAsia"/>
        </w:rPr>
        <w:t>项目名称：浙江省医院质量管理与绩效评价平台维护</w:t>
      </w:r>
    </w:p>
    <w:p>
      <w:pPr>
        <w:spacing w:line="360" w:lineRule="auto"/>
        <w:rPr>
          <w:rFonts w:hint="eastAsia"/>
          <w:lang w:val="en-US" w:eastAsia="zh-CN"/>
        </w:rPr>
      </w:pPr>
      <w:r>
        <w:rPr>
          <w:rFonts w:hint="eastAsia"/>
          <w:lang w:val="en-US" w:eastAsia="zh-CN"/>
        </w:rPr>
        <w:t>二</w:t>
      </w:r>
      <w:r>
        <w:rPr>
          <w:rFonts w:hint="eastAsia"/>
        </w:rPr>
        <w:t>、预算</w:t>
      </w:r>
      <w:r>
        <w:rPr>
          <w:rFonts w:hint="eastAsia"/>
          <w:lang w:val="en-US" w:eastAsia="zh-CN"/>
        </w:rPr>
        <w:t>金额</w:t>
      </w:r>
      <w:r>
        <w:rPr>
          <w:rFonts w:hint="eastAsia"/>
        </w:rPr>
        <w:t>：</w:t>
      </w:r>
      <w:r>
        <w:rPr>
          <w:rFonts w:hint="eastAsia"/>
          <w:lang w:val="en-US" w:eastAsia="zh-CN"/>
        </w:rPr>
        <w:t>3.6万元</w:t>
      </w:r>
      <w:r>
        <w:rPr>
          <w:rFonts w:hint="eastAsia" w:ascii="微软雅黑" w:hAnsi="微软雅黑" w:eastAsia="微软雅黑" w:cs="微软雅黑"/>
          <w:lang w:val="en-US" w:eastAsia="zh-CN"/>
        </w:rPr>
        <w:t>/</w:t>
      </w:r>
      <w:r>
        <w:rPr>
          <w:rFonts w:hint="eastAsia"/>
          <w:lang w:val="en-US" w:eastAsia="zh-CN"/>
        </w:rPr>
        <w:t>年</w:t>
      </w:r>
    </w:p>
    <w:p>
      <w:pPr>
        <w:pStyle w:val="8"/>
        <w:spacing w:line="360" w:lineRule="auto"/>
        <w:ind w:left="0" w:leftChars="0" w:firstLine="0" w:firstLineChars="0"/>
        <w:rPr>
          <w:rFonts w:hint="default"/>
          <w:lang w:val="en-US" w:eastAsia="zh-CN"/>
        </w:rPr>
      </w:pPr>
      <w:r>
        <w:rPr>
          <w:rFonts w:hint="eastAsia"/>
          <w:lang w:val="en-US" w:eastAsia="zh-CN"/>
        </w:rPr>
        <w:t>三：采购方式：询价采购</w:t>
      </w:r>
    </w:p>
    <w:p>
      <w:pPr>
        <w:spacing w:line="360" w:lineRule="auto"/>
        <w:rPr>
          <w:rFonts w:hint="eastAsia"/>
        </w:rPr>
      </w:pPr>
      <w:r>
        <w:rPr>
          <w:rFonts w:hint="eastAsia"/>
          <w:lang w:val="en-US" w:eastAsia="zh-CN"/>
        </w:rPr>
        <w:t>四</w:t>
      </w:r>
      <w:r>
        <w:rPr>
          <w:rFonts w:hint="eastAsia"/>
        </w:rPr>
        <w:t>、服务内容</w:t>
      </w:r>
      <w:r>
        <w:rPr>
          <w:rFonts w:hint="eastAsia"/>
          <w:lang w:val="en-US" w:eastAsia="zh-CN"/>
        </w:rPr>
        <w:t>及要求</w:t>
      </w:r>
      <w:r>
        <w:rPr>
          <w:rFonts w:hint="eastAsia"/>
        </w:rPr>
        <w:t>：</w:t>
      </w:r>
    </w:p>
    <w:p>
      <w:pPr>
        <w:numPr>
          <w:ilvl w:val="0"/>
          <w:numId w:val="0"/>
        </w:numPr>
        <w:spacing w:line="360" w:lineRule="auto"/>
        <w:rPr>
          <w:rFonts w:ascii="宋体" w:hAnsi="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cs="宋体"/>
          <w:b w:val="0"/>
          <w:bCs w:val="0"/>
          <w:sz w:val="21"/>
          <w:szCs w:val="21"/>
        </w:rPr>
        <w:t>技术服务范围：</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243"/>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shd w:val="clear" w:color="auto" w:fill="B8CCE4"/>
            <w:noWrap w:val="0"/>
            <w:vAlign w:val="center"/>
          </w:tcPr>
          <w:p>
            <w:pPr>
              <w:pStyle w:val="6"/>
              <w:widowControl/>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序号</w:t>
            </w:r>
          </w:p>
        </w:tc>
        <w:tc>
          <w:tcPr>
            <w:tcW w:w="1316" w:type="pct"/>
            <w:tcBorders>
              <w:top w:val="single" w:color="000000" w:sz="8" w:space="0"/>
              <w:left w:val="single" w:color="000000" w:sz="8" w:space="0"/>
              <w:bottom w:val="single" w:color="000000" w:sz="8" w:space="0"/>
              <w:right w:val="single" w:color="000000" w:sz="8" w:space="0"/>
            </w:tcBorders>
            <w:shd w:val="clear" w:color="auto" w:fill="B8CCE4"/>
            <w:noWrap w:val="0"/>
            <w:vAlign w:val="center"/>
          </w:tcPr>
          <w:p>
            <w:pPr>
              <w:pStyle w:val="6"/>
              <w:widowControl/>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项目名称</w:t>
            </w:r>
          </w:p>
        </w:tc>
        <w:tc>
          <w:tcPr>
            <w:tcW w:w="3070" w:type="pct"/>
            <w:tcBorders>
              <w:top w:val="single" w:color="000000" w:sz="8" w:space="0"/>
              <w:left w:val="single" w:color="000000" w:sz="8" w:space="0"/>
              <w:bottom w:val="single" w:color="000000" w:sz="8" w:space="0"/>
              <w:right w:val="single" w:color="000000" w:sz="8" w:space="0"/>
            </w:tcBorders>
            <w:shd w:val="clear" w:color="auto" w:fill="B8CCE4"/>
            <w:noWrap w:val="0"/>
            <w:vAlign w:val="center"/>
          </w:tcPr>
          <w:p>
            <w:pPr>
              <w:pStyle w:val="6"/>
              <w:widowControl/>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上传文件详细结果</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查看最近一次上传文件的数据量。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上传文件审核</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查看数据上传后的审核结果，用户根据结果修正数据，重新上传。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上报数据质量一览表</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查看数据上报质量及入组率等指标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上传数据查询</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分月查看数据上传的数量以及是否已经过drg分组，单病种分组等。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全省</w:t>
            </w:r>
            <w:r>
              <w:rPr>
                <w:rFonts w:ascii="宋体" w:hAnsi="宋体" w:cs="宋体"/>
                <w:color w:val="000000"/>
                <w:sz w:val="21"/>
                <w:szCs w:val="21"/>
              </w:rPr>
              <w:t>DRGs</w:t>
            </w:r>
            <w:r>
              <w:rPr>
                <w:rFonts w:hint="eastAsia" w:ascii="宋体" w:hAnsi="宋体" w:cs="宋体"/>
                <w:color w:val="000000"/>
                <w:sz w:val="21"/>
                <w:szCs w:val="21"/>
              </w:rPr>
              <w:t>绩效平台简报</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由卫健委定期发布，全省医院的</w:t>
            </w:r>
            <w:r>
              <w:rPr>
                <w:rFonts w:ascii="宋体" w:hAnsi="宋体" w:cs="宋体"/>
                <w:color w:val="000000"/>
                <w:sz w:val="21"/>
                <w:szCs w:val="21"/>
              </w:rPr>
              <w:t>drgs</w:t>
            </w:r>
            <w:r>
              <w:rPr>
                <w:rFonts w:hint="eastAsia" w:ascii="宋体" w:hAnsi="宋体" w:cs="宋体"/>
                <w:color w:val="000000"/>
                <w:sz w:val="21"/>
                <w:szCs w:val="21"/>
              </w:rPr>
              <w:t>绩效简报，具体包含</w:t>
            </w:r>
            <w:r>
              <w:rPr>
                <w:rFonts w:ascii="宋体" w:hAnsi="宋体" w:cs="宋体"/>
                <w:color w:val="000000"/>
                <w:sz w:val="21"/>
                <w:szCs w:val="21"/>
              </w:rPr>
              <w:t>1.</w:t>
            </w:r>
            <w:r>
              <w:rPr>
                <w:rFonts w:hint="eastAsia" w:ascii="宋体" w:hAnsi="宋体" w:cs="宋体"/>
                <w:color w:val="000000"/>
                <w:sz w:val="21"/>
                <w:szCs w:val="21"/>
              </w:rPr>
              <w:t>医院</w:t>
            </w:r>
            <w:r>
              <w:rPr>
                <w:rFonts w:ascii="宋体" w:hAnsi="宋体" w:cs="宋体"/>
                <w:color w:val="000000"/>
                <w:sz w:val="21"/>
                <w:szCs w:val="21"/>
              </w:rPr>
              <w:t>DRGs</w:t>
            </w:r>
            <w:r>
              <w:rPr>
                <w:rFonts w:hint="eastAsia" w:ascii="宋体" w:hAnsi="宋体" w:cs="宋体"/>
                <w:color w:val="000000"/>
                <w:sz w:val="21"/>
                <w:szCs w:val="21"/>
              </w:rPr>
              <w:t>绩效排名，按照医院性质分别排名。</w:t>
            </w:r>
          </w:p>
          <w:p>
            <w:pPr>
              <w:pStyle w:val="6"/>
              <w:widowControl/>
              <w:spacing w:line="360" w:lineRule="exact"/>
              <w:rPr>
                <w:rFonts w:ascii="宋体" w:hAns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全省各数据上传情况排名。</w:t>
            </w:r>
          </w:p>
          <w:p>
            <w:pPr>
              <w:pStyle w:val="6"/>
              <w:widowControl/>
              <w:spacing w:line="360" w:lineRule="exact"/>
              <w:rPr>
                <w:rFonts w:ascii="宋体" w:hAns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全省病例权重大于</w:t>
            </w:r>
            <w:r>
              <w:rPr>
                <w:rFonts w:ascii="宋体" w:hAnsi="宋体" w:cs="宋体"/>
                <w:color w:val="000000"/>
                <w:sz w:val="21"/>
                <w:szCs w:val="21"/>
              </w:rPr>
              <w:t>2</w:t>
            </w:r>
            <w:r>
              <w:rPr>
                <w:rFonts w:hint="eastAsia" w:ascii="宋体" w:hAnsi="宋体" w:cs="宋体"/>
                <w:color w:val="000000"/>
                <w:sz w:val="21"/>
                <w:szCs w:val="21"/>
              </w:rPr>
              <w:t>的分段排名。</w:t>
            </w:r>
          </w:p>
          <w:p>
            <w:pPr>
              <w:pStyle w:val="6"/>
              <w:widowControl/>
              <w:spacing w:line="360" w:lineRule="exac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全省三四级手术排名。</w:t>
            </w:r>
          </w:p>
          <w:p>
            <w:pPr>
              <w:pStyle w:val="6"/>
              <w:widowControl/>
              <w:spacing w:line="360" w:lineRule="exact"/>
              <w:rPr>
                <w:rFonts w:ascii="宋体" w:hAnsi="宋体" w:cs="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全省单病种排名。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ascii="宋体" w:hAnsi="宋体" w:cs="宋体"/>
                <w:color w:val="000000"/>
                <w:sz w:val="21"/>
                <w:szCs w:val="21"/>
              </w:rPr>
              <w:t>DRGs</w:t>
            </w:r>
            <w:r>
              <w:rPr>
                <w:rFonts w:hint="eastAsia" w:ascii="宋体" w:hAnsi="宋体" w:cs="宋体"/>
                <w:color w:val="000000"/>
                <w:sz w:val="21"/>
                <w:szCs w:val="21"/>
              </w:rPr>
              <w:t>数据审核</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审核</w:t>
            </w:r>
            <w:r>
              <w:rPr>
                <w:rFonts w:ascii="宋体" w:hAnsi="宋体" w:cs="宋体"/>
                <w:color w:val="000000"/>
                <w:sz w:val="21"/>
                <w:szCs w:val="21"/>
              </w:rPr>
              <w:t>DRGs</w:t>
            </w:r>
            <w:r>
              <w:rPr>
                <w:rFonts w:hint="eastAsia" w:ascii="宋体" w:hAnsi="宋体" w:cs="宋体"/>
                <w:color w:val="000000"/>
                <w:sz w:val="21"/>
                <w:szCs w:val="21"/>
              </w:rPr>
              <w:t>相关数据规范，包括：无效主诊断、性别不符、新生儿不符、不规范诊断和非标准编码。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ascii="宋体" w:hAnsi="宋体" w:cs="宋体"/>
                <w:color w:val="000000"/>
                <w:sz w:val="21"/>
                <w:szCs w:val="21"/>
              </w:rPr>
              <w:t>Cmi</w:t>
            </w:r>
            <w:r>
              <w:rPr>
                <w:rFonts w:hint="eastAsia" w:ascii="宋体" w:hAnsi="宋体" w:cs="宋体"/>
                <w:color w:val="000000"/>
                <w:sz w:val="21"/>
                <w:szCs w:val="21"/>
              </w:rPr>
              <w:t>统计报表</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查看全院</w:t>
            </w:r>
            <w:r>
              <w:rPr>
                <w:rFonts w:ascii="宋体" w:hAnsi="宋体" w:cs="宋体"/>
                <w:color w:val="000000"/>
                <w:sz w:val="21"/>
                <w:szCs w:val="21"/>
              </w:rPr>
              <w:t>CMI</w:t>
            </w:r>
            <w:r>
              <w:rPr>
                <w:rFonts w:hint="eastAsia" w:ascii="宋体" w:hAnsi="宋体" w:cs="宋体"/>
                <w:color w:val="000000"/>
                <w:sz w:val="21"/>
                <w:szCs w:val="21"/>
              </w:rPr>
              <w:t>值、</w:t>
            </w:r>
            <w:r>
              <w:rPr>
                <w:rFonts w:ascii="宋体" w:hAnsi="宋体" w:cs="宋体"/>
                <w:color w:val="000000"/>
                <w:sz w:val="21"/>
                <w:szCs w:val="21"/>
              </w:rPr>
              <w:t>DRG</w:t>
            </w:r>
            <w:r>
              <w:rPr>
                <w:rFonts w:hint="eastAsia" w:ascii="宋体" w:hAnsi="宋体" w:cs="宋体"/>
                <w:color w:val="000000"/>
                <w:sz w:val="21"/>
                <w:szCs w:val="21"/>
              </w:rPr>
              <w:t>总量、时间指数、费用指数、低风险死亡率、组数、平均费用、平均住院天数等指标。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权重大于</w:t>
            </w:r>
            <w:r>
              <w:rPr>
                <w:rFonts w:ascii="宋体" w:hAnsi="宋体" w:cs="宋体"/>
                <w:color w:val="000000"/>
                <w:sz w:val="21"/>
                <w:szCs w:val="21"/>
              </w:rPr>
              <w:t>2</w:t>
            </w:r>
            <w:r>
              <w:rPr>
                <w:rFonts w:hint="eastAsia" w:ascii="宋体" w:hAnsi="宋体" w:cs="宋体"/>
                <w:color w:val="000000"/>
                <w:sz w:val="21"/>
                <w:szCs w:val="21"/>
              </w:rPr>
              <w:t>的病例例数及比例</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查看全院</w:t>
            </w:r>
            <w:r>
              <w:rPr>
                <w:rFonts w:ascii="宋体" w:hAnsi="宋体" w:cs="宋体"/>
                <w:color w:val="000000"/>
                <w:sz w:val="21"/>
                <w:szCs w:val="21"/>
              </w:rPr>
              <w:t>RW</w:t>
            </w:r>
            <w:r>
              <w:rPr>
                <w:rFonts w:hint="eastAsia" w:ascii="宋体" w:hAnsi="宋体" w:cs="宋体"/>
                <w:color w:val="000000"/>
                <w:sz w:val="21"/>
                <w:szCs w:val="21"/>
              </w:rPr>
              <w:t>值大于</w:t>
            </w:r>
            <w:r>
              <w:rPr>
                <w:rFonts w:ascii="宋体" w:hAnsi="宋体" w:cs="宋体"/>
                <w:color w:val="000000"/>
                <w:sz w:val="21"/>
                <w:szCs w:val="21"/>
              </w:rPr>
              <w:t>2(</w:t>
            </w:r>
            <w:r>
              <w:rPr>
                <w:rFonts w:hint="eastAsia" w:ascii="宋体" w:hAnsi="宋体" w:cs="宋体"/>
                <w:color w:val="000000"/>
                <w:sz w:val="21"/>
                <w:szCs w:val="21"/>
              </w:rPr>
              <w:t>即难度较大的病种</w:t>
            </w:r>
            <w:r>
              <w:rPr>
                <w:rFonts w:ascii="宋体" w:hAnsi="宋体" w:cs="宋体"/>
                <w:color w:val="000000"/>
                <w:sz w:val="21"/>
                <w:szCs w:val="21"/>
              </w:rPr>
              <w:t>)</w:t>
            </w:r>
            <w:r>
              <w:rPr>
                <w:rFonts w:hint="eastAsia" w:ascii="宋体" w:hAnsi="宋体" w:cs="宋体"/>
                <w:color w:val="000000"/>
                <w:sz w:val="21"/>
                <w:szCs w:val="21"/>
              </w:rPr>
              <w:t>的病例例数及比例。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权重大于</w:t>
            </w:r>
            <w:r>
              <w:rPr>
                <w:rFonts w:ascii="宋体" w:hAnsi="宋体" w:cs="宋体"/>
                <w:color w:val="000000"/>
                <w:sz w:val="21"/>
                <w:szCs w:val="21"/>
              </w:rPr>
              <w:t>2</w:t>
            </w:r>
            <w:r>
              <w:rPr>
                <w:rFonts w:hint="eastAsia" w:ascii="宋体" w:hAnsi="宋体" w:cs="宋体"/>
                <w:color w:val="000000"/>
                <w:sz w:val="21"/>
                <w:szCs w:val="21"/>
              </w:rPr>
              <w:t>的病例分段统计</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分三段查看全院不同难度病种的例数</w:t>
            </w:r>
          </w:p>
          <w:p>
            <w:pPr>
              <w:pStyle w:val="6"/>
              <w:widowControl/>
              <w:spacing w:line="360" w:lineRule="exact"/>
              <w:rPr>
                <w:rFonts w:ascii="宋体" w:hAns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w:t>
            </w:r>
            <w:r>
              <w:rPr>
                <w:rFonts w:ascii="宋体" w:hAnsi="宋体" w:cs="宋体"/>
                <w:color w:val="000000"/>
                <w:sz w:val="21"/>
                <w:szCs w:val="21"/>
              </w:rPr>
              <w:t>RW</w:t>
            </w: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w:t>
            </w:r>
            <w:r>
              <w:rPr>
                <w:rFonts w:ascii="宋体" w:hAnsi="宋体" w:cs="宋体"/>
                <w:color w:val="000000"/>
                <w:sz w:val="21"/>
                <w:szCs w:val="21"/>
              </w:rPr>
              <w:t>RW</w:t>
            </w:r>
            <w:r>
              <w:rPr>
                <w:rFonts w:hint="eastAsia" w:ascii="宋体" w:hAnsi="宋体" w:cs="宋体"/>
                <w:color w:val="000000"/>
                <w:sz w:val="21"/>
                <w:szCs w:val="21"/>
              </w:rPr>
              <w:t>＜</w:t>
            </w:r>
            <w:r>
              <w:rPr>
                <w:rFonts w:ascii="宋体" w:hAnsi="宋体" w:cs="宋体"/>
                <w:color w:val="000000"/>
                <w:sz w:val="21"/>
                <w:szCs w:val="21"/>
              </w:rPr>
              <w:t>10</w:t>
            </w:r>
            <w:r>
              <w:rPr>
                <w:rFonts w:hint="eastAsia" w:ascii="宋体" w:hAnsi="宋体" w:cs="宋体"/>
                <w:color w:val="000000"/>
                <w:sz w:val="21"/>
                <w:szCs w:val="21"/>
              </w:rPr>
              <w:t>、≥</w:t>
            </w:r>
            <w:r>
              <w:rPr>
                <w:rFonts w:ascii="宋体" w:hAnsi="宋体" w:cs="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三四级手术例数及占比</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查看全院手术例数、三级、四级以及三四级手术比例。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ascii="宋体" w:hAnsi="宋体" w:cs="宋体"/>
                <w:color w:val="000000"/>
                <w:sz w:val="21"/>
                <w:szCs w:val="21"/>
              </w:rPr>
              <w:t>DRGs</w:t>
            </w:r>
            <w:r>
              <w:rPr>
                <w:rFonts w:hint="eastAsia" w:ascii="宋体" w:hAnsi="宋体" w:cs="宋体"/>
                <w:color w:val="000000"/>
                <w:sz w:val="21"/>
                <w:szCs w:val="21"/>
              </w:rPr>
              <w:t>分组明细</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查看全院每个病例的分组明细数据，包含病人信息，主要疾病，手术以及所入的</w:t>
            </w:r>
            <w:r>
              <w:rPr>
                <w:rFonts w:ascii="宋体" w:hAnsi="宋体" w:cs="宋体"/>
                <w:color w:val="000000"/>
                <w:sz w:val="21"/>
                <w:szCs w:val="21"/>
              </w:rPr>
              <w:t>DRGs</w:t>
            </w:r>
            <w:r>
              <w:rPr>
                <w:rFonts w:hint="eastAsia" w:ascii="宋体" w:hAnsi="宋体" w:cs="宋体"/>
                <w:color w:val="000000"/>
                <w:sz w:val="21"/>
                <w:szCs w:val="21"/>
              </w:rPr>
              <w:t>组和组的权重。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单病种分组明细</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查看全院每个病例的所属的单病种名称。不属于单病种的则不列出。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科室CMI</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按照科室统计出，每个科室的</w:t>
            </w:r>
            <w:r>
              <w:rPr>
                <w:rFonts w:ascii="宋体" w:hAnsi="宋体" w:cs="宋体"/>
                <w:color w:val="000000"/>
                <w:sz w:val="21"/>
                <w:szCs w:val="21"/>
              </w:rPr>
              <w:t>CMI</w:t>
            </w:r>
            <w:r>
              <w:rPr>
                <w:rFonts w:hint="eastAsia" w:ascii="宋体" w:hAnsi="宋体" w:cs="宋体"/>
                <w:color w:val="000000"/>
                <w:sz w:val="21"/>
                <w:szCs w:val="21"/>
              </w:rPr>
              <w:t>、</w:t>
            </w:r>
            <w:r>
              <w:rPr>
                <w:rFonts w:ascii="宋体" w:hAnsi="宋体" w:cs="宋体"/>
                <w:color w:val="000000"/>
                <w:sz w:val="21"/>
                <w:szCs w:val="21"/>
              </w:rPr>
              <w:t>DRGs</w:t>
            </w:r>
            <w:r>
              <w:rPr>
                <w:rFonts w:hint="eastAsia" w:ascii="宋体" w:hAnsi="宋体" w:cs="宋体"/>
                <w:color w:val="000000"/>
                <w:sz w:val="21"/>
                <w:szCs w:val="21"/>
              </w:rPr>
              <w:t>总量、病例数、平均费用、平均药费、耗材费、住院天数等指标。包含图表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医生CMI</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按照医生级别</w:t>
            </w:r>
            <w:r>
              <w:rPr>
                <w:rFonts w:ascii="宋体" w:hAnsi="宋体" w:cs="宋体"/>
                <w:color w:val="000000"/>
                <w:sz w:val="21"/>
                <w:szCs w:val="21"/>
              </w:rPr>
              <w:t>(</w:t>
            </w:r>
            <w:r>
              <w:rPr>
                <w:rFonts w:hint="eastAsia" w:ascii="宋体" w:hAnsi="宋体" w:cs="宋体"/>
                <w:color w:val="000000"/>
                <w:sz w:val="21"/>
                <w:szCs w:val="21"/>
              </w:rPr>
              <w:t>科主任、主任、住院、主治医师</w:t>
            </w:r>
            <w:r>
              <w:rPr>
                <w:rFonts w:ascii="宋体" w:hAnsi="宋体" w:cs="宋体"/>
                <w:color w:val="000000"/>
                <w:sz w:val="21"/>
                <w:szCs w:val="21"/>
              </w:rPr>
              <w:t>)</w:t>
            </w:r>
            <w:r>
              <w:rPr>
                <w:rFonts w:hint="eastAsia" w:ascii="宋体" w:hAnsi="宋体" w:cs="宋体"/>
                <w:color w:val="000000"/>
                <w:sz w:val="21"/>
                <w:szCs w:val="21"/>
              </w:rPr>
              <w:t>统计出，每个医生的</w:t>
            </w:r>
            <w:r>
              <w:rPr>
                <w:rFonts w:ascii="宋体" w:hAnsi="宋体" w:cs="宋体"/>
                <w:color w:val="000000"/>
                <w:sz w:val="21"/>
                <w:szCs w:val="21"/>
              </w:rPr>
              <w:t>CMI</w:t>
            </w:r>
            <w:r>
              <w:rPr>
                <w:rFonts w:hint="eastAsia" w:ascii="宋体" w:hAnsi="宋体" w:cs="宋体"/>
                <w:color w:val="000000"/>
                <w:sz w:val="21"/>
                <w:szCs w:val="21"/>
              </w:rPr>
              <w:t>、</w:t>
            </w:r>
            <w:r>
              <w:rPr>
                <w:rFonts w:ascii="宋体" w:hAnsi="宋体" w:cs="宋体"/>
                <w:color w:val="000000"/>
                <w:sz w:val="21"/>
                <w:szCs w:val="21"/>
              </w:rPr>
              <w:t>DRGs</w:t>
            </w:r>
            <w:r>
              <w:rPr>
                <w:rFonts w:hint="eastAsia" w:ascii="宋体" w:hAnsi="宋体" w:cs="宋体"/>
                <w:color w:val="000000"/>
                <w:sz w:val="21"/>
                <w:szCs w:val="21"/>
              </w:rPr>
              <w:t>总量、病例数、平均费用、平均药费、耗材费、住院天数等指标。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全院手术报表</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按照科室统计出，每个科室的手术例数、其中一二三四级手术各占多少，以及三四级手术的比例。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医生手术报表</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按照医生统计出，每个医生的主刀或者作为助手参与的手术例数、其中一二三四级手术各占多少，以及三四级手术的比例。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全院</w:t>
            </w:r>
            <w:r>
              <w:rPr>
                <w:rFonts w:ascii="宋体" w:hAnsi="宋体" w:cs="宋体"/>
                <w:color w:val="000000"/>
                <w:sz w:val="21"/>
                <w:szCs w:val="21"/>
              </w:rPr>
              <w:t>CMI</w:t>
            </w:r>
            <w:r>
              <w:rPr>
                <w:rFonts w:hint="eastAsia" w:ascii="宋体" w:hAnsi="宋体" w:cs="宋体"/>
                <w:color w:val="000000"/>
                <w:sz w:val="21"/>
                <w:szCs w:val="21"/>
              </w:rPr>
              <w:t>变化</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以图表的形式，直观的展现该时间段内全院出院人数以及</w:t>
            </w:r>
            <w:r>
              <w:rPr>
                <w:rFonts w:ascii="宋体" w:hAnsi="宋体" w:cs="宋体"/>
                <w:color w:val="000000"/>
                <w:sz w:val="21"/>
                <w:szCs w:val="21"/>
              </w:rPr>
              <w:t>CMI</w:t>
            </w:r>
            <w:r>
              <w:rPr>
                <w:rFonts w:hint="eastAsia" w:ascii="宋体" w:hAnsi="宋体" w:cs="宋体"/>
                <w:color w:val="000000"/>
                <w:sz w:val="21"/>
                <w:szCs w:val="21"/>
              </w:rPr>
              <w:t>值的变化曲线图。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全院病种结构</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分病种统计，显示全院各个病种的分布情况，包含人数、占比、平均</w:t>
            </w:r>
            <w:r>
              <w:rPr>
                <w:rFonts w:ascii="宋体" w:hAnsi="宋体" w:cs="宋体"/>
                <w:color w:val="000000"/>
                <w:sz w:val="21"/>
                <w:szCs w:val="21"/>
              </w:rPr>
              <w:t>RW</w:t>
            </w:r>
            <w:r>
              <w:rPr>
                <w:rFonts w:hint="eastAsia" w:ascii="宋体" w:hAnsi="宋体" w:cs="宋体"/>
                <w:color w:val="000000"/>
                <w:sz w:val="21"/>
                <w:szCs w:val="21"/>
              </w:rPr>
              <w:t>、平均住院日、平均总费用等指标。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科室病种结构报表</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分科室统计，显示各科室的病种分布情况，包含人数、占比、平均</w:t>
            </w:r>
            <w:r>
              <w:rPr>
                <w:rFonts w:ascii="宋体" w:hAnsi="宋体" w:cs="宋体"/>
                <w:color w:val="000000"/>
                <w:sz w:val="21"/>
                <w:szCs w:val="21"/>
              </w:rPr>
              <w:t>RW</w:t>
            </w:r>
            <w:r>
              <w:rPr>
                <w:rFonts w:hint="eastAsia" w:ascii="宋体" w:hAnsi="宋体" w:cs="宋体"/>
                <w:color w:val="000000"/>
                <w:sz w:val="21"/>
                <w:szCs w:val="21"/>
              </w:rPr>
              <w:t>、平均住院日、平均总费用等指标。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医院手术明细查询</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分科室统计，显示各科室的手术明细数据，包含手术名称、级别、主刀、一助二助、病人基本信息等。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numPr>
                <w:ilvl w:val="0"/>
                <w:numId w:val="1"/>
              </w:numPr>
              <w:spacing w:line="360" w:lineRule="exact"/>
              <w:rPr>
                <w:rFonts w:ascii="宋体" w:hAnsi="宋体" w:cs="宋体"/>
                <w:color w:val="000000"/>
                <w:sz w:val="21"/>
                <w:szCs w:val="21"/>
              </w:rPr>
            </w:pPr>
          </w:p>
        </w:tc>
        <w:tc>
          <w:tcPr>
            <w:tcW w:w="1316"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低风险死亡查询</w:t>
            </w:r>
          </w:p>
        </w:tc>
        <w:tc>
          <w:tcPr>
            <w:tcW w:w="3070" w:type="pct"/>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line="360" w:lineRule="exact"/>
              <w:rPr>
                <w:rFonts w:ascii="宋体" w:hAnsi="宋体" w:cs="宋体"/>
                <w:color w:val="000000"/>
                <w:sz w:val="21"/>
                <w:szCs w:val="21"/>
              </w:rPr>
            </w:pPr>
            <w:r>
              <w:rPr>
                <w:rFonts w:hint="eastAsia" w:ascii="宋体" w:hAnsi="宋体" w:cs="宋体"/>
                <w:color w:val="000000"/>
                <w:sz w:val="21"/>
                <w:szCs w:val="21"/>
              </w:rPr>
              <w:t>查询低风险组死亡病例，显示病人信息、出院科室、</w:t>
            </w:r>
            <w:r>
              <w:rPr>
                <w:rFonts w:ascii="宋体" w:hAnsi="宋体" w:cs="宋体"/>
                <w:color w:val="000000"/>
                <w:sz w:val="21"/>
                <w:szCs w:val="21"/>
              </w:rPr>
              <w:t>DRGs</w:t>
            </w:r>
            <w:r>
              <w:rPr>
                <w:rFonts w:hint="eastAsia" w:ascii="宋体" w:hAnsi="宋体" w:cs="宋体"/>
                <w:color w:val="000000"/>
                <w:sz w:val="21"/>
                <w:szCs w:val="21"/>
              </w:rPr>
              <w:t>组、死亡风险等指标</w:t>
            </w:r>
          </w:p>
        </w:tc>
      </w:tr>
    </w:tbl>
    <w:p>
      <w:pPr>
        <w:numPr>
          <w:ilvl w:val="0"/>
          <w:numId w:val="0"/>
        </w:numPr>
        <w:spacing w:line="360" w:lineRule="auto"/>
        <w:rPr>
          <w:rFonts w:hint="eastAsia" w:ascii="宋体" w:hAnsi="宋体" w:cs="宋体"/>
          <w:b w:val="0"/>
          <w:bCs w:val="0"/>
          <w:sz w:val="21"/>
          <w:szCs w:val="21"/>
          <w:lang w:val="en-US" w:eastAsia="zh-CN"/>
        </w:rPr>
      </w:pPr>
    </w:p>
    <w:p>
      <w:pPr>
        <w:numPr>
          <w:ilvl w:val="0"/>
          <w:numId w:val="0"/>
        </w:numPr>
        <w:spacing w:line="360" w:lineRule="auto"/>
        <w:rPr>
          <w:rFonts w:ascii="宋体" w:hAnsi="宋体" w:cs="宋体"/>
          <w:b w:val="0"/>
          <w:bCs w:val="0"/>
          <w:sz w:val="21"/>
          <w:szCs w:val="21"/>
        </w:rPr>
      </w:pPr>
      <w:bookmarkStart w:id="0" w:name="_GoBack"/>
      <w:bookmarkEnd w:id="0"/>
      <w:r>
        <w:rPr>
          <w:rFonts w:hint="eastAsia" w:ascii="宋体" w:hAnsi="宋体" w:cs="宋体"/>
          <w:b w:val="0"/>
          <w:bCs w:val="0"/>
          <w:sz w:val="21"/>
          <w:szCs w:val="21"/>
          <w:lang w:val="en-US" w:eastAsia="zh-CN"/>
        </w:rPr>
        <w:t>2、</w:t>
      </w:r>
      <w:r>
        <w:rPr>
          <w:rFonts w:hint="eastAsia" w:ascii="宋体" w:hAnsi="宋体" w:cs="宋体"/>
          <w:b w:val="0"/>
          <w:bCs w:val="0"/>
          <w:sz w:val="21"/>
          <w:szCs w:val="21"/>
        </w:rPr>
        <w:t>参数要求</w:t>
      </w:r>
      <w:r>
        <w:rPr>
          <w:rFonts w:hint="eastAsia" w:ascii="宋体" w:hAnsi="宋体" w:cs="宋体"/>
          <w:b w:val="0"/>
          <w:bCs w:val="0"/>
          <w:sz w:val="21"/>
          <w:szCs w:val="21"/>
          <w:lang w:eastAsia="zh-CN"/>
        </w:rPr>
        <w:t>：</w:t>
      </w:r>
      <w:r>
        <w:rPr>
          <w:rFonts w:hint="eastAsia" w:ascii="宋体" w:hAnsi="宋体" w:eastAsia="宋体"/>
          <w:b w:val="0"/>
          <w:bCs w:val="0"/>
          <w:color w:val="000000"/>
          <w:sz w:val="21"/>
          <w:szCs w:val="21"/>
          <w:lang w:val="zh-CN"/>
        </w:rPr>
        <w:t>在维护服务期内，由服务提供商为院方提供护理管理软件维护服务。</w:t>
      </w:r>
    </w:p>
    <w:tbl>
      <w:tblPr>
        <w:tblStyle w:val="9"/>
        <w:tblW w:w="9215" w:type="dxa"/>
        <w:tblInd w:w="-441" w:type="dxa"/>
        <w:tblLayout w:type="fixed"/>
        <w:tblCellMar>
          <w:top w:w="0" w:type="dxa"/>
          <w:left w:w="28" w:type="dxa"/>
          <w:bottom w:w="0" w:type="dxa"/>
          <w:right w:w="28" w:type="dxa"/>
        </w:tblCellMar>
      </w:tblPr>
      <w:tblGrid>
        <w:gridCol w:w="568"/>
        <w:gridCol w:w="992"/>
        <w:gridCol w:w="4536"/>
        <w:gridCol w:w="1985"/>
        <w:gridCol w:w="1134"/>
      </w:tblGrid>
      <w:tr>
        <w:tblPrEx>
          <w:tblCellMar>
            <w:top w:w="0" w:type="dxa"/>
            <w:left w:w="28" w:type="dxa"/>
            <w:bottom w:w="0" w:type="dxa"/>
            <w:right w:w="28" w:type="dxa"/>
          </w:tblCellMar>
        </w:tblPrEx>
        <w:trPr>
          <w:trHeight w:val="866"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宋体" w:hAnsi="宋体"/>
                <w:b/>
                <w:bCs/>
                <w:szCs w:val="21"/>
              </w:rPr>
            </w:pPr>
            <w:r>
              <w:rPr>
                <w:rFonts w:ascii="宋体" w:hAnsi="宋体"/>
                <w:szCs w:val="21"/>
              </w:rPr>
              <w:br w:type="page"/>
            </w:r>
            <w:r>
              <w:rPr>
                <w:rFonts w:hint="eastAsia" w:ascii="宋体" w:hAnsi="宋体"/>
                <w:b/>
                <w:bCs/>
                <w:szCs w:val="21"/>
              </w:rPr>
              <w:t>序号</w:t>
            </w:r>
          </w:p>
        </w:tc>
        <w:tc>
          <w:tcPr>
            <w:tcW w:w="992"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宋体" w:hAnsi="宋体"/>
                <w:b/>
                <w:bCs/>
                <w:szCs w:val="21"/>
              </w:rPr>
            </w:pPr>
            <w:r>
              <w:rPr>
                <w:rFonts w:hint="eastAsia" w:ascii="宋体" w:hAnsi="宋体"/>
                <w:b/>
                <w:bCs/>
                <w:szCs w:val="21"/>
              </w:rPr>
              <w:t>服务项目</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宋体" w:hAnsi="宋体"/>
                <w:b/>
                <w:bCs/>
                <w:szCs w:val="21"/>
              </w:rPr>
            </w:pPr>
            <w:r>
              <w:rPr>
                <w:rFonts w:hint="eastAsia" w:ascii="宋体" w:hAnsi="宋体"/>
                <w:b/>
                <w:bCs/>
                <w:szCs w:val="21"/>
              </w:rPr>
              <w:t>服务内容（均限定为合同范围）</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宋体" w:hAnsi="宋体"/>
                <w:b/>
                <w:bCs/>
                <w:szCs w:val="21"/>
              </w:rPr>
            </w:pPr>
            <w:r>
              <w:rPr>
                <w:rFonts w:hint="eastAsia" w:ascii="宋体" w:hAnsi="宋体"/>
                <w:b/>
                <w:bCs/>
                <w:szCs w:val="21"/>
              </w:rPr>
              <w:t>服务方式</w:t>
            </w:r>
          </w:p>
        </w:tc>
        <w:tc>
          <w:tcPr>
            <w:tcW w:w="1134" w:type="dxa"/>
            <w:tcBorders>
              <w:top w:val="single" w:color="000000" w:sz="12" w:space="0"/>
              <w:left w:val="single" w:color="000000" w:sz="6" w:space="0"/>
              <w:right w:val="single" w:color="auto" w:sz="4" w:space="0"/>
            </w:tcBorders>
            <w:noWrap w:val="0"/>
            <w:vAlign w:val="center"/>
          </w:tcPr>
          <w:p>
            <w:pPr>
              <w:autoSpaceDE w:val="0"/>
              <w:autoSpaceDN w:val="0"/>
              <w:spacing w:line="276" w:lineRule="auto"/>
              <w:jc w:val="center"/>
              <w:textAlignment w:val="bottom"/>
              <w:rPr>
                <w:rFonts w:ascii="宋体" w:hAnsi="宋体"/>
                <w:b/>
                <w:bCs/>
                <w:szCs w:val="21"/>
              </w:rPr>
            </w:pPr>
            <w:r>
              <w:rPr>
                <w:rFonts w:hint="eastAsia" w:ascii="宋体" w:hAnsi="宋体"/>
                <w:b/>
                <w:bCs/>
                <w:szCs w:val="21"/>
              </w:rPr>
              <w:t>响应时间（工作日）</w:t>
            </w:r>
          </w:p>
        </w:tc>
      </w:tr>
      <w:tr>
        <w:tblPrEx>
          <w:tblCellMar>
            <w:top w:w="0" w:type="dxa"/>
            <w:left w:w="28" w:type="dxa"/>
            <w:bottom w:w="0" w:type="dxa"/>
            <w:right w:w="28" w:type="dxa"/>
          </w:tblCellMar>
        </w:tblPrEx>
        <w:trPr>
          <w:trHeight w:val="538" w:hRule="atLeast"/>
        </w:trPr>
        <w:tc>
          <w:tcPr>
            <w:tcW w:w="921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color w:val="000000"/>
                <w:sz w:val="24"/>
                <w:lang w:val="zh-CN"/>
              </w:rPr>
              <w:t>软件功能适应性维护</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1</w:t>
            </w:r>
          </w:p>
        </w:tc>
        <w:tc>
          <w:tcPr>
            <w:tcW w:w="992"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szCs w:val="21"/>
              </w:rPr>
            </w:pPr>
            <w:r>
              <w:rPr>
                <w:rFonts w:hint="eastAsia" w:ascii="微软雅黑" w:hAnsi="微软雅黑" w:eastAsia="微软雅黑"/>
                <w:szCs w:val="21"/>
              </w:rPr>
              <w:t>咨询服务</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软件功能的应用咨询</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2</w:t>
            </w:r>
          </w:p>
        </w:tc>
        <w:tc>
          <w:tcPr>
            <w:tcW w:w="992"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bCs/>
                <w:szCs w:val="21"/>
              </w:rPr>
            </w:pPr>
            <w:r>
              <w:rPr>
                <w:rFonts w:hint="eastAsia" w:ascii="微软雅黑" w:hAnsi="微软雅黑" w:eastAsia="微软雅黑"/>
                <w:bCs/>
                <w:szCs w:val="21"/>
              </w:rPr>
              <w:t>故障排除</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bCs/>
                <w:szCs w:val="21"/>
              </w:rPr>
              <w:t>软件应用过程中出现功能错误，协助查找、排除软件故障，保证系统功能正常运行。</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hint="eastAsia" w:ascii="微软雅黑" w:hAnsi="微软雅黑" w:eastAsia="微软雅黑"/>
                <w:szCs w:val="21"/>
              </w:rPr>
              <w:t>1小时内响应</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3</w:t>
            </w:r>
          </w:p>
        </w:tc>
        <w:tc>
          <w:tcPr>
            <w:tcW w:w="992"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szCs w:val="21"/>
              </w:rPr>
            </w:pPr>
            <w:r>
              <w:rPr>
                <w:rFonts w:hint="eastAsia" w:ascii="微软雅黑" w:hAnsi="微软雅黑" w:eastAsia="微软雅黑"/>
                <w:szCs w:val="21"/>
              </w:rPr>
              <w:t>数据维护</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cs="Arial"/>
                <w:szCs w:val="21"/>
              </w:rPr>
              <w:t>无法由采购方自行完成的数据字典维护；</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9215" w:type="dxa"/>
            <w:gridSpan w:val="5"/>
            <w:tcBorders>
              <w:top w:val="single" w:color="000000" w:sz="12" w:space="0"/>
              <w:left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b/>
                <w:bCs/>
                <w:szCs w:val="21"/>
              </w:rPr>
            </w:pPr>
            <w:r>
              <w:rPr>
                <w:rFonts w:ascii="微软雅黑" w:hAnsi="微软雅黑" w:eastAsia="微软雅黑"/>
                <w:szCs w:val="21"/>
              </w:rPr>
              <w:br w:type="page"/>
            </w:r>
            <w:r>
              <w:rPr>
                <w:rFonts w:hint="eastAsia" w:ascii="微软雅黑" w:hAnsi="微软雅黑" w:eastAsia="微软雅黑"/>
                <w:color w:val="000000"/>
                <w:sz w:val="24"/>
                <w:lang w:val="zh-CN"/>
              </w:rPr>
              <w:t>数据维护</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hint="eastAsia" w:ascii="微软雅黑" w:hAnsi="微软雅黑" w:eastAsia="微软雅黑"/>
                <w:szCs w:val="21"/>
                <w:lang w:eastAsia="zh-CN"/>
              </w:rPr>
            </w:pPr>
            <w:r>
              <w:rPr>
                <w:rFonts w:hint="eastAsia" w:ascii="微软雅黑" w:hAnsi="微软雅黑" w:eastAsia="微软雅黑"/>
                <w:szCs w:val="21"/>
                <w:lang w:val="en-US" w:eastAsia="zh-CN"/>
              </w:rPr>
              <w:t>4</w:t>
            </w:r>
          </w:p>
        </w:tc>
        <w:tc>
          <w:tcPr>
            <w:tcW w:w="992" w:type="dxa"/>
            <w:tcBorders>
              <w:top w:val="single" w:color="000000" w:sz="12" w:space="0"/>
              <w:left w:val="single" w:color="auto" w:sz="4" w:space="0"/>
              <w:right w:val="single" w:color="auto" w:sz="4"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特殊服务</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color w:val="000000"/>
                <w:szCs w:val="21"/>
                <w:lang w:val="zh-CN"/>
              </w:rPr>
              <w:t>系统灾难发生时，乙方承诺立即响应，减少数据损失，降低灾难对整个系统正常运行的影响。</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hint="eastAsia" w:ascii="微软雅黑" w:hAnsi="微软雅黑" w:eastAsia="微软雅黑"/>
                <w:szCs w:val="21"/>
              </w:rPr>
              <w:t>立即响应</w:t>
            </w:r>
          </w:p>
        </w:tc>
      </w:tr>
      <w:tr>
        <w:tblPrEx>
          <w:tblCellMar>
            <w:top w:w="0" w:type="dxa"/>
            <w:left w:w="28" w:type="dxa"/>
            <w:bottom w:w="0" w:type="dxa"/>
            <w:right w:w="28" w:type="dxa"/>
          </w:tblCellMar>
        </w:tblPrEx>
        <w:trPr>
          <w:trHeight w:val="266" w:hRule="atLeast"/>
        </w:trPr>
        <w:tc>
          <w:tcPr>
            <w:tcW w:w="921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color w:val="000000"/>
                <w:sz w:val="24"/>
                <w:lang w:val="zh-CN"/>
              </w:rPr>
              <w:t>纠错性维护</w:t>
            </w:r>
          </w:p>
        </w:tc>
      </w:tr>
      <w:tr>
        <w:tblPrEx>
          <w:tblCellMar>
            <w:top w:w="0" w:type="dxa"/>
            <w:left w:w="28" w:type="dxa"/>
            <w:bottom w:w="0" w:type="dxa"/>
            <w:right w:w="28" w:type="dxa"/>
          </w:tblCellMar>
        </w:tblPrEx>
        <w:trPr>
          <w:trHeight w:val="1587"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hint="eastAsia" w:ascii="微软雅黑" w:hAnsi="微软雅黑" w:eastAsia="微软雅黑"/>
                <w:szCs w:val="21"/>
                <w:lang w:eastAsia="zh-CN"/>
              </w:rPr>
            </w:pPr>
            <w:r>
              <w:rPr>
                <w:rFonts w:hint="eastAsia" w:ascii="微软雅黑" w:hAnsi="微软雅黑" w:eastAsia="微软雅黑"/>
                <w:szCs w:val="21"/>
                <w:lang w:val="en-US" w:eastAsia="zh-CN"/>
              </w:rPr>
              <w:t>5</w:t>
            </w:r>
          </w:p>
        </w:tc>
        <w:tc>
          <w:tcPr>
            <w:tcW w:w="992"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cs="Arial"/>
                <w:szCs w:val="21"/>
              </w:rPr>
            </w:pPr>
            <w:r>
              <w:rPr>
                <w:rFonts w:hint="eastAsia" w:ascii="微软雅黑" w:hAnsi="微软雅黑" w:eastAsia="微软雅黑" w:cs="Arial"/>
                <w:szCs w:val="21"/>
              </w:rPr>
              <w:t>数据适应功能性调整</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cs="Arial"/>
                <w:szCs w:val="21"/>
              </w:rPr>
            </w:pPr>
            <w:r>
              <w:rPr>
                <w:rFonts w:hint="eastAsia" w:ascii="微软雅黑" w:hAnsi="微软雅黑" w:eastAsia="微软雅黑" w:cs="Arial"/>
                <w:szCs w:val="21"/>
              </w:rPr>
              <w:t>由于程序修改或增加功能所引起的数据错误的改正；</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hint="eastAsia" w:ascii="微软雅黑" w:hAnsi="微软雅黑" w:eastAsia="微软雅黑"/>
                <w:szCs w:val="21"/>
                <w:lang w:eastAsia="zh-CN"/>
              </w:rPr>
            </w:pPr>
            <w:r>
              <w:rPr>
                <w:rFonts w:hint="eastAsia" w:ascii="微软雅黑" w:hAnsi="微软雅黑" w:eastAsia="微软雅黑"/>
                <w:szCs w:val="21"/>
                <w:lang w:val="en-US" w:eastAsia="zh-CN"/>
              </w:rPr>
              <w:t>6</w:t>
            </w:r>
          </w:p>
        </w:tc>
        <w:tc>
          <w:tcPr>
            <w:tcW w:w="992" w:type="dxa"/>
            <w:tcBorders>
              <w:top w:val="single" w:color="000000" w:sz="12" w:space="0"/>
              <w:left w:val="single" w:color="auto" w:sz="4"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数据调整</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因甲方操作不当或其它原因造成数据出现部分或全部错误，协助甲方系统维护人员进行数据调整。</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bCs/>
                <w:szCs w:val="21"/>
              </w:rPr>
            </w:pPr>
            <w:r>
              <w:rPr>
                <w:rFonts w:ascii="微软雅黑" w:hAnsi="微软雅黑" w:eastAsia="微软雅黑"/>
                <w:szCs w:val="21"/>
              </w:rPr>
              <w:t>2</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266" w:hRule="atLeast"/>
        </w:trPr>
        <w:tc>
          <w:tcPr>
            <w:tcW w:w="921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color w:val="000000"/>
                <w:sz w:val="24"/>
                <w:lang w:val="zh-CN"/>
              </w:rPr>
              <w:t>功能应用维护</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hint="eastAsia" w:ascii="微软雅黑" w:hAnsi="微软雅黑" w:eastAsia="微软雅黑"/>
                <w:szCs w:val="21"/>
                <w:lang w:eastAsia="zh-CN"/>
              </w:rPr>
            </w:pPr>
            <w:r>
              <w:rPr>
                <w:rFonts w:hint="eastAsia" w:ascii="微软雅黑" w:hAnsi="微软雅黑" w:eastAsia="微软雅黑"/>
                <w:szCs w:val="21"/>
                <w:lang w:val="en-US" w:eastAsia="zh-CN"/>
              </w:rPr>
              <w:t>7</w:t>
            </w:r>
          </w:p>
        </w:tc>
        <w:tc>
          <w:tcPr>
            <w:tcW w:w="992"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szCs w:val="21"/>
              </w:rPr>
            </w:pPr>
            <w:r>
              <w:rPr>
                <w:rFonts w:hint="eastAsia" w:ascii="微软雅黑" w:hAnsi="微软雅黑" w:eastAsia="微软雅黑"/>
                <w:szCs w:val="21"/>
              </w:rPr>
              <w:t>日常维护</w:t>
            </w:r>
          </w:p>
        </w:tc>
        <w:tc>
          <w:tcPr>
            <w:tcW w:w="4536"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bCs/>
                <w:szCs w:val="21"/>
              </w:rPr>
              <w:t>协助甲方</w:t>
            </w:r>
            <w:r>
              <w:rPr>
                <w:rFonts w:hint="eastAsia" w:ascii="微软雅黑" w:hAnsi="微软雅黑" w:eastAsia="微软雅黑"/>
                <w:color w:val="000000"/>
                <w:szCs w:val="21"/>
                <w:lang w:val="zh-CN"/>
              </w:rPr>
              <w:t>建立日常维护记录，定期与甲方系统管理人员共同检查系统运行情况，并形成系统维护记录制度和系统管理规范</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hint="eastAsia" w:ascii="微软雅黑" w:hAnsi="微软雅黑" w:eastAsia="微软雅黑"/>
                <w:szCs w:val="21"/>
              </w:rPr>
              <w:t>日常</w:t>
            </w:r>
          </w:p>
        </w:tc>
      </w:tr>
      <w:tr>
        <w:tblPrEx>
          <w:tblCellMar>
            <w:top w:w="0" w:type="dxa"/>
            <w:left w:w="28" w:type="dxa"/>
            <w:bottom w:w="0" w:type="dxa"/>
            <w:right w:w="28" w:type="dxa"/>
          </w:tblCellMar>
        </w:tblPrEx>
        <w:trPr>
          <w:trHeight w:val="647" w:hRule="atLeast"/>
        </w:trPr>
        <w:tc>
          <w:tcPr>
            <w:tcW w:w="921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ascii="微软雅黑" w:hAnsi="微软雅黑" w:eastAsia="微软雅黑"/>
                <w:szCs w:val="21"/>
              </w:rPr>
              <w:br w:type="page"/>
            </w:r>
            <w:r>
              <w:rPr>
                <w:rFonts w:hint="eastAsia" w:ascii="微软雅黑" w:hAnsi="微软雅黑" w:eastAsia="微软雅黑"/>
                <w:color w:val="000000"/>
                <w:sz w:val="24"/>
                <w:lang w:val="zh-CN"/>
              </w:rPr>
              <w:t>培训</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bottom w:val="single" w:color="000000" w:sz="12" w:space="0"/>
              <w:right w:val="single" w:color="auto" w:sz="4" w:space="0"/>
            </w:tcBorders>
            <w:noWrap w:val="0"/>
            <w:vAlign w:val="center"/>
          </w:tcPr>
          <w:p>
            <w:pPr>
              <w:autoSpaceDE w:val="0"/>
              <w:autoSpaceDN w:val="0"/>
              <w:jc w:val="center"/>
              <w:textAlignment w:val="bottom"/>
              <w:rPr>
                <w:rFonts w:hint="eastAsia" w:ascii="微软雅黑" w:hAnsi="微软雅黑" w:eastAsia="微软雅黑"/>
                <w:szCs w:val="21"/>
                <w:lang w:eastAsia="zh-CN"/>
              </w:rPr>
            </w:pPr>
            <w:r>
              <w:rPr>
                <w:rFonts w:hint="eastAsia" w:ascii="微软雅黑" w:hAnsi="微软雅黑" w:eastAsia="微软雅黑"/>
                <w:szCs w:val="21"/>
                <w:lang w:val="en-US" w:eastAsia="zh-CN"/>
              </w:rPr>
              <w:t>8</w:t>
            </w:r>
          </w:p>
        </w:tc>
        <w:tc>
          <w:tcPr>
            <w:tcW w:w="992" w:type="dxa"/>
            <w:tcBorders>
              <w:top w:val="single" w:color="000000" w:sz="12" w:space="0"/>
              <w:left w:val="single" w:color="auto" w:sz="4"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Cs/>
                <w:szCs w:val="21"/>
              </w:rPr>
            </w:pPr>
            <w:r>
              <w:rPr>
                <w:rFonts w:hint="eastAsia" w:ascii="微软雅黑" w:hAnsi="微软雅黑" w:eastAsia="微软雅黑"/>
                <w:bCs/>
                <w:szCs w:val="21"/>
              </w:rPr>
              <w:t>维护培训</w:t>
            </w:r>
          </w:p>
        </w:tc>
        <w:tc>
          <w:tcPr>
            <w:tcW w:w="4536"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cs="Arial"/>
                <w:szCs w:val="21"/>
              </w:rPr>
            </w:pPr>
            <w:r>
              <w:rPr>
                <w:rFonts w:hint="eastAsia" w:ascii="微软雅黑" w:hAnsi="微软雅黑" w:eastAsia="微软雅黑" w:cs="Arial"/>
                <w:szCs w:val="21"/>
              </w:rPr>
              <w:t>对采购方系统管理员进行基本的数据维护培训；</w:t>
            </w:r>
          </w:p>
          <w:p>
            <w:pPr>
              <w:autoSpaceDE w:val="0"/>
              <w:autoSpaceDN w:val="0"/>
              <w:jc w:val="left"/>
              <w:textAlignment w:val="bottom"/>
              <w:rPr>
                <w:rFonts w:ascii="微软雅黑" w:hAnsi="微软雅黑" w:eastAsia="微软雅黑"/>
                <w:b/>
                <w:bCs/>
                <w:szCs w:val="21"/>
              </w:rPr>
            </w:pPr>
            <w:r>
              <w:rPr>
                <w:rFonts w:hint="eastAsia" w:ascii="微软雅黑" w:hAnsi="微软雅黑" w:eastAsia="微软雅黑"/>
                <w:szCs w:val="21"/>
              </w:rPr>
              <w:t>因甲方人员离职或岗位调动需要进行培训的系统维护人员。</w:t>
            </w:r>
          </w:p>
        </w:tc>
        <w:tc>
          <w:tcPr>
            <w:tcW w:w="1985"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远程培训或现场</w:t>
            </w:r>
          </w:p>
        </w:tc>
        <w:tc>
          <w:tcPr>
            <w:tcW w:w="1134"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szCs w:val="21"/>
              </w:rPr>
              <w:t>法定工作日预约</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bottom w:val="single" w:color="000000" w:sz="12" w:space="0"/>
              <w:right w:val="single" w:color="auto" w:sz="4" w:space="0"/>
            </w:tcBorders>
            <w:noWrap w:val="0"/>
            <w:vAlign w:val="center"/>
          </w:tcPr>
          <w:p>
            <w:pPr>
              <w:autoSpaceDE w:val="0"/>
              <w:autoSpaceDN w:val="0"/>
              <w:jc w:val="center"/>
              <w:textAlignment w:val="bottom"/>
              <w:rPr>
                <w:rFonts w:hint="eastAsia" w:ascii="微软雅黑" w:hAnsi="微软雅黑" w:eastAsia="微软雅黑"/>
                <w:szCs w:val="21"/>
                <w:lang w:eastAsia="zh-CN"/>
              </w:rPr>
            </w:pPr>
            <w:r>
              <w:rPr>
                <w:rFonts w:hint="eastAsia" w:ascii="微软雅黑" w:hAnsi="微软雅黑" w:eastAsia="微软雅黑"/>
                <w:szCs w:val="21"/>
                <w:lang w:val="en-US" w:eastAsia="zh-CN"/>
              </w:rPr>
              <w:t>9</w:t>
            </w:r>
          </w:p>
        </w:tc>
        <w:tc>
          <w:tcPr>
            <w:tcW w:w="992" w:type="dxa"/>
            <w:tcBorders>
              <w:top w:val="single" w:color="000000" w:sz="12" w:space="0"/>
              <w:left w:val="single" w:color="auto" w:sz="4"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Cs/>
                <w:szCs w:val="21"/>
              </w:rPr>
            </w:pPr>
            <w:r>
              <w:rPr>
                <w:rFonts w:hint="eastAsia" w:ascii="微软雅黑" w:hAnsi="微软雅黑" w:eastAsia="微软雅黑"/>
                <w:szCs w:val="21"/>
              </w:rPr>
              <w:t>热线服务</w:t>
            </w:r>
          </w:p>
        </w:tc>
        <w:tc>
          <w:tcPr>
            <w:tcW w:w="4536"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提供与软件系统相关的咨询服务</w:t>
            </w:r>
          </w:p>
        </w:tc>
        <w:tc>
          <w:tcPr>
            <w:tcW w:w="1985"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法定工作日</w:t>
            </w:r>
          </w:p>
        </w:tc>
      </w:tr>
      <w:tr>
        <w:tblPrEx>
          <w:tblCellMar>
            <w:top w:w="0" w:type="dxa"/>
            <w:left w:w="28" w:type="dxa"/>
            <w:bottom w:w="0" w:type="dxa"/>
            <w:right w:w="28" w:type="dxa"/>
          </w:tblCellMar>
        </w:tblPrEx>
        <w:trPr>
          <w:trHeight w:val="647" w:hRule="atLeast"/>
        </w:trPr>
        <w:tc>
          <w:tcPr>
            <w:tcW w:w="568" w:type="dxa"/>
            <w:tcBorders>
              <w:top w:val="single" w:color="000000" w:sz="12" w:space="0"/>
              <w:left w:val="single" w:color="000000" w:sz="12" w:space="0"/>
              <w:bottom w:val="single" w:color="000000" w:sz="12" w:space="0"/>
              <w:right w:val="single" w:color="auto" w:sz="4" w:space="0"/>
            </w:tcBorders>
            <w:noWrap w:val="0"/>
            <w:vAlign w:val="center"/>
          </w:tcPr>
          <w:p>
            <w:pPr>
              <w:autoSpaceDE w:val="0"/>
              <w:autoSpaceDN w:val="0"/>
              <w:jc w:val="center"/>
              <w:textAlignment w:val="bottom"/>
              <w:rPr>
                <w:rFonts w:hint="default" w:ascii="微软雅黑" w:hAnsi="微软雅黑" w:eastAsia="微软雅黑"/>
                <w:szCs w:val="21"/>
                <w:lang w:val="en-US" w:eastAsia="zh-CN"/>
              </w:rPr>
            </w:pPr>
            <w:r>
              <w:rPr>
                <w:rFonts w:hint="eastAsia" w:ascii="微软雅黑" w:hAnsi="微软雅黑" w:eastAsia="微软雅黑"/>
                <w:szCs w:val="21"/>
                <w:lang w:val="en-US" w:eastAsia="zh-CN"/>
              </w:rPr>
              <w:t>10</w:t>
            </w:r>
          </w:p>
        </w:tc>
        <w:tc>
          <w:tcPr>
            <w:tcW w:w="992" w:type="dxa"/>
            <w:tcBorders>
              <w:top w:val="single" w:color="000000" w:sz="12" w:space="0"/>
              <w:left w:val="single" w:color="auto" w:sz="4"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问题解答</w:t>
            </w:r>
          </w:p>
        </w:tc>
        <w:tc>
          <w:tcPr>
            <w:tcW w:w="4536"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color w:val="000000"/>
                <w:szCs w:val="21"/>
                <w:lang w:val="zh-CN"/>
              </w:rPr>
              <w:t>解答管理部门针对系统及数据库疑难问题。</w:t>
            </w:r>
          </w:p>
        </w:tc>
        <w:tc>
          <w:tcPr>
            <w:tcW w:w="1985"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134"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法定工作日</w:t>
            </w:r>
          </w:p>
        </w:tc>
      </w:tr>
    </w:tbl>
    <w:p>
      <w:pPr>
        <w:spacing w:line="360" w:lineRule="auto"/>
        <w:rPr>
          <w:rFonts w:hint="eastAsia"/>
          <w:lang w:val="en-US" w:eastAsia="zh-CN"/>
        </w:rPr>
      </w:pPr>
    </w:p>
    <w:p>
      <w:pPr>
        <w:spacing w:line="360" w:lineRule="auto"/>
        <w:rPr>
          <w:rFonts w:hint="eastAsia"/>
        </w:rPr>
      </w:pPr>
      <w:r>
        <w:rPr>
          <w:rFonts w:hint="eastAsia"/>
          <w:lang w:val="en-US" w:eastAsia="zh-CN"/>
        </w:rPr>
        <w:t>五</w:t>
      </w:r>
      <w:r>
        <w:rPr>
          <w:rFonts w:hint="eastAsia"/>
        </w:rPr>
        <w:t>、付款方式：</w:t>
      </w:r>
    </w:p>
    <w:p>
      <w:pPr>
        <w:spacing w:line="360" w:lineRule="auto"/>
        <w:ind w:firstLine="420" w:firstLineChars="200"/>
        <w:rPr>
          <w:rFonts w:hint="eastAsia"/>
        </w:rPr>
      </w:pPr>
      <w:r>
        <w:rPr>
          <w:rFonts w:hint="eastAsia"/>
          <w:lang w:val="en-US" w:eastAsia="zh-CN"/>
        </w:rPr>
        <w:t>在服务期半年期到</w:t>
      </w:r>
      <w:r>
        <w:rPr>
          <w:rFonts w:hint="eastAsia"/>
        </w:rPr>
        <w:t>后</w:t>
      </w:r>
      <w:r>
        <w:rPr>
          <w:rFonts w:hint="eastAsia"/>
          <w:lang w:val="en-US" w:eastAsia="zh-CN"/>
        </w:rPr>
        <w:t>三</w:t>
      </w:r>
      <w:r>
        <w:rPr>
          <w:rFonts w:hint="eastAsia"/>
        </w:rPr>
        <w:t>个月内</w:t>
      </w:r>
      <w:r>
        <w:rPr>
          <w:rFonts w:hint="eastAsia"/>
          <w:lang w:val="en-US" w:eastAsia="zh-CN"/>
        </w:rPr>
        <w:t>支</w:t>
      </w:r>
      <w:r>
        <w:rPr>
          <w:rFonts w:hint="eastAsia"/>
        </w:rPr>
        <w:t>付合同总金额的50%，服务期满后</w:t>
      </w:r>
      <w:r>
        <w:rPr>
          <w:rFonts w:hint="eastAsia"/>
          <w:lang w:val="en-US" w:eastAsia="zh-CN"/>
        </w:rPr>
        <w:t>三</w:t>
      </w:r>
      <w:r>
        <w:rPr>
          <w:rFonts w:hint="eastAsia"/>
        </w:rPr>
        <w:t>个月内</w:t>
      </w:r>
      <w:r>
        <w:rPr>
          <w:rFonts w:hint="eastAsia"/>
          <w:lang w:val="en-US" w:eastAsia="zh-CN"/>
        </w:rPr>
        <w:t>支付</w:t>
      </w:r>
      <w:r>
        <w:rPr>
          <w:rFonts w:hint="eastAsia"/>
        </w:rPr>
        <w:t xml:space="preserve">合同总金额的50%。 </w:t>
      </w:r>
    </w:p>
    <w:p>
      <w:pPr>
        <w:numPr>
          <w:ilvl w:val="0"/>
          <w:numId w:val="0"/>
        </w:numPr>
        <w:spacing w:line="360" w:lineRule="auto"/>
        <w:rPr>
          <w:rFonts w:hint="default"/>
          <w:lang w:val="en-US" w:eastAsia="zh-CN"/>
        </w:rPr>
      </w:pPr>
      <w:r>
        <w:rPr>
          <w:rFonts w:hint="eastAsia"/>
          <w:lang w:val="en-US" w:eastAsia="zh-CN"/>
        </w:rPr>
        <w:t>六、服务期限</w:t>
      </w:r>
    </w:p>
    <w:p>
      <w:pPr>
        <w:numPr>
          <w:ilvl w:val="0"/>
          <w:numId w:val="0"/>
        </w:numPr>
        <w:spacing w:line="360" w:lineRule="auto"/>
        <w:ind w:firstLine="420" w:firstLineChars="200"/>
        <w:rPr>
          <w:rFonts w:hint="eastAsia"/>
          <w:lang w:eastAsia="zh-CN"/>
        </w:rPr>
      </w:pPr>
      <w:r>
        <w:rPr>
          <w:rFonts w:hint="eastAsia"/>
          <w:lang w:val="en-US" w:eastAsia="zh-CN"/>
        </w:rPr>
        <w:t>1、</w:t>
      </w:r>
      <w:r>
        <w:rPr>
          <w:rFonts w:hint="eastAsia"/>
        </w:rPr>
        <w:t>服务期：</w:t>
      </w:r>
      <w:r>
        <w:rPr>
          <w:rFonts w:hint="eastAsia"/>
          <w:u w:val="single"/>
          <w:lang w:val="en-US" w:eastAsia="zh-CN"/>
        </w:rPr>
        <w:t>2024年11月20日至2025年11月19日</w:t>
      </w:r>
      <w:r>
        <w:rPr>
          <w:rFonts w:hint="eastAsia"/>
          <w:lang w:eastAsia="zh-CN"/>
        </w:rPr>
        <w:t>。服务期满后，若满意度报告合格，根据医院相关采购管理办法可续签一年的合同。同时新一年度的承包合同服务要求与上一年度相同且承包总价不高于上一年度承包总价。</w:t>
      </w:r>
    </w:p>
    <w:p>
      <w:pPr>
        <w:numPr>
          <w:ilvl w:val="0"/>
          <w:numId w:val="0"/>
        </w:numPr>
        <w:spacing w:line="360" w:lineRule="auto"/>
        <w:ind w:firstLine="420" w:firstLineChars="200"/>
        <w:rPr>
          <w:rFonts w:hint="eastAsia"/>
          <w:sz w:val="24"/>
        </w:rPr>
      </w:pPr>
      <w:r>
        <w:rPr>
          <w:rFonts w:hint="eastAsia"/>
          <w:lang w:eastAsia="zh-CN"/>
        </w:rPr>
        <w:t>2、续约时间：距离合同结束3个月左右时，由双方确认是否续约。</w:t>
      </w:r>
    </w:p>
    <w:p>
      <w:pPr>
        <w:pStyle w:val="8"/>
        <w:ind w:left="0" w:leftChars="0" w:firstLine="0" w:firstLineChars="0"/>
        <w:rPr>
          <w:sz w:val="24"/>
        </w:rPr>
      </w:pPr>
    </w:p>
    <w:p>
      <w:pPr>
        <w:pStyle w:val="8"/>
        <w:ind w:left="0" w:leftChars="0" w:firstLine="0" w:firstLineChars="0"/>
        <w:rPr>
          <w:sz w:val="24"/>
        </w:rPr>
      </w:pPr>
    </w:p>
    <w:p>
      <w:pPr>
        <w:jc w:val="left"/>
        <w:rPr>
          <w:rFonts w:hint="eastAsia"/>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B0E6F"/>
    <w:multiLevelType w:val="multilevel"/>
    <w:tmpl w:val="43CB0E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4519352F"/>
    <w:rsid w:val="21733813"/>
    <w:rsid w:val="314C32F7"/>
    <w:rsid w:val="4519352F"/>
    <w:rsid w:val="4FF4571A"/>
    <w:rsid w:val="52A976F5"/>
    <w:rsid w:val="5AA1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4">
    <w:name w:val="Body Text"/>
    <w:basedOn w:val="1"/>
    <w:uiPriority w:val="0"/>
    <w:pPr>
      <w:spacing w:line="360" w:lineRule="atLeast"/>
      <w:jc w:val="left"/>
    </w:pPr>
    <w:rPr>
      <w:rFonts w:ascii="楷体" w:eastAsia="楷体"/>
      <w:snapToGrid w:val="0"/>
      <w:color w:val="000000"/>
      <w:kern w:val="0"/>
      <w:sz w:val="22"/>
      <w:lang w:eastAsia="en-US"/>
    </w:rPr>
  </w:style>
  <w:style w:type="paragraph" w:styleId="5">
    <w:name w:val="Body Text Indent"/>
    <w:basedOn w:val="1"/>
    <w:unhideWhenUsed/>
    <w:qFormat/>
    <w:uiPriority w:val="99"/>
    <w:pPr>
      <w:spacing w:after="120"/>
      <w:ind w:left="420" w:leftChars="200"/>
    </w:pPr>
  </w:style>
  <w:style w:type="paragraph" w:styleId="6">
    <w:name w:val="Normal (Web)"/>
    <w:basedOn w:val="1"/>
    <w:unhideWhenUsed/>
    <w:qFormat/>
    <w:uiPriority w:val="99"/>
    <w:rPr>
      <w:sz w:val="24"/>
    </w:rPr>
  </w:style>
  <w:style w:type="paragraph" w:styleId="7">
    <w:name w:val="Body Text First Indent"/>
    <w:basedOn w:val="4"/>
    <w:autoRedefine/>
    <w:qFormat/>
    <w:uiPriority w:val="0"/>
    <w:pPr>
      <w:autoSpaceDE w:val="0"/>
      <w:autoSpaceDN w:val="0"/>
      <w:adjustRightInd w:val="0"/>
      <w:spacing w:after="120" w:afterLines="0" w:afterAutospacing="0" w:line="360" w:lineRule="auto"/>
      <w:ind w:firstLine="540"/>
    </w:pPr>
    <w:rPr>
      <w:rFonts w:ascii="Times New Roman" w:eastAsia="宋体"/>
      <w:snapToGrid/>
      <w:color w:val="auto"/>
      <w:kern w:val="2"/>
      <w:sz w:val="24"/>
      <w:lang w:eastAsia="zh-CN"/>
    </w:rPr>
  </w:style>
  <w:style w:type="paragraph" w:styleId="8">
    <w:name w:val="Body Text First Indent 2"/>
    <w:basedOn w:val="5"/>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2024-10-18T03:16:00Z</dcterms:created>
  <dc:creator>海盗</dc:creator>
  <cp:lastModifiedBy>李侃</cp:lastModifiedBy>
  <dcterms:modified xsi:type="dcterms:W3CDTF">2024-11-04T02:31:53Z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EFA49E2DCCD94E67946C3A5FC4713E9C_11</vt:lpwstr>
  </property>
</Properties>
</file>