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300" w:lineRule="exact"/>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hAnsi="宋体" w:cs="宋体"/>
          <w:color w:val="000000"/>
          <w:sz w:val="40"/>
          <w:szCs w:val="40"/>
          <w:lang w:val="en-US" w:eastAsia="zh-CN"/>
        </w:rPr>
        <w:t>平板电脑采购遴选</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eastAsia" w:ascii="宋体" w:hAnsi="宋体" w:eastAsia="宋体" w:cs="宋体"/>
          <w:b w:val="0"/>
          <w:bCs w:val="0"/>
          <w:sz w:val="24"/>
          <w:u w:val="non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r>
        <w:rPr>
          <w:rFonts w:hint="eastAsia" w:ascii="宋体" w:hAnsi="宋体" w:eastAsia="宋体" w:cs="宋体"/>
          <w:b w:val="0"/>
          <w:bCs w:val="0"/>
          <w:sz w:val="24"/>
          <w:szCs w:val="24"/>
          <w:lang w:val="en-US" w:eastAsia="zh-Hans"/>
        </w:rPr>
        <w:t>温州市中医院</w:t>
      </w:r>
      <w:r>
        <w:rPr>
          <w:rFonts w:hint="eastAsia" w:ascii="宋体" w:hAnsi="宋体" w:eastAsia="宋体" w:cs="宋体"/>
          <w:b w:val="0"/>
          <w:bCs w:val="0"/>
          <w:sz w:val="24"/>
          <w:u w:val="none"/>
          <w:lang w:val="en-US" w:eastAsia="zh-CN"/>
        </w:rPr>
        <w:t>平板电脑采购</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pStyle w:val="7"/>
        <w:spacing w:line="360" w:lineRule="auto"/>
        <w:ind w:left="0"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eastAsia="宋体" w:cs="宋体"/>
          <w:b w:val="0"/>
          <w:bCs w:val="0"/>
          <w:sz w:val="24"/>
          <w:szCs w:val="24"/>
          <w:lang w:val="en-US" w:eastAsia="zh-CN"/>
        </w:rPr>
        <w:t>10000元</w:t>
      </w:r>
    </w:p>
    <w:p>
      <w:pPr>
        <w:pStyle w:val="7"/>
        <w:spacing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项目容及要求</w:t>
      </w:r>
      <w:r>
        <w:rPr>
          <w:rFonts w:hint="eastAsia" w:ascii="宋体" w:hAnsi="宋体" w:eastAsia="宋体" w:cs="宋体"/>
          <w:b/>
          <w:bCs/>
          <w:sz w:val="28"/>
          <w:szCs w:val="28"/>
        </w:rPr>
        <w:t>：</w:t>
      </w:r>
    </w:p>
    <w:tbl>
      <w:tblPr>
        <w:tblStyle w:val="13"/>
        <w:tblW w:w="14700"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1"/>
        <w:gridCol w:w="1538"/>
        <w:gridCol w:w="993"/>
        <w:gridCol w:w="975"/>
        <w:gridCol w:w="5944"/>
        <w:gridCol w:w="4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lang w:val="en-US" w:eastAsia="zh-CN"/>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rPr>
            </w:pPr>
            <w:r>
              <w:rPr>
                <w:rFonts w:hint="eastAsia"/>
                <w:b/>
                <w:bCs/>
                <w:sz w:val="24"/>
                <w:szCs w:val="24"/>
                <w:lang w:val="en-US" w:eastAsia="zh-CN"/>
              </w:rPr>
              <w:t>产品名称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rPr>
            </w:pPr>
            <w:r>
              <w:rPr>
                <w:rFonts w:hint="eastAsia"/>
                <w:b/>
                <w:bCs/>
                <w:sz w:val="24"/>
                <w:szCs w:val="24"/>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rPr>
              <w:t>单位</w:t>
            </w:r>
          </w:p>
        </w:tc>
        <w:tc>
          <w:tcPr>
            <w:tcW w:w="5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lang w:val="en-US" w:eastAsia="zh-CN"/>
              </w:rPr>
              <w:t>具体要求</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lang w:val="en-US" w:eastAsia="zh-CN"/>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4"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i w:val="0"/>
                <w:iCs w:val="0"/>
                <w:color w:val="000000"/>
                <w:sz w:val="22"/>
                <w:szCs w:val="22"/>
                <w:u w:val="none"/>
              </w:rPr>
            </w:pPr>
            <w:r>
              <w:rPr>
                <w:rFonts w:hint="eastAsia" w:ascii="宋体" w:hAnsi="宋体" w:eastAsia="宋体" w:cs="宋体"/>
                <w:sz w:val="24"/>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宋体" w:hAnsi="宋体" w:eastAsia="宋体" w:cs="宋体"/>
                <w:i w:val="0"/>
                <w:iCs w:val="0"/>
                <w:color w:val="000000"/>
                <w:sz w:val="22"/>
                <w:szCs w:val="22"/>
                <w:u w:val="none"/>
                <w:lang w:val="en-US"/>
              </w:rPr>
            </w:pPr>
            <w:r>
              <w:rPr>
                <w:rFonts w:hint="eastAsia" w:ascii="宋体" w:hAnsi="宋体" w:eastAsia="宋体" w:cs="宋体"/>
                <w:b w:val="0"/>
                <w:bCs w:val="0"/>
                <w:sz w:val="24"/>
                <w:lang w:val="en-US" w:eastAsia="zh-CN"/>
              </w:rPr>
              <w:t>平板电脑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i w:val="0"/>
                <w:iCs w:val="0"/>
                <w:color w:val="000000"/>
                <w:sz w:val="22"/>
                <w:szCs w:val="22"/>
                <w:u w:val="none"/>
              </w:rPr>
            </w:pPr>
            <w:r>
              <w:rPr>
                <w:rFonts w:hint="eastAsia" w:ascii="宋体" w:hAnsi="宋体" w:eastAsia="宋体" w:cs="宋体"/>
                <w:sz w:val="24"/>
                <w:lang w:val="en-US" w:eastAsia="zh-CN"/>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i w:val="0"/>
                <w:iCs w:val="0"/>
                <w:color w:val="000000"/>
                <w:sz w:val="18"/>
                <w:szCs w:val="18"/>
                <w:u w:val="none"/>
              </w:rPr>
            </w:pPr>
            <w:r>
              <w:rPr>
                <w:rFonts w:hint="eastAsia" w:ascii="宋体" w:hAnsi="宋体" w:eastAsia="宋体" w:cs="宋体"/>
                <w:sz w:val="24"/>
                <w:lang w:val="en-US" w:eastAsia="zh-CN"/>
              </w:rPr>
              <w:t>台</w:t>
            </w:r>
          </w:p>
        </w:tc>
        <w:tc>
          <w:tcPr>
            <w:tcW w:w="59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numPr>
                <w:ilvl w:val="0"/>
                <w:numId w:val="0"/>
              </w:numPr>
              <w:spacing w:line="240" w:lineRule="auto"/>
              <w:ind w:leftChars="0"/>
              <w:rPr>
                <w:rFonts w:hint="eastAsia" w:ascii="宋体" w:hAnsi="宋体" w:eastAsia="宋体" w:cs="宋体"/>
                <w:sz w:val="24"/>
                <w:szCs w:val="24"/>
                <w:lang w:val="en-US" w:eastAsia="zh-CN"/>
              </w:rPr>
            </w:pPr>
          </w:p>
          <w:p>
            <w:pPr>
              <w:numPr>
                <w:ilvl w:val="0"/>
                <w:numId w:val="2"/>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内存：8GB+256GB</w:t>
            </w:r>
          </w:p>
          <w:p>
            <w:pPr>
              <w:pStyle w:val="4"/>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电池容量：≥8800mAh</w:t>
            </w:r>
          </w:p>
          <w:p>
            <w:pPr>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系统版本：HarmonyOS 4.2系统</w:t>
            </w:r>
          </w:p>
          <w:p>
            <w:pPr>
              <w:pStyle w:val="4"/>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144Hz高刷屏，智慧分屏可同时分多个软件</w:t>
            </w:r>
          </w:p>
          <w:p>
            <w:pPr>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支持3代星闪手写笔，手写绘画低延迟</w:t>
            </w:r>
          </w:p>
          <w:p>
            <w:pPr>
              <w:pStyle w:val="4"/>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超级中转站跨设备存取</w:t>
            </w:r>
          </w:p>
          <w:p>
            <w:pPr>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Histen 9.0计算音频，智能识别场景</w:t>
            </w:r>
          </w:p>
          <w:p>
            <w:pPr>
              <w:pStyle w:val="4"/>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WIFI6+四天线分布</w:t>
            </w:r>
          </w:p>
          <w:p>
            <w:pPr>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PC级WPC、PC级亿图图示、PC级CAJViewer</w:t>
            </w:r>
          </w:p>
          <w:p>
            <w:pPr>
              <w:pStyle w:val="4"/>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前置800W像素，</w:t>
            </w:r>
            <w:bookmarkStart w:id="2" w:name="_GoBack"/>
            <w:bookmarkEnd w:id="2"/>
            <w:r>
              <w:rPr>
                <w:rFonts w:hint="eastAsia" w:ascii="宋体" w:hAnsi="宋体" w:eastAsia="宋体" w:cs="宋体"/>
                <w:b w:val="0"/>
                <w:bCs w:val="0"/>
                <w:sz w:val="24"/>
                <w:szCs w:val="24"/>
                <w:lang w:val="en-US" w:eastAsia="zh-CN"/>
              </w:rPr>
              <w:t>后置1300W像素</w:t>
            </w:r>
          </w:p>
          <w:p>
            <w:pPr>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搭载星闪科技</w:t>
            </w:r>
          </w:p>
          <w:p>
            <w:pPr>
              <w:pStyle w:val="4"/>
              <w:numPr>
                <w:ilvl w:val="0"/>
                <w:numId w:val="2"/>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平板手机通讯共享，支持无线插卡通话</w:t>
            </w:r>
          </w:p>
          <w:p>
            <w:pPr>
              <w:numPr>
                <w:ilvl w:val="0"/>
                <w:numId w:val="2"/>
              </w:numPr>
              <w:spacing w:line="360" w:lineRule="auto"/>
              <w:ind w:left="0" w:leftChars="0" w:firstLine="0" w:firstLineChars="0"/>
              <w:rPr>
                <w:rFonts w:hint="eastAsia" w:ascii="宋体" w:hAnsi="宋体" w:eastAsia="宋体" w:cs="宋体"/>
                <w:i w:val="0"/>
                <w:iCs w:val="0"/>
                <w:color w:val="000000"/>
                <w:sz w:val="22"/>
                <w:szCs w:val="22"/>
                <w:u w:val="none"/>
              </w:rPr>
            </w:pPr>
            <w:r>
              <w:rPr>
                <w:rFonts w:hint="eastAsia" w:ascii="宋体" w:hAnsi="宋体" w:eastAsia="宋体" w:cs="宋体"/>
                <w:b w:val="0"/>
                <w:bCs w:val="0"/>
                <w:sz w:val="24"/>
                <w:szCs w:val="24"/>
                <w:lang w:val="en-US" w:eastAsia="zh-CN"/>
              </w:rPr>
              <w:t>颜色：深空灰</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ind w:left="0" w:leftChars="0" w:firstLine="0" w:firstLineChars="0"/>
              <w:jc w:val="both"/>
              <w:rPr>
                <w:rFonts w:hint="default" w:ascii="宋体" w:hAnsi="宋体" w:eastAsia="宋体" w:cs="宋体"/>
                <w:i w:val="0"/>
                <w:iCs w:val="0"/>
                <w:color w:val="000000"/>
                <w:sz w:val="22"/>
                <w:szCs w:val="22"/>
                <w:u w:val="none"/>
                <w:lang w:val="en-US"/>
              </w:rPr>
            </w:pPr>
            <w:r>
              <w:rPr>
                <w:sz w:val="2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312420</wp:posOffset>
                      </wp:positionV>
                      <wp:extent cx="2332990" cy="3067050"/>
                      <wp:effectExtent l="4445" t="4445" r="5715" b="14605"/>
                      <wp:wrapNone/>
                      <wp:docPr id="4" name="文本框 4"/>
                      <wp:cNvGraphicFramePr/>
                      <a:graphic xmlns:a="http://schemas.openxmlformats.org/drawingml/2006/main">
                        <a:graphicData uri="http://schemas.microsoft.com/office/word/2010/wordprocessingShape">
                          <wps:wsp>
                            <wps:cNvSpPr txBox="1"/>
                            <wps:spPr>
                              <a:xfrm>
                                <a:off x="0" y="0"/>
                                <a:ext cx="2332990" cy="3067050"/>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114300" distR="114300">
                                        <wp:extent cx="2139950" cy="2451100"/>
                                        <wp:effectExtent l="0" t="0" r="1270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139950" cy="2451100"/>
                                                </a:xfrm>
                                                <a:prstGeom prst="rect">
                                                  <a:avLst/>
                                                </a:prstGeom>
                                                <a:noFill/>
                                                <a:ln>
                                                  <a:noFill/>
                                                </a:ln>
                                              </pic:spPr>
                                            </pic:pic>
                                          </a:graphicData>
                                        </a:graphic>
                                      </wp:inline>
                                    </w:drawing>
                                  </w:r>
                                </w:p>
                              </w:txbxContent>
                            </wps:txbx>
                            <wps:bodyPr upright="1"/>
                          </wps:wsp>
                        </a:graphicData>
                      </a:graphic>
                    </wp:anchor>
                  </w:drawing>
                </mc:Choice>
                <mc:Fallback>
                  <w:pict>
                    <v:shape id="_x0000_s1026" o:spid="_x0000_s1026" o:spt="202" type="#_x0000_t202" style="position:absolute;left:0pt;margin-left:6pt;margin-top:24.6pt;height:241.5pt;width:183.7pt;z-index:251659264;mso-width-relative:page;mso-height-relative:page;" fillcolor="#FFFFFF" filled="t" stroked="t" coordsize="21600,21600" o:gfxdata="UEsDBAoAAAAAAIdO4kAAAAAAAAAAAAAAAAAEAAAAZHJzL1BLAwQUAAAACACHTuJAKTxeg9kAAAAJ&#10;AQAADwAAAGRycy9kb3ducmV2LnhtbE2PzU7DMBCE70i8g7VIXBB16oS2CXF6QALBDQpqr268TSL8&#10;E2w3LW/PcoLjaEYz39TrszVswhAH7yTMZxkwdK3Xg+skfLw/3q6AxaScVsY7lPCNEdbN5UWtKu1P&#10;7g2nTeoYlbhYKQl9SmPFeWx7tCrO/IiOvIMPViWSoeM6qBOVW8NFli24VYOjhV6N+NBj+7k5Wgmr&#10;4nnaxZf8ddsuDqZMN8vp6StIeX01z+6BJTynvzD84hM6NMS090enIzOkBV1JEopSACM/X5YFsL2E&#10;u1wI4E3N/z9ofgBQSwMEFAAAAAgAh07iQMHgo14OAgAANwQAAA4AAABkcnMvZTJvRG9jLnhtbK1T&#10;S44TMRDdI3EHy3vSPclkIK10RoIQNgiQBg7g2O5uS/7J5aQ7F4AbsGLDnnPlHFN2MpnvIgt64S67&#10;yq/qvSrPrwejyVYGUM7W9GJUUiItd0LZtqY/vq/evKMEIrOCaWdlTXcS6PXi9at57ys5dp3TQgaC&#10;IBaq3te0i9FXRQG8k4bByHlp0dm4YFjEbWgLEViP6EYX47K8KnoXhA+OSwA8XR6c9IgYzgF0TaO4&#10;XDq+MdLGA2qQmkWkBJ3yQBe52qaRPH5tGpCR6Joi05hXTIL2Oq3FYs6qNjDfKX4sgZ1TwhNOhimL&#10;SU9QSxYZ2QT1DMooHhy4Jo64M8WBSFYEWVyUT7S56ZiXmQtKDf4kOvw/WP5l+y0QJWp6SYllBhu+&#10;//1r/+ff/u9Pcpnk6T1UGHXjMS4O792AQ3N3DniYWA9NMOmPfAj6UdzdSVw5RMLxcDyZjGczdHH0&#10;Tcqrt+U0y1/cX/cB4ifpDElGTQN2L4vKtp8hYikYeheSsoHTSqyU1nkT2vUHHciWYadX+UtV4pVH&#10;YdqSvqaz6XiKhTAc3wbHBk3jUQKwbc736AY8BC7z9xJwKmzJoDsUkBFSGKuMijJkq5NMfLSCxJ1H&#10;mS2+LpqKMVJQoiU+xmTlyMiUPicS2WmLJFOPDr1IVhzWA8Ikc+3EDvu28UG1HUqaO5fDcZ6yOsfZ&#10;TwP7cJ9B79/74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PF6D2QAAAAkBAAAPAAAAAAAAAAEA&#10;IAAAACIAAABkcnMvZG93bnJldi54bWxQSwECFAAUAAAACACHTuJAweCjXg4CAAA3BAAADgAAAAAA&#10;AAABACAAAAAoAQAAZHJzL2Uyb0RvYy54bWxQSwUGAAAAAAYABgBZAQAAqAUAAAAA&#10;">
                      <v:fill on="t" focussize="0,0"/>
                      <v:stroke color="#000000" joinstyle="miter"/>
                      <v:imagedata o:title=""/>
                      <o:lock v:ext="edit" aspectratio="f"/>
                      <v:textbox>
                        <w:txbxContent>
                          <w:p>
                            <w:r>
                              <w:drawing>
                                <wp:inline distT="0" distB="0" distL="114300" distR="114300">
                                  <wp:extent cx="2139950" cy="2451100"/>
                                  <wp:effectExtent l="0" t="0" r="1270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139950" cy="2451100"/>
                                          </a:xfrm>
                                          <a:prstGeom prst="rect">
                                            <a:avLst/>
                                          </a:prstGeom>
                                          <a:noFill/>
                                          <a:ln>
                                            <a:noFill/>
                                          </a:ln>
                                        </pic:spPr>
                                      </pic:pic>
                                    </a:graphicData>
                                  </a:graphic>
                                </wp:inline>
                              </w:drawing>
                            </w:r>
                          </w:p>
                        </w:txbxContent>
                      </v:textbox>
                    </v:shape>
                  </w:pict>
                </mc:Fallback>
              </mc:AlternateContent>
            </w:r>
          </w:p>
        </w:tc>
      </w:tr>
    </w:tbl>
    <w:p>
      <w:pPr>
        <w:pStyle w:val="7"/>
        <w:widowControl w:val="0"/>
        <w:numPr>
          <w:ilvl w:val="0"/>
          <w:numId w:val="0"/>
        </w:numPr>
        <w:jc w:val="both"/>
        <w:rPr>
          <w:rFonts w:hint="default" w:ascii="宋体" w:hAnsi="宋体" w:eastAsia="宋体" w:cs="宋体"/>
          <w:sz w:val="24"/>
          <w:lang w:val="en-US" w:eastAsia="zh-CN"/>
        </w:rPr>
      </w:pPr>
    </w:p>
    <w:p>
      <w:pPr>
        <w:pStyle w:val="7"/>
        <w:shd w:val="clear" w:color="auto" w:fill="auto"/>
        <w:spacing w:line="240" w:lineRule="auto"/>
        <w:ind w:left="0" w:leftChars="0" w:firstLine="0" w:firstLineChars="0"/>
        <w:rPr>
          <w:rFonts w:hint="default" w:ascii="宋体" w:hAnsi="宋体" w:eastAsia="宋体" w:cs="宋体"/>
          <w:b/>
          <w:bCs/>
          <w:sz w:val="21"/>
          <w:szCs w:val="21"/>
          <w:u w:val="single"/>
          <w:lang w:val="en-US" w:eastAsia="zh-CN"/>
        </w:rPr>
      </w:pPr>
      <w:bookmarkStart w:id="1" w:name="OLE_LINK24"/>
      <w:r>
        <w:rPr>
          <w:rFonts w:hint="eastAsia"/>
          <w:b/>
          <w:bCs/>
          <w:color w:val="FF0000"/>
          <w:u w:val="single"/>
          <w:lang w:val="en-US" w:eastAsia="zh-CN"/>
        </w:rPr>
        <w:t>注：</w:t>
      </w:r>
      <w:bookmarkEnd w:id="1"/>
      <w:r>
        <w:rPr>
          <w:rFonts w:hint="eastAsia" w:ascii="宋体" w:hAnsi="宋体" w:eastAsia="宋体" w:cs="宋体"/>
          <w:b/>
          <w:bCs/>
          <w:sz w:val="21"/>
          <w:szCs w:val="21"/>
          <w:u w:val="single"/>
          <w:lang w:val="en-US" w:eastAsia="zh-CN"/>
        </w:rPr>
        <w:t>投标人超过预算金额的投标报价将作无效标处理。</w:t>
      </w:r>
    </w:p>
    <w:p>
      <w:pPr>
        <w:pStyle w:val="7"/>
        <w:numPr>
          <w:ilvl w:val="0"/>
          <w:numId w:val="0"/>
        </w:numPr>
        <w:spacing w:line="360" w:lineRule="auto"/>
        <w:rPr>
          <w:rFonts w:hint="eastAsia" w:ascii="宋体" w:hAnsi="宋体" w:eastAsia="宋体" w:cs="宋体"/>
          <w:b/>
          <w:bCs/>
          <w:sz w:val="24"/>
          <w:lang w:val="en-US" w:eastAsia="zh-CN"/>
        </w:rPr>
      </w:pPr>
    </w:p>
    <w:p>
      <w:pPr>
        <w:spacing w:line="360" w:lineRule="auto"/>
        <w:ind w:firstLine="281" w:firstLineChars="100"/>
        <w:rPr>
          <w:rFonts w:hint="eastAsia" w:ascii="宋体" w:hAnsi="宋体"/>
          <w:b/>
          <w:bCs/>
          <w:color w:val="000000"/>
          <w:sz w:val="28"/>
          <w:szCs w:val="28"/>
        </w:rPr>
      </w:pPr>
      <w:r>
        <w:rPr>
          <w:rFonts w:hint="eastAsia" w:ascii="宋体" w:hAnsi="宋体"/>
          <w:b/>
          <w:bCs/>
          <w:color w:val="000000"/>
          <w:sz w:val="28"/>
          <w:szCs w:val="28"/>
          <w:lang w:val="en-US" w:eastAsia="zh-CN"/>
        </w:rPr>
        <w:t>三</w:t>
      </w:r>
      <w:r>
        <w:rPr>
          <w:rFonts w:hint="eastAsia" w:ascii="宋体" w:hAnsi="宋体"/>
          <w:b/>
          <w:bCs/>
          <w:color w:val="000000"/>
          <w:sz w:val="28"/>
          <w:szCs w:val="28"/>
        </w:rPr>
        <w:t>、主要商务要求</w:t>
      </w:r>
    </w:p>
    <w:p>
      <w:pPr>
        <w:pStyle w:val="7"/>
        <w:numPr>
          <w:ilvl w:val="0"/>
          <w:numId w:val="0"/>
        </w:numPr>
        <w:spacing w:line="360" w:lineRule="auto"/>
        <w:ind w:firstLine="482" w:firstLineChars="200"/>
        <w:rPr>
          <w:rFonts w:hint="default" w:ascii="宋体" w:hAnsi="宋体" w:eastAsia="宋体" w:cs="宋体"/>
          <w:sz w:val="24"/>
          <w:lang w:val="en-US" w:eastAsia="zh-CN"/>
        </w:rPr>
      </w:pPr>
      <w:r>
        <w:rPr>
          <w:rFonts w:hint="eastAsia" w:ascii="宋体" w:hAnsi="宋体"/>
          <w:b/>
          <w:bCs/>
          <w:color w:val="000000"/>
          <w:sz w:val="24"/>
          <w:szCs w:val="24"/>
          <w:lang w:val="en-US" w:eastAsia="zh-CN"/>
        </w:rPr>
        <w:t>1</w:t>
      </w:r>
      <w:r>
        <w:rPr>
          <w:rFonts w:hint="eastAsia" w:ascii="宋体" w:hAnsi="宋体"/>
          <w:b/>
          <w:bCs/>
          <w:color w:val="000000"/>
          <w:sz w:val="24"/>
          <w:szCs w:val="24"/>
        </w:rPr>
        <w:t>、付款方式：</w:t>
      </w: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hAnsi="宋体" w:cs="宋体"/>
          <w:sz w:val="24"/>
          <w:lang w:val="en-US" w:eastAsia="zh-CN"/>
        </w:rPr>
        <w:t>3</w:t>
      </w:r>
      <w:r>
        <w:rPr>
          <w:rFonts w:hint="eastAsia" w:ascii="宋体" w:hAnsi="宋体" w:eastAsia="宋体" w:cs="宋体"/>
          <w:sz w:val="24"/>
          <w:lang w:val="en-US" w:eastAsia="zh-CN"/>
        </w:rPr>
        <w:t>个</w:t>
      </w:r>
      <w:r>
        <w:rPr>
          <w:rFonts w:hint="eastAsia" w:hAnsi="宋体" w:cs="宋体"/>
          <w:sz w:val="24"/>
          <w:lang w:val="en-US" w:eastAsia="zh-CN"/>
        </w:rPr>
        <w:t>月</w:t>
      </w:r>
      <w:r>
        <w:rPr>
          <w:rFonts w:hint="default" w:ascii="宋体" w:hAnsi="宋体" w:eastAsia="宋体" w:cs="宋体"/>
          <w:sz w:val="24"/>
          <w:lang w:val="en-US" w:eastAsia="zh-CN"/>
        </w:rPr>
        <w:t>内向乙方支付全部合同价款。</w:t>
      </w:r>
    </w:p>
    <w:p>
      <w:pPr>
        <w:pStyle w:val="7"/>
        <w:numPr>
          <w:ilvl w:val="0"/>
          <w:numId w:val="0"/>
        </w:num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2</w:t>
      </w:r>
      <w:r>
        <w:rPr>
          <w:rFonts w:hint="eastAsia" w:ascii="宋体" w:hAnsi="宋体"/>
          <w:b/>
          <w:bCs/>
          <w:color w:val="000000"/>
          <w:sz w:val="24"/>
          <w:szCs w:val="24"/>
        </w:rPr>
        <w:t>、</w:t>
      </w:r>
      <w:r>
        <w:rPr>
          <w:rFonts w:hint="eastAsia" w:ascii="宋体" w:hAnsi="宋体" w:eastAsia="宋体" w:cs="宋体"/>
          <w:b/>
          <w:bCs/>
          <w:sz w:val="24"/>
          <w:szCs w:val="24"/>
          <w:lang w:val="en-US" w:eastAsia="zh-CN"/>
        </w:rPr>
        <w:t>交货期：接到采购人发货通知后</w:t>
      </w:r>
      <w:r>
        <w:rPr>
          <w:rFonts w:hint="eastAsia" w:ascii="宋体" w:hAnsi="宋体" w:eastAsia="宋体" w:cs="宋体"/>
          <w:b/>
          <w:bCs/>
          <w:color w:val="FF0000"/>
          <w:sz w:val="24"/>
          <w:szCs w:val="24"/>
          <w:u w:val="single"/>
          <w:lang w:val="en-US" w:eastAsia="zh-CN"/>
        </w:rPr>
        <w:t>5个工作日</w:t>
      </w:r>
      <w:r>
        <w:rPr>
          <w:rFonts w:hint="eastAsia" w:ascii="宋体" w:hAnsi="宋体" w:eastAsia="宋体" w:cs="宋体"/>
          <w:b/>
          <w:bCs/>
          <w:sz w:val="24"/>
          <w:szCs w:val="24"/>
          <w:lang w:val="en-US" w:eastAsia="zh-CN"/>
        </w:rPr>
        <w:t>内到达指定地点。</w:t>
      </w:r>
      <w:r>
        <w:rPr>
          <w:rFonts w:hint="eastAsia" w:ascii="宋体" w:hAnsi="宋体"/>
          <w:b w:val="0"/>
          <w:bCs w:val="0"/>
          <w:color w:val="000000"/>
          <w:sz w:val="24"/>
          <w:szCs w:val="24"/>
        </w:rPr>
        <w:t xml:space="preserve">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3</w:t>
      </w:r>
      <w:r>
        <w:rPr>
          <w:rFonts w:hint="eastAsia" w:ascii="宋体" w:hAnsi="宋体"/>
          <w:b/>
          <w:bCs/>
          <w:color w:val="000000"/>
          <w:sz w:val="24"/>
          <w:szCs w:val="24"/>
        </w:rPr>
        <w:t>、到货地点：</w:t>
      </w:r>
      <w:r>
        <w:rPr>
          <w:rFonts w:hint="eastAsia" w:ascii="宋体" w:hAnsi="宋体"/>
          <w:b w:val="0"/>
          <w:bCs w:val="0"/>
          <w:color w:val="000000"/>
          <w:sz w:val="24"/>
          <w:szCs w:val="24"/>
        </w:rPr>
        <w:t>温州市中医院指定地点。</w:t>
      </w:r>
    </w:p>
    <w:p>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、质保期</w:t>
      </w:r>
    </w:p>
    <w:p>
      <w:pPr>
        <w:spacing w:line="360" w:lineRule="auto"/>
        <w:ind w:firstLine="480" w:firstLineChars="200"/>
        <w:rPr>
          <w:rFonts w:hint="eastAsia"/>
          <w:b/>
          <w:bCs/>
          <w:sz w:val="24"/>
          <w:szCs w:val="24"/>
          <w:u w:val="single"/>
          <w:lang w:eastAsia="zh-CN"/>
        </w:rPr>
      </w:pPr>
      <w:r>
        <w:rPr>
          <w:rFonts w:hint="eastAsia" w:ascii="宋体" w:hAnsi="宋体"/>
          <w:b w:val="0"/>
          <w:bCs w:val="0"/>
          <w:color w:val="000000"/>
          <w:sz w:val="24"/>
          <w:szCs w:val="24"/>
          <w:lang w:val="en-US" w:eastAsia="zh-CN"/>
        </w:rPr>
        <w:t xml:space="preserve">(1) </w:t>
      </w:r>
      <w:r>
        <w:rPr>
          <w:rFonts w:hint="eastAsia" w:ascii="宋体" w:hAnsi="宋体"/>
          <w:b w:val="0"/>
          <w:bCs w:val="0"/>
          <w:color w:val="000000"/>
          <w:sz w:val="24"/>
          <w:szCs w:val="24"/>
        </w:rPr>
        <w:t>中标人对提交的所有产品免费质保期</w:t>
      </w:r>
      <w:r>
        <w:rPr>
          <w:rFonts w:hint="eastAsia" w:ascii="宋体" w:hAnsi="宋体"/>
          <w:b w:val="0"/>
          <w:bCs w:val="0"/>
          <w:color w:val="000000"/>
          <w:sz w:val="24"/>
          <w:szCs w:val="24"/>
          <w:lang w:val="en-US" w:eastAsia="zh-CN"/>
        </w:rPr>
        <w:t>≥2</w:t>
      </w:r>
      <w:r>
        <w:rPr>
          <w:rFonts w:hint="eastAsia" w:ascii="宋体" w:hAnsi="宋体"/>
          <w:b w:val="0"/>
          <w:bCs w:val="0"/>
          <w:color w:val="000000"/>
          <w:sz w:val="24"/>
          <w:szCs w:val="24"/>
        </w:rPr>
        <w:t>年，</w:t>
      </w:r>
      <w:r>
        <w:rPr>
          <w:rFonts w:hint="eastAsia"/>
          <w:b/>
          <w:bCs/>
          <w:sz w:val="24"/>
          <w:szCs w:val="24"/>
          <w:u w:val="single"/>
        </w:rPr>
        <w:t>（自交货验收合格之日起计）</w:t>
      </w:r>
      <w:r>
        <w:rPr>
          <w:rFonts w:hint="eastAsia"/>
          <w:b/>
          <w:bCs/>
          <w:sz w:val="24"/>
          <w:szCs w:val="24"/>
          <w:u w:val="single"/>
          <w:lang w:eastAsia="zh-CN"/>
        </w:rPr>
        <w:t>。</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 xml:space="preserve">(2) </w:t>
      </w:r>
      <w:r>
        <w:rPr>
          <w:rFonts w:hint="eastAsia" w:ascii="宋体" w:hAnsi="宋体"/>
          <w:b w:val="0"/>
          <w:bCs w:val="0"/>
          <w:color w:val="000000"/>
          <w:sz w:val="24"/>
          <w:szCs w:val="24"/>
        </w:rPr>
        <w:t>质保期内，由于产品自身原因出现问题，由中标人免费更换，并达到合同约定的质量要求，中标人应该在收到院方更换通知24小时内解决处理。</w:t>
      </w:r>
    </w:p>
    <w:p>
      <w:pPr>
        <w:pStyle w:val="7"/>
        <w:numPr>
          <w:ilvl w:val="0"/>
          <w:numId w:val="0"/>
        </w:numPr>
        <w:spacing w:line="360" w:lineRule="auto"/>
        <w:ind w:leftChars="0" w:firstLine="482" w:firstLineChars="200"/>
        <w:rPr>
          <w:rFonts w:hint="eastAsia" w:ascii="宋体" w:hAnsi="宋体"/>
          <w:b w:val="0"/>
          <w:bCs w:val="0"/>
          <w:color w:val="000000"/>
          <w:sz w:val="24"/>
          <w:szCs w:val="24"/>
        </w:rPr>
      </w:pPr>
      <w:r>
        <w:rPr>
          <w:rFonts w:hint="eastAsia"/>
          <w:b/>
          <w:bCs/>
          <w:sz w:val="24"/>
          <w:szCs w:val="24"/>
          <w:lang w:val="en-US" w:eastAsia="zh-CN"/>
        </w:rPr>
        <w:t>5、质量保证及售后服务</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7"/>
        <w:numPr>
          <w:ilvl w:val="0"/>
          <w:numId w:val="3"/>
        </w:numPr>
        <w:spacing w:line="360" w:lineRule="auto"/>
        <w:ind w:leftChars="200"/>
        <w:rPr>
          <w:rFonts w:hint="eastAsia"/>
          <w:sz w:val="24"/>
          <w:szCs w:val="24"/>
          <w:lang w:val="en-US" w:eastAsia="zh-CN"/>
        </w:rPr>
      </w:pPr>
      <w:r>
        <w:rPr>
          <w:rFonts w:hint="eastAsia"/>
          <w:sz w:val="24"/>
          <w:szCs w:val="24"/>
          <w:lang w:val="en-US" w:eastAsia="zh-CN"/>
        </w:rPr>
        <w:t>在质保期内，乙方应对货物出现的质量及安全问题负责处理解决并承担一切费用。</w:t>
      </w:r>
    </w:p>
    <w:p>
      <w:pPr>
        <w:spacing w:line="360" w:lineRule="auto"/>
        <w:rPr>
          <w:rFonts w:hint="default"/>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66" w:firstLineChars="200"/>
        <w:rPr>
          <w:rStyle w:val="15"/>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eastAsiaTheme="minorEastAsia" w:cstheme="minorEastAsia"/>
          <w:b/>
          <w:bCs/>
          <w:spacing w:val="-4"/>
          <w:sz w:val="24"/>
          <w:szCs w:val="24"/>
          <w:lang w:val="en-US" w:eastAsia="zh-CN"/>
        </w:rPr>
        <w:t>60</w:t>
      </w:r>
      <w:r>
        <w:rPr>
          <w:rFonts w:hint="eastAsia" w:asciiTheme="minorEastAsia" w:hAnsiTheme="minorEastAsia" w:eastAsiaTheme="minorEastAsia" w:cstheme="minorEastAsia"/>
          <w:b/>
          <w:bCs/>
          <w:spacing w:val="-4"/>
          <w:sz w:val="24"/>
          <w:szCs w:val="24"/>
        </w:rPr>
        <w:t>分）</w:t>
      </w:r>
    </w:p>
    <w:tbl>
      <w:tblPr>
        <w:tblStyle w:val="13"/>
        <w:tblW w:w="147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4"/>
        <w:gridCol w:w="5175"/>
        <w:gridCol w:w="1785"/>
        <w:gridCol w:w="6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517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178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318"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9" w:hRule="atLeast"/>
          <w:jc w:val="center"/>
        </w:trPr>
        <w:tc>
          <w:tcPr>
            <w:tcW w:w="149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对应于招标文件设备技术规格及配置的偏离度</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cs="宋体"/>
                <w:color w:val="auto"/>
                <w:sz w:val="24"/>
                <w:szCs w:val="24"/>
                <w:highlight w:val="none"/>
                <w:lang w:val="en-US" w:eastAsia="zh-CN"/>
              </w:rPr>
              <w:t>产品具体</w:t>
            </w:r>
            <w:r>
              <w:rPr>
                <w:rFonts w:hint="eastAsia" w:ascii="宋体" w:hAnsi="宋体" w:eastAsia="宋体" w:cs="宋体"/>
                <w:color w:val="auto"/>
                <w:sz w:val="24"/>
                <w:szCs w:val="24"/>
                <w:highlight w:val="none"/>
              </w:rPr>
              <w:t>要求对比，一项指标负偏离扣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分，扣完为止</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4"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的档次</w:t>
            </w:r>
          </w:p>
        </w:tc>
        <w:tc>
          <w:tcPr>
            <w:tcW w:w="178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val="en-US" w:eastAsia="zh-CN"/>
              </w:rPr>
              <w:t>产品</w:t>
            </w:r>
            <w:r>
              <w:rPr>
                <w:rFonts w:hint="eastAsia" w:ascii="宋体" w:hAnsi="宋体" w:eastAsia="宋体" w:cs="宋体"/>
                <w:sz w:val="24"/>
                <w:szCs w:val="24"/>
              </w:rPr>
              <w:t>在产品系列中属高档产品的，得</w:t>
            </w:r>
            <w:r>
              <w:rPr>
                <w:rFonts w:hint="eastAsia" w:ascii="宋体" w:hAnsi="宋体" w:eastAsia="宋体" w:cs="宋体"/>
                <w:sz w:val="24"/>
                <w:szCs w:val="24"/>
                <w:lang w:val="en-US" w:eastAsia="zh-CN"/>
              </w:rPr>
              <w:t>8-11</w:t>
            </w:r>
            <w:r>
              <w:rPr>
                <w:rFonts w:hint="eastAsia" w:ascii="宋体" w:hAnsi="宋体" w:eastAsia="宋体" w:cs="宋体"/>
                <w:sz w:val="24"/>
                <w:szCs w:val="24"/>
              </w:rPr>
              <w:t>分；属中等档次产品的，得</w:t>
            </w:r>
            <w:r>
              <w:rPr>
                <w:rFonts w:hint="eastAsia" w:ascii="宋体" w:hAnsi="宋体" w:eastAsia="宋体" w:cs="宋体"/>
                <w:sz w:val="24"/>
                <w:szCs w:val="24"/>
                <w:lang w:val="en-US" w:eastAsia="zh-CN"/>
              </w:rPr>
              <w:t>4-7</w:t>
            </w:r>
            <w:r>
              <w:rPr>
                <w:rFonts w:hint="eastAsia" w:ascii="宋体" w:hAnsi="宋体" w:eastAsia="宋体" w:cs="宋体"/>
                <w:sz w:val="24"/>
                <w:szCs w:val="24"/>
              </w:rPr>
              <w:t>分；属低档产品的，得</w:t>
            </w:r>
            <w:r>
              <w:rPr>
                <w:rFonts w:hint="eastAsia" w:ascii="宋体" w:hAnsi="宋体" w:eastAsia="宋体" w:cs="宋体"/>
                <w:sz w:val="24"/>
                <w:szCs w:val="24"/>
                <w:lang w:val="en-US" w:eastAsia="zh-CN"/>
              </w:rPr>
              <w:t>0-3</w:t>
            </w:r>
            <w:r>
              <w:rPr>
                <w:rFonts w:hint="eastAsia" w:ascii="宋体" w:hAnsi="宋体" w:eastAsia="宋体" w:cs="宋体"/>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99"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保修服务</w:t>
            </w:r>
          </w:p>
        </w:tc>
        <w:tc>
          <w:tcPr>
            <w:tcW w:w="1785"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lang w:val="en-US" w:eastAsia="zh-CN"/>
              </w:rPr>
              <w:t>产品质保</w:t>
            </w:r>
            <w:r>
              <w:rPr>
                <w:rFonts w:hint="eastAsia" w:ascii="宋体" w:hAnsi="宋体" w:eastAsia="宋体" w:cs="宋体"/>
                <w:sz w:val="24"/>
                <w:szCs w:val="24"/>
              </w:rPr>
              <w:t>期超过</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文件要求的，每增加1年加1分</w:t>
            </w:r>
            <w:r>
              <w:rPr>
                <w:rFonts w:hint="eastAsia" w:ascii="宋体" w:hAnsi="宋体" w:eastAsia="宋体" w:cs="宋体"/>
                <w:sz w:val="24"/>
                <w:szCs w:val="24"/>
                <w:lang w:val="en-US" w:eastAsia="zh-CN"/>
              </w:rPr>
              <w:t>，</w:t>
            </w:r>
            <w:r>
              <w:rPr>
                <w:rFonts w:hint="eastAsia" w:ascii="宋体" w:hAnsi="宋体" w:eastAsia="宋体" w:cs="宋体"/>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86"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投标产品总体质量性能</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318"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投标产品在临床上的使用情况、稳定性、故障率等总体质量性能综合评价。</w:t>
            </w:r>
          </w:p>
          <w:p>
            <w:pPr>
              <w:ind w:left="105" w:leftChars="50" w:right="10" w:rightChars="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A档：8-11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B档：4-7分；C档：0-3分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59"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市场占有率</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温州市或浙江省内</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年1月1日起至今与最终用户签订的</w:t>
            </w:r>
            <w:r>
              <w:rPr>
                <w:rFonts w:hint="eastAsia" w:ascii="宋体" w:hAnsi="宋体" w:cs="宋体"/>
                <w:sz w:val="24"/>
                <w:szCs w:val="24"/>
                <w:lang w:val="en-US" w:eastAsia="zh-CN"/>
              </w:rPr>
              <w:t>同类项目</w:t>
            </w:r>
            <w:r>
              <w:rPr>
                <w:rFonts w:hint="eastAsia" w:ascii="宋体" w:hAnsi="宋体" w:eastAsia="宋体" w:cs="宋体"/>
                <w:sz w:val="24"/>
                <w:szCs w:val="24"/>
              </w:rPr>
              <w:t>合同复印件，每份有效合同得</w:t>
            </w:r>
            <w:r>
              <w:rPr>
                <w:rFonts w:hint="eastAsia" w:ascii="宋体" w:hAnsi="宋体" w:eastAsia="宋体" w:cs="宋体"/>
                <w:sz w:val="24"/>
                <w:szCs w:val="24"/>
                <w:lang w:val="en-US" w:eastAsia="zh-CN"/>
              </w:rPr>
              <w:t>1</w:t>
            </w:r>
            <w:r>
              <w:rPr>
                <w:rFonts w:hint="eastAsia" w:ascii="宋体" w:hAnsi="宋体" w:eastAsia="宋体" w:cs="宋体"/>
                <w:sz w:val="24"/>
                <w:szCs w:val="24"/>
              </w:rPr>
              <w:t>分，最多</w:t>
            </w:r>
            <w:r>
              <w:rPr>
                <w:rFonts w:hint="eastAsia" w:ascii="宋体" w:hAnsi="宋体" w:cs="宋体"/>
                <w:sz w:val="24"/>
                <w:szCs w:val="24"/>
                <w:lang w:val="en-US" w:eastAsia="zh-CN"/>
              </w:rPr>
              <w:t>3</w:t>
            </w:r>
            <w:r>
              <w:rPr>
                <w:rFonts w:hint="eastAsia" w:ascii="宋体" w:hAnsi="宋体" w:eastAsia="宋体" w:cs="宋体"/>
                <w:sz w:val="24"/>
                <w:szCs w:val="24"/>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4"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制造商或代理商的售后服务和维修能力</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318"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制造商或代理商的售后服务和维修能力，服务响应速度、服务人员水平、备品备件配置等综合评价。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r>
    </w:tbl>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40</w:t>
      </w:r>
      <w:r>
        <w:rPr>
          <w:rFonts w:hint="eastAsia" w:asciiTheme="minorEastAsia" w:hAnsiTheme="minorEastAsia" w:eastAsiaTheme="minorEastAsia" w:cstheme="minorEastAsia"/>
          <w:b/>
          <w:bCs/>
          <w:spacing w:val="-4"/>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价格分采用低价优先法计算，即满足招标文件要求且投标报价最低的投标报价为评标基准价，其得分为满分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分。其他投标人的价格分按照下列公式计算：</w:t>
      </w:r>
    </w:p>
    <w:p>
      <w:pPr>
        <w:spacing w:line="360" w:lineRule="auto"/>
        <w:ind w:firstLine="480" w:firstLineChars="200"/>
        <w:rPr>
          <w:rFonts w:hint="eastAsia" w:ascii="新宋体" w:hAnsi="新宋体" w:eastAsia="新宋体" w:cs="新宋体"/>
          <w:b/>
          <w:bCs/>
          <w:color w:val="auto"/>
          <w:kern w:val="2"/>
          <w:sz w:val="28"/>
          <w:szCs w:val="28"/>
          <w:highlight w:val="none"/>
          <w:lang w:val="en-US" w:eastAsia="zh-CN" w:bidi="ar-SA"/>
        </w:rPr>
      </w:pPr>
      <w:r>
        <w:rPr>
          <w:rFonts w:hint="eastAsia" w:ascii="宋体" w:hAnsi="宋体" w:eastAsia="宋体" w:cs="宋体"/>
          <w:sz w:val="24"/>
          <w:szCs w:val="24"/>
        </w:rPr>
        <w:t>价格分=（评标基准价/投标报价）×</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%×100</w:t>
      </w:r>
    </w:p>
    <w:p>
      <w:pPr>
        <w:pStyle w:val="3"/>
        <w:jc w:val="center"/>
        <w:rPr>
          <w:rFonts w:hint="eastAsia" w:ascii="新宋体" w:hAnsi="新宋体" w:eastAsia="新宋体" w:cs="新宋体"/>
          <w:b w:val="0"/>
          <w:bCs/>
          <w:color w:val="auto"/>
          <w:sz w:val="22"/>
          <w:highlight w:val="none"/>
        </w:rPr>
      </w:pPr>
    </w:p>
    <w:p>
      <w:pPr>
        <w:pStyle w:val="3"/>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4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平板电脑</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3"/>
        <w:gridCol w:w="2025"/>
        <w:gridCol w:w="4140"/>
        <w:gridCol w:w="3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6828" w:type="dxa"/>
            <w:gridSpan w:val="2"/>
            <w:noWrap w:val="0"/>
            <w:vAlign w:val="center"/>
          </w:tcPr>
          <w:p>
            <w:pPr>
              <w:pStyle w:val="8"/>
              <w:jc w:val="center"/>
              <w:rPr>
                <w:rFonts w:hint="eastAsia" w:hAnsi="宋体"/>
                <w:sz w:val="24"/>
                <w:szCs w:val="24"/>
              </w:rPr>
            </w:pPr>
            <w:r>
              <w:rPr>
                <w:rFonts w:hint="eastAsia" w:hAnsi="宋体"/>
                <w:bCs/>
                <w:sz w:val="24"/>
                <w:szCs w:val="24"/>
              </w:rPr>
              <w:t>项目名称</w:t>
            </w:r>
          </w:p>
        </w:tc>
        <w:tc>
          <w:tcPr>
            <w:tcW w:w="4140" w:type="dxa"/>
            <w:noWrap w:val="0"/>
            <w:vAlign w:val="center"/>
          </w:tcPr>
          <w:p>
            <w:pPr>
              <w:pStyle w:val="8"/>
              <w:jc w:val="center"/>
              <w:rPr>
                <w:rFonts w:hint="eastAsia" w:hAnsi="宋体" w:eastAsia="宋体"/>
                <w:sz w:val="24"/>
                <w:szCs w:val="24"/>
                <w:lang w:eastAsia="zh-CN"/>
              </w:rPr>
            </w:pPr>
            <w:r>
              <w:rPr>
                <w:rFonts w:hint="eastAsia" w:hAnsi="宋体"/>
                <w:bCs/>
                <w:sz w:val="24"/>
                <w:szCs w:val="24"/>
                <w:lang w:val="en-US" w:eastAsia="zh-CN"/>
              </w:rPr>
              <w:t>数量</w:t>
            </w:r>
          </w:p>
        </w:tc>
        <w:tc>
          <w:tcPr>
            <w:tcW w:w="3948" w:type="dxa"/>
            <w:noWrap w:val="0"/>
            <w:vAlign w:val="center"/>
          </w:tcPr>
          <w:p>
            <w:pPr>
              <w:pStyle w:val="8"/>
              <w:spacing w:line="460" w:lineRule="atLeast"/>
              <w:jc w:val="center"/>
              <w:rPr>
                <w:rFonts w:hint="eastAsia" w:hAnsi="宋体" w:eastAsia="宋体"/>
                <w:sz w:val="24"/>
                <w:szCs w:val="24"/>
                <w:lang w:eastAsia="zh-CN"/>
              </w:rPr>
            </w:pPr>
            <w:r>
              <w:rPr>
                <w:rFonts w:hint="eastAsia" w:hAnsi="宋体"/>
                <w:sz w:val="24"/>
                <w:szCs w:val="24"/>
                <w:lang w:val="en-US" w:eastAsia="zh-CN"/>
              </w:rPr>
              <w:t>质保期（≥2年）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6828" w:type="dxa"/>
            <w:gridSpan w:val="2"/>
            <w:noWrap w:val="0"/>
            <w:vAlign w:val="center"/>
          </w:tcPr>
          <w:p>
            <w:pPr>
              <w:jc w:val="center"/>
              <w:rPr>
                <w:rFonts w:hint="eastAsia" w:eastAsia="宋体"/>
                <w:sz w:val="24"/>
                <w:szCs w:val="24"/>
                <w:lang w:eastAsia="zh-CN"/>
              </w:rPr>
            </w:pP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平板电脑</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c>
        <w:tc>
          <w:tcPr>
            <w:tcW w:w="4140" w:type="dxa"/>
            <w:noWrap w:val="0"/>
            <w:vAlign w:val="center"/>
          </w:tcPr>
          <w:p>
            <w:pPr>
              <w:jc w:val="center"/>
              <w:rPr>
                <w:rFonts w:hint="default" w:eastAsia="宋体"/>
                <w:sz w:val="24"/>
                <w:szCs w:val="24"/>
                <w:lang w:val="en-US" w:eastAsia="zh-CN"/>
              </w:rPr>
            </w:pPr>
            <w:r>
              <w:rPr>
                <w:rFonts w:hint="eastAsia"/>
                <w:sz w:val="24"/>
                <w:szCs w:val="24"/>
                <w:lang w:val="en-US" w:eastAsia="zh-CN"/>
              </w:rPr>
              <w:t>4台</w:t>
            </w:r>
          </w:p>
        </w:tc>
        <w:tc>
          <w:tcPr>
            <w:tcW w:w="3948" w:type="dxa"/>
            <w:noWrap w:val="0"/>
            <w:vAlign w:val="center"/>
          </w:tcPr>
          <w:p>
            <w:pPr>
              <w:pStyle w:val="8"/>
              <w:spacing w:line="460" w:lineRule="atLeast"/>
              <w:ind w:firstLine="469"/>
              <w:jc w:val="center"/>
              <w:rPr>
                <w:rFonts w:hint="eastAsia"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803" w:type="dxa"/>
            <w:vMerge w:val="restart"/>
            <w:noWrap w:val="0"/>
            <w:vAlign w:val="center"/>
          </w:tcPr>
          <w:p>
            <w:pPr>
              <w:jc w:val="center"/>
              <w:rPr>
                <w:rFonts w:hint="eastAsia" w:ascii="宋体" w:hAnsi="宋体"/>
                <w:sz w:val="24"/>
                <w:szCs w:val="24"/>
              </w:rPr>
            </w:pPr>
            <w:r>
              <w:rPr>
                <w:rFonts w:hint="eastAsia" w:ascii="宋体" w:hAnsi="宋体"/>
                <w:sz w:val="24"/>
                <w:szCs w:val="24"/>
              </w:rPr>
              <w:t>投标报价</w:t>
            </w:r>
          </w:p>
        </w:tc>
        <w:tc>
          <w:tcPr>
            <w:tcW w:w="10113" w:type="dxa"/>
            <w:gridSpan w:val="3"/>
            <w:noWrap w:val="0"/>
            <w:vAlign w:val="center"/>
          </w:tcPr>
          <w:p>
            <w:pPr>
              <w:pStyle w:val="8"/>
              <w:spacing w:line="460" w:lineRule="atLeast"/>
              <w:rPr>
                <w:rFonts w:hint="eastAsia" w:hAnsi="宋体"/>
                <w:sz w:val="24"/>
                <w:szCs w:val="24"/>
              </w:rPr>
            </w:pPr>
            <w:r>
              <w:rPr>
                <w:rFonts w:hint="eastAsia" w:hAnsi="宋体"/>
                <w:sz w:val="24"/>
                <w:szCs w:val="24"/>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803" w:type="dxa"/>
            <w:vMerge w:val="continue"/>
            <w:noWrap w:val="0"/>
            <w:vAlign w:val="center"/>
          </w:tcPr>
          <w:p>
            <w:pPr>
              <w:pStyle w:val="8"/>
              <w:spacing w:line="460" w:lineRule="atLeast"/>
              <w:ind w:firstLine="469"/>
              <w:rPr>
                <w:rFonts w:hint="eastAsia" w:hAnsi="宋体"/>
                <w:sz w:val="24"/>
                <w:szCs w:val="24"/>
              </w:rPr>
            </w:pPr>
          </w:p>
        </w:tc>
        <w:tc>
          <w:tcPr>
            <w:tcW w:w="10113" w:type="dxa"/>
            <w:gridSpan w:val="3"/>
            <w:noWrap w:val="0"/>
            <w:vAlign w:val="center"/>
          </w:tcPr>
          <w:p>
            <w:pPr>
              <w:pStyle w:val="8"/>
              <w:spacing w:line="460" w:lineRule="atLeast"/>
              <w:rPr>
                <w:rFonts w:hint="eastAsia" w:hAnsi="宋体"/>
                <w:sz w:val="24"/>
                <w:szCs w:val="24"/>
              </w:rPr>
            </w:pPr>
            <w:r>
              <w:rPr>
                <w:rFonts w:hint="eastAsia" w:hAnsi="宋体"/>
                <w:sz w:val="24"/>
                <w:szCs w:val="24"/>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1、此表总计价应与</w:t>
      </w:r>
      <w:r>
        <w:rPr>
          <w:rFonts w:hint="eastAsia" w:ascii="宋体" w:hAnsi="宋体"/>
          <w:b/>
          <w:bCs/>
          <w:sz w:val="22"/>
          <w:szCs w:val="22"/>
          <w:lang w:val="en-US" w:eastAsia="zh-CN"/>
        </w:rPr>
        <w:t>下</w:t>
      </w:r>
      <w:r>
        <w:rPr>
          <w:rFonts w:hint="eastAsia" w:ascii="宋体" w:hAnsi="宋体"/>
          <w:b/>
          <w:bCs/>
          <w:sz w:val="22"/>
          <w:szCs w:val="22"/>
        </w:rPr>
        <w:t>方“（</w:t>
      </w:r>
      <w:r>
        <w:rPr>
          <w:rFonts w:hint="eastAsia" w:ascii="宋体" w:hAnsi="宋体"/>
          <w:b/>
          <w:bCs/>
          <w:sz w:val="22"/>
          <w:szCs w:val="22"/>
          <w:lang w:val="en-US" w:eastAsia="zh-CN"/>
        </w:rPr>
        <w:t>二</w:t>
      </w:r>
      <w:r>
        <w:rPr>
          <w:rFonts w:hint="eastAsia" w:ascii="宋体" w:hAnsi="宋体"/>
          <w:b/>
          <w:bCs/>
          <w:sz w:val="22"/>
          <w:szCs w:val="22"/>
        </w:rPr>
        <w:t>）分项报价表”中报价相一致。</w:t>
      </w:r>
    </w:p>
    <w:p>
      <w:pPr>
        <w:spacing w:line="380" w:lineRule="exact"/>
        <w:rPr>
          <w:rFonts w:hint="eastAsia" w:ascii="宋体" w:hAnsi="宋体"/>
          <w:b/>
          <w:bCs/>
          <w:sz w:val="22"/>
          <w:szCs w:val="22"/>
        </w:rPr>
      </w:pPr>
      <w:r>
        <w:rPr>
          <w:rFonts w:hint="eastAsia" w:ascii="宋体" w:hAnsi="宋体"/>
          <w:b/>
          <w:bCs/>
          <w:sz w:val="22"/>
          <w:szCs w:val="22"/>
        </w:rPr>
        <w:t>2、不提供</w:t>
      </w:r>
      <w:r>
        <w:rPr>
          <w:rFonts w:hint="eastAsia" w:ascii="宋体" w:hAnsi="宋体"/>
          <w:b/>
          <w:bCs/>
          <w:sz w:val="22"/>
          <w:szCs w:val="22"/>
          <w:lang w:val="en-US" w:eastAsia="zh-CN"/>
        </w:rPr>
        <w:t>次表格</w:t>
      </w:r>
      <w:r>
        <w:rPr>
          <w:rFonts w:hint="eastAsia" w:ascii="宋体" w:hAnsi="宋体"/>
          <w:b/>
          <w:bCs/>
          <w:sz w:val="22"/>
          <w:szCs w:val="22"/>
        </w:rPr>
        <w:t>将视为没有实质性响应招标文件。</w:t>
      </w:r>
    </w:p>
    <w:p>
      <w:pPr>
        <w:spacing w:line="380" w:lineRule="exact"/>
        <w:rPr>
          <w:rFonts w:hint="eastAsia" w:ascii="宋体" w:hAnsi="宋体"/>
          <w:sz w:val="22"/>
          <w:szCs w:val="22"/>
        </w:rPr>
      </w:pPr>
      <w:r>
        <w:rPr>
          <w:rFonts w:hint="eastAsia" w:ascii="宋体" w:hAnsi="宋体"/>
          <w:b/>
          <w:bCs/>
          <w:sz w:val="22"/>
          <w:szCs w:val="22"/>
        </w:rPr>
        <w:t>3、以上全部报价包含货物到达甲方并能正常使用所需的一切费用，包括但不限于包装费、运输费、装卸费、保险费、安装费以及保修费、税费等。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pStyle w:val="12"/>
        <w:ind w:left="0" w:leftChars="0" w:firstLine="0" w:firstLineChars="0"/>
        <w:rPr>
          <w:rFonts w:hint="eastAsia"/>
          <w:b w:val="0"/>
          <w:bCs w:val="0"/>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rPr>
      </w:pPr>
      <w:r>
        <w:rPr>
          <w:rFonts w:hint="eastAsia" w:ascii="宋体" w:hAnsi="宋体"/>
          <w:b/>
          <w:bCs/>
          <w:sz w:val="28"/>
          <w:szCs w:val="28"/>
          <w:lang w:val="en-US" w:eastAsia="zh-CN"/>
        </w:rPr>
        <w:t>（二）分项报价表</w:t>
      </w:r>
    </w:p>
    <w:p>
      <w:pPr>
        <w:spacing w:line="360" w:lineRule="auto"/>
        <w:ind w:right="349" w:rightChars="166"/>
        <w:rPr>
          <w:rFonts w:hint="eastAsia" w:ascii="宋体" w:hAnsi="宋体" w:eastAsia="宋体" w:cs="宋体"/>
          <w:sz w:val="24"/>
          <w:szCs w:val="24"/>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平板电脑</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sz w:val="24"/>
          <w:szCs w:val="24"/>
          <w:highlight w:val="none"/>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eastAsia="zh-CN"/>
        </w:rPr>
        <w:t>）</w:t>
      </w:r>
    </w:p>
    <w:tbl>
      <w:tblPr>
        <w:tblStyle w:val="13"/>
        <w:tblW w:w="1459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890"/>
        <w:gridCol w:w="2085"/>
        <w:gridCol w:w="2220"/>
        <w:gridCol w:w="1905"/>
        <w:gridCol w:w="1665"/>
        <w:gridCol w:w="216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型号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83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spacing w:line="380" w:lineRule="exact"/>
        <w:ind w:right="349" w:rightChars="166"/>
        <w:rPr>
          <w:rFonts w:hint="eastAsia" w:ascii="宋体" w:hAnsi="宋体"/>
          <w:sz w:val="22"/>
          <w:szCs w:val="22"/>
        </w:rPr>
      </w:pPr>
    </w:p>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sz w:val="22"/>
          <w:lang w:val="en-US" w:eastAsia="zh-CN"/>
        </w:rPr>
      </w:pPr>
      <w:r>
        <w:rPr>
          <w:rFonts w:hint="eastAsia" w:ascii="宋体" w:hAnsi="宋体"/>
          <w:b/>
          <w:sz w:val="22"/>
          <w:lang w:val="en-US" w:eastAsia="zh-CN"/>
        </w:rPr>
        <w:t>1、此表总计价应与上方“（一）报价一览表”中报价相一致。</w:t>
      </w:r>
    </w:p>
    <w:p>
      <w:pPr>
        <w:spacing w:line="380" w:lineRule="exact"/>
        <w:rPr>
          <w:rFonts w:hint="eastAsia" w:ascii="宋体" w:hAnsi="宋体"/>
          <w:b/>
          <w:sz w:val="22"/>
          <w:lang w:val="en-US" w:eastAsia="zh-CN"/>
        </w:rPr>
      </w:pPr>
      <w:r>
        <w:rPr>
          <w:rFonts w:hint="eastAsia" w:ascii="宋体" w:hAnsi="宋体"/>
          <w:b/>
          <w:sz w:val="22"/>
          <w:lang w:val="en-US" w:eastAsia="zh-CN"/>
        </w:rPr>
        <w:t>2、不提供详细分项报价将视为没有实质性响应招标文件。</w:t>
      </w:r>
    </w:p>
    <w:p>
      <w:pPr>
        <w:spacing w:line="380" w:lineRule="exact"/>
        <w:rPr>
          <w:rFonts w:hint="eastAsia" w:ascii="宋体" w:hAnsi="宋体"/>
          <w:b/>
          <w:sz w:val="22"/>
          <w:lang w:val="en-US" w:eastAsia="zh-CN"/>
        </w:rPr>
      </w:pPr>
      <w:r>
        <w:rPr>
          <w:rFonts w:hint="eastAsia" w:ascii="宋体" w:hAnsi="宋体"/>
          <w:b/>
          <w:sz w:val="22"/>
          <w:lang w:val="en-US" w:eastAsia="zh-CN"/>
        </w:rPr>
        <w:t>3、以上全部报价包含货物到达甲方并能正常使用所需的一切费用，包括但不限于包装费、运输费、装卸费、保险费、安装费以及保修费、税费等。</w:t>
      </w:r>
    </w:p>
    <w:p>
      <w:pPr>
        <w:spacing w:line="380" w:lineRule="exact"/>
        <w:rPr>
          <w:rFonts w:hint="eastAsia" w:ascii="宋体" w:hAnsi="宋体"/>
          <w:b/>
          <w:sz w:val="22"/>
          <w:lang w:val="en-US" w:eastAsia="zh-CN"/>
        </w:rPr>
      </w:pPr>
    </w:p>
    <w:p>
      <w:pPr>
        <w:spacing w:line="360" w:lineRule="auto"/>
        <w:rPr>
          <w:rFonts w:hint="eastAsia" w:ascii="宋体" w:hAnsi="宋体"/>
          <w:sz w:val="22"/>
          <w:szCs w:val="22"/>
        </w:rPr>
      </w:pP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rPr>
      </w:pPr>
      <w:r>
        <w:rPr>
          <w:rFonts w:hint="eastAsia" w:ascii="宋体" w:hAnsi="宋体"/>
          <w:sz w:val="22"/>
          <w:szCs w:val="22"/>
        </w:rPr>
        <w:t xml:space="preserve">日 期：  </w:t>
      </w:r>
      <w:r>
        <w:rPr>
          <w:rFonts w:hint="eastAsia" w:ascii="宋体" w:hAnsi="宋体"/>
          <w:sz w:val="22"/>
          <w:szCs w:val="22"/>
          <w:lang w:val="en-US" w:eastAsia="zh-CN"/>
        </w:rPr>
        <w:t xml:space="preserve">   </w:t>
      </w:r>
      <w:r>
        <w:rPr>
          <w:rFonts w:hint="eastAsia" w:ascii="宋体" w:hAnsi="宋体"/>
          <w:sz w:val="22"/>
          <w:szCs w:val="22"/>
        </w:rPr>
        <w:t xml:space="preserve">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日</w:t>
      </w:r>
    </w:p>
    <w:p>
      <w:pPr>
        <w:pStyle w:val="7"/>
        <w:ind w:left="0" w:leftChars="0" w:firstLine="0" w:firstLineChars="0"/>
      </w:pPr>
    </w:p>
    <w:p>
      <w:pPr>
        <w:pStyle w:val="7"/>
        <w:numPr>
          <w:ilvl w:val="0"/>
          <w:numId w:val="0"/>
        </w:numPr>
        <w:spacing w:line="360" w:lineRule="auto"/>
        <w:ind w:firstLine="480" w:firstLineChars="200"/>
        <w:rPr>
          <w:rFonts w:hint="default"/>
          <w:sz w:val="24"/>
          <w:szCs w:val="24"/>
          <w:lang w:val="en-US" w:eastAsia="zh-CN"/>
        </w:rPr>
      </w:pPr>
    </w:p>
    <w:sectPr>
      <w:pgSz w:w="16838" w:h="11906" w:orient="landscape"/>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DEA52"/>
    <w:multiLevelType w:val="singleLevel"/>
    <w:tmpl w:val="A40DEA52"/>
    <w:lvl w:ilvl="0" w:tentative="0">
      <w:start w:val="3"/>
      <w:numFmt w:val="decimal"/>
      <w:suff w:val="nothing"/>
      <w:lvlText w:val="（%1）"/>
      <w:lvlJc w:val="left"/>
    </w:lvl>
  </w:abstractNum>
  <w:abstractNum w:abstractNumId="1">
    <w:nsid w:val="A7BDCDB4"/>
    <w:multiLevelType w:val="singleLevel"/>
    <w:tmpl w:val="A7BDCDB4"/>
    <w:lvl w:ilvl="0" w:tentative="0">
      <w:start w:val="1"/>
      <w:numFmt w:val="decimal"/>
      <w:lvlText w:val="%1."/>
      <w:lvlJc w:val="left"/>
      <w:pPr>
        <w:tabs>
          <w:tab w:val="left" w:pos="312"/>
        </w:tabs>
      </w:pPr>
    </w:lvl>
  </w:abstractNum>
  <w:abstractNum w:abstractNumId="2">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4684506"/>
    <w:rsid w:val="06043E9E"/>
    <w:rsid w:val="06E15E3C"/>
    <w:rsid w:val="0C300A04"/>
    <w:rsid w:val="10C71F5A"/>
    <w:rsid w:val="192A3988"/>
    <w:rsid w:val="1D3C515C"/>
    <w:rsid w:val="226E2973"/>
    <w:rsid w:val="229D2E28"/>
    <w:rsid w:val="291122AA"/>
    <w:rsid w:val="2B6947FB"/>
    <w:rsid w:val="2B8B6847"/>
    <w:rsid w:val="2C77430D"/>
    <w:rsid w:val="2EBF307B"/>
    <w:rsid w:val="321B0A6F"/>
    <w:rsid w:val="3252214B"/>
    <w:rsid w:val="32E53E60"/>
    <w:rsid w:val="36942C63"/>
    <w:rsid w:val="37B235FD"/>
    <w:rsid w:val="462A298B"/>
    <w:rsid w:val="47FD3F63"/>
    <w:rsid w:val="48C84ABD"/>
    <w:rsid w:val="48F2201E"/>
    <w:rsid w:val="4C215AB1"/>
    <w:rsid w:val="4FD147A1"/>
    <w:rsid w:val="502926AC"/>
    <w:rsid w:val="522E2CD6"/>
    <w:rsid w:val="536C61AC"/>
    <w:rsid w:val="586D09FC"/>
    <w:rsid w:val="59401D98"/>
    <w:rsid w:val="5A0F768E"/>
    <w:rsid w:val="5A3C73F0"/>
    <w:rsid w:val="62BD2580"/>
    <w:rsid w:val="63A66B70"/>
    <w:rsid w:val="66C01A18"/>
    <w:rsid w:val="6EAD47D5"/>
    <w:rsid w:val="747B3DF6"/>
    <w:rsid w:val="75956E1A"/>
    <w:rsid w:val="75CE1AEC"/>
    <w:rsid w:val="7CB7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qFormat/>
    <w:uiPriority w:val="0"/>
    <w:pPr>
      <w:keepNext/>
      <w:keepLines/>
      <w:numPr>
        <w:ilvl w:val="3"/>
        <w:numId w:val="1"/>
      </w:numPr>
      <w:spacing w:line="540" w:lineRule="atLeast"/>
      <w:outlineLvl w:val="3"/>
    </w:pPr>
    <w:rPr>
      <w:sz w:val="28"/>
      <w:szCs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djustRightInd w:val="0"/>
      <w:spacing w:line="312" w:lineRule="atLeast"/>
      <w:ind w:firstLine="420"/>
      <w:textAlignment w:val="baseline"/>
    </w:pPr>
    <w:rPr>
      <w:rFonts w:ascii="仿宋_GB2312"/>
      <w:b/>
      <w:kern w:val="0"/>
      <w:szCs w:val="32"/>
    </w:rPr>
  </w:style>
  <w:style w:type="paragraph" w:styleId="5">
    <w:name w:val="Body Text"/>
    <w:basedOn w:val="1"/>
    <w:next w:val="1"/>
    <w:qFormat/>
    <w:uiPriority w:val="0"/>
    <w:pPr>
      <w:spacing w:after="120" w:afterLines="0"/>
    </w:pPr>
  </w:style>
  <w:style w:type="paragraph" w:styleId="6">
    <w:name w:val="Body Text Indent"/>
    <w:basedOn w:val="1"/>
    <w:next w:val="7"/>
    <w:autoRedefine/>
    <w:qFormat/>
    <w:uiPriority w:val="0"/>
    <w:pPr>
      <w:ind w:firstLine="555"/>
    </w:pPr>
  </w:style>
  <w:style w:type="paragraph" w:styleId="7">
    <w:name w:val="Body Text First Indent 2"/>
    <w:basedOn w:val="6"/>
    <w:autoRedefine/>
    <w:unhideWhenUsed/>
    <w:qFormat/>
    <w:uiPriority w:val="99"/>
    <w:pPr>
      <w:ind w:firstLine="420" w:firstLineChars="200"/>
    </w:pPr>
  </w:style>
  <w:style w:type="paragraph" w:styleId="8">
    <w:name w:val="Plain Text"/>
    <w:basedOn w:val="1"/>
    <w:qFormat/>
    <w:uiPriority w:val="0"/>
    <w:pPr>
      <w:spacing w:beforeLines="50" w:afterLines="50" w:line="400" w:lineRule="exact"/>
    </w:pPr>
    <w:rPr>
      <w:rFonts w:ascii="宋体" w:hAnsi="Courier New"/>
      <w:sz w:val="24"/>
    </w:rPr>
  </w:style>
  <w:style w:type="paragraph" w:styleId="9">
    <w:name w:val="Balloon Text"/>
    <w:basedOn w:val="1"/>
    <w:link w:val="16"/>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autoRedefine/>
    <w:qFormat/>
    <w:uiPriority w:val="0"/>
    <w:pPr>
      <w:ind w:firstLine="420" w:firstLineChars="100"/>
    </w:pPr>
    <w:rPr>
      <w:b/>
      <w:bCs/>
      <w:szCs w:val="24"/>
    </w:rPr>
  </w:style>
  <w:style w:type="character" w:styleId="15">
    <w:name w:val="Strong"/>
    <w:basedOn w:val="14"/>
    <w:autoRedefine/>
    <w:qFormat/>
    <w:uiPriority w:val="22"/>
    <w:rPr>
      <w:b/>
    </w:rPr>
  </w:style>
  <w:style w:type="character" w:customStyle="1" w:styleId="16">
    <w:name w:val="批注框文本 Char"/>
    <w:basedOn w:val="14"/>
    <w:link w:val="9"/>
    <w:autoRedefine/>
    <w:qFormat/>
    <w:uiPriority w:val="0"/>
    <w:rPr>
      <w:rFonts w:asciiTheme="minorHAnsi" w:hAnsiTheme="minorHAnsi" w:eastAsiaTheme="minorEastAsia" w:cstheme="minorBidi"/>
      <w:kern w:val="2"/>
      <w:sz w:val="18"/>
      <w:szCs w:val="18"/>
    </w:rPr>
  </w:style>
  <w:style w:type="character" w:customStyle="1" w:styleId="17">
    <w:name w:val="font31"/>
    <w:basedOn w:val="14"/>
    <w:autoRedefine/>
    <w:qFormat/>
    <w:uiPriority w:val="0"/>
    <w:rPr>
      <w:rFonts w:hint="eastAsia" w:ascii="宋体" w:hAnsi="宋体" w:eastAsia="宋体" w:cs="宋体"/>
      <w:color w:val="000000"/>
      <w:sz w:val="22"/>
      <w:szCs w:val="22"/>
      <w:u w:val="none"/>
    </w:rPr>
  </w:style>
  <w:style w:type="character" w:customStyle="1" w:styleId="18">
    <w:name w:val="font0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2620</Words>
  <Characters>2797</Characters>
  <Lines>1</Lines>
  <Paragraphs>1</Paragraphs>
  <TotalTime>1</TotalTime>
  <ScaleCrop>false</ScaleCrop>
  <LinksUpToDate>false</LinksUpToDate>
  <CharactersWithSpaces>2857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2024-10-18T03:31:10Z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