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rPr>
      </w:pPr>
      <w:r>
        <w:rPr>
          <w:rFonts w:hint="eastAsia"/>
          <w:b/>
          <w:bCs/>
          <w:sz w:val="36"/>
          <w:szCs w:val="36"/>
        </w:rPr>
        <w:t>采购</w:t>
      </w:r>
      <w:r>
        <w:rPr>
          <w:rFonts w:hint="eastAsia"/>
          <w:b/>
          <w:bCs/>
          <w:sz w:val="36"/>
          <w:szCs w:val="36"/>
          <w:lang w:val="en-US" w:eastAsia="zh-CN"/>
        </w:rPr>
        <w:t>内容及要求</w:t>
      </w:r>
    </w:p>
    <w:p>
      <w:pPr>
        <w:numPr>
          <w:ilvl w:val="0"/>
          <w:numId w:val="1"/>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4"/>
        </w:rPr>
        <w:t>项</w:t>
      </w:r>
      <w:r>
        <w:rPr>
          <w:rFonts w:hint="eastAsia" w:ascii="宋体" w:hAnsi="宋体" w:eastAsia="宋体" w:cs="宋体"/>
          <w:b/>
          <w:bCs/>
          <w:sz w:val="28"/>
          <w:szCs w:val="28"/>
        </w:rPr>
        <w:t>目名称：</w:t>
      </w:r>
      <w:r>
        <w:rPr>
          <w:rFonts w:hint="eastAsia" w:ascii="宋体" w:hAnsi="宋体" w:eastAsia="宋体" w:cs="宋体"/>
          <w:b/>
          <w:bCs/>
          <w:sz w:val="28"/>
          <w:szCs w:val="28"/>
          <w:lang w:val="en-US" w:eastAsia="zh-CN"/>
        </w:rPr>
        <w:t>一批办公家具采购</w:t>
      </w:r>
    </w:p>
    <w:p>
      <w:pPr>
        <w:pStyle w:val="2"/>
        <w:numPr>
          <w:ilvl w:val="0"/>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二、预算金额：95920元</w:t>
      </w:r>
    </w:p>
    <w:p>
      <w:pPr>
        <w:pStyle w:val="2"/>
        <w:spacing w:line="360" w:lineRule="auto"/>
        <w:ind w:firstLine="0" w:firstLineChars="0"/>
        <w:rPr>
          <w:rFonts w:hint="eastAsia" w:ascii="宋体" w:hAnsi="宋体" w:eastAsia="宋体" w:cs="宋体"/>
          <w:b/>
          <w:bCs/>
          <w:sz w:val="28"/>
          <w:szCs w:val="28"/>
          <w:u w:val="single"/>
        </w:rPr>
      </w:pPr>
      <w:r>
        <w:rPr>
          <w:rFonts w:hint="eastAsia" w:ascii="宋体" w:hAnsi="宋体" w:eastAsia="宋体" w:cs="宋体"/>
          <w:sz w:val="28"/>
          <w:szCs w:val="28"/>
          <w:u w:val="single"/>
          <w:lang w:val="en-US" w:eastAsia="zh-CN"/>
        </w:rPr>
        <w:t>▲</w:t>
      </w:r>
      <w:r>
        <w:rPr>
          <w:rFonts w:hint="eastAsia" w:ascii="宋体" w:hAnsi="宋体" w:eastAsia="宋体" w:cs="宋体"/>
          <w:b/>
          <w:bCs/>
          <w:sz w:val="28"/>
          <w:szCs w:val="28"/>
          <w:u w:val="single"/>
          <w:lang w:val="en-US" w:eastAsia="zh-CN"/>
        </w:rPr>
        <w:t>三</w:t>
      </w:r>
      <w:r>
        <w:rPr>
          <w:rFonts w:hint="eastAsia" w:ascii="宋体" w:hAnsi="宋体" w:eastAsia="宋体" w:cs="宋体"/>
          <w:b/>
          <w:bCs/>
          <w:sz w:val="28"/>
          <w:szCs w:val="28"/>
          <w:u w:val="single"/>
        </w:rPr>
        <w:t>、项目概况及要求：</w:t>
      </w:r>
    </w:p>
    <w:tbl>
      <w:tblPr>
        <w:tblStyle w:val="7"/>
        <w:tblW w:w="15765" w:type="dxa"/>
        <w:tblInd w:w="-39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7"/>
        <w:gridCol w:w="1181"/>
        <w:gridCol w:w="1921"/>
        <w:gridCol w:w="930"/>
        <w:gridCol w:w="831"/>
        <w:gridCol w:w="5340"/>
        <w:gridCol w:w="3447"/>
        <w:gridCol w:w="13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产品名称</w:t>
            </w:r>
          </w:p>
        </w:tc>
        <w:tc>
          <w:tcPr>
            <w:tcW w:w="1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规格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数量</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单位</w:t>
            </w:r>
          </w:p>
        </w:tc>
        <w:tc>
          <w:tcPr>
            <w:tcW w:w="5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具体要求</w:t>
            </w:r>
          </w:p>
        </w:tc>
        <w:tc>
          <w:tcPr>
            <w:tcW w:w="3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参考图片</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最高限价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9"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L型屏风桌</w:t>
            </w:r>
          </w:p>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（2人位）</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屏风包外尺寸：1660*4460*1200/1800</w:t>
            </w:r>
          </w:p>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单桌尺寸:</w:t>
            </w:r>
          </w:p>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1600*2200*760</w:t>
            </w:r>
          </w:p>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桌子宽度600mm</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3</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组</w:t>
            </w:r>
          </w:p>
        </w:tc>
        <w:tc>
          <w:tcPr>
            <w:tcW w:w="5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24"/>
                <w:szCs w:val="24"/>
                <w:u w:val="none"/>
                <w:lang w:eastAsia="zh-CN"/>
              </w:rPr>
            </w:pPr>
            <w:r>
              <w:rPr>
                <w:rFonts w:hint="eastAsia" w:ascii="宋体" w:hAnsi="宋体" w:eastAsia="宋体" w:cs="宋体"/>
                <w:b w:val="0"/>
                <w:bCs w:val="0"/>
                <w:i w:val="0"/>
                <w:iCs w:val="0"/>
                <w:color w:val="000000"/>
                <w:sz w:val="24"/>
                <w:szCs w:val="24"/>
                <w:u w:val="none"/>
                <w:lang w:eastAsia="zh-CN"/>
              </w:rPr>
              <w:t>1、基材：均选用E1级实木颗粒板，面板厚度≥35mm,其余板材厚度≥16mm。所有材料均经过防虫、防腐等化学处理，抗弯力强，不易变形；</w:t>
            </w:r>
          </w:p>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24"/>
                <w:szCs w:val="24"/>
                <w:u w:val="none"/>
                <w:lang w:eastAsia="zh-CN"/>
              </w:rPr>
            </w:pPr>
            <w:r>
              <w:rPr>
                <w:rFonts w:hint="eastAsia" w:ascii="宋体" w:hAnsi="宋体" w:eastAsia="宋体" w:cs="宋体"/>
                <w:b w:val="0"/>
                <w:bCs w:val="0"/>
                <w:i w:val="0"/>
                <w:iCs w:val="0"/>
                <w:color w:val="000000"/>
                <w:sz w:val="24"/>
                <w:szCs w:val="24"/>
                <w:u w:val="none"/>
                <w:lang w:eastAsia="zh-CN"/>
              </w:rPr>
              <w:t>2、面材：表面贴进口防火工艺，面板硬度高，不易磨花，具有防火性，纹理颜色一致，无结疤，无瑕疵。</w:t>
            </w:r>
          </w:p>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24"/>
                <w:szCs w:val="24"/>
                <w:u w:val="none"/>
                <w:lang w:eastAsia="zh-CN"/>
              </w:rPr>
            </w:pPr>
            <w:r>
              <w:rPr>
                <w:rFonts w:hint="eastAsia" w:ascii="宋体" w:hAnsi="宋体" w:eastAsia="宋体" w:cs="宋体"/>
                <w:b w:val="0"/>
                <w:bCs w:val="0"/>
                <w:i w:val="0"/>
                <w:iCs w:val="0"/>
                <w:color w:val="000000"/>
                <w:sz w:val="24"/>
                <w:szCs w:val="24"/>
                <w:u w:val="none"/>
                <w:lang w:eastAsia="zh-CN"/>
              </w:rPr>
              <w:t>3、封边：选用2mm同色PVC封边胶条，拉伸强度为42.6MPa，断裂伸长率196%，直角撕裂强度71KN/m。</w:t>
            </w:r>
          </w:p>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24"/>
                <w:szCs w:val="24"/>
                <w:u w:val="none"/>
                <w:lang w:eastAsia="zh-CN"/>
              </w:rPr>
            </w:pPr>
            <w:r>
              <w:rPr>
                <w:rFonts w:hint="eastAsia" w:ascii="宋体" w:hAnsi="宋体" w:eastAsia="宋体" w:cs="宋体"/>
                <w:b w:val="0"/>
                <w:bCs w:val="0"/>
                <w:i w:val="0"/>
                <w:iCs w:val="0"/>
                <w:color w:val="000000"/>
                <w:sz w:val="24"/>
                <w:szCs w:val="24"/>
                <w:u w:val="none"/>
                <w:lang w:eastAsia="zh-CN"/>
              </w:rPr>
              <w:t>4、屏风：白色铝合金型材框架，铝材壁厚达1.5mm以上；局部加强壁厚2.0mm，整装屏风厚度≥30mm。屏风饰面为：绒布、白玻、磨玻或实木颗粒板。</w:t>
            </w:r>
          </w:p>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24"/>
                <w:szCs w:val="24"/>
                <w:u w:val="none"/>
                <w:lang w:eastAsia="zh-CN"/>
              </w:rPr>
            </w:pPr>
            <w:r>
              <w:rPr>
                <w:rFonts w:hint="eastAsia" w:ascii="宋体" w:hAnsi="宋体" w:eastAsia="宋体" w:cs="宋体"/>
                <w:b w:val="0"/>
                <w:bCs w:val="0"/>
                <w:i w:val="0"/>
                <w:iCs w:val="0"/>
                <w:color w:val="000000"/>
                <w:sz w:val="24"/>
                <w:szCs w:val="24"/>
                <w:u w:val="none"/>
                <w:lang w:eastAsia="zh-CN"/>
              </w:rPr>
              <w:t>5、配置:3抽固定柜，主机拖，衣柜。</w:t>
            </w:r>
          </w:p>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24"/>
                <w:szCs w:val="24"/>
                <w:u w:val="none"/>
                <w:lang w:eastAsia="zh-CN"/>
              </w:rPr>
            </w:pPr>
            <w:r>
              <w:rPr>
                <w:rFonts w:hint="eastAsia" w:ascii="宋体" w:hAnsi="宋体" w:eastAsia="宋体" w:cs="宋体"/>
                <w:b w:val="0"/>
                <w:bCs w:val="0"/>
                <w:i w:val="0"/>
                <w:iCs w:val="0"/>
                <w:color w:val="000000"/>
                <w:sz w:val="24"/>
                <w:szCs w:val="24"/>
                <w:u w:val="none"/>
                <w:lang w:eastAsia="zh-CN"/>
              </w:rPr>
              <w:t>6、五金配件：采用广东优质五金配件。</w:t>
            </w:r>
          </w:p>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24"/>
                <w:szCs w:val="24"/>
                <w:u w:val="none"/>
                <w:lang w:eastAsia="zh-CN"/>
              </w:rPr>
            </w:pPr>
            <w:r>
              <w:rPr>
                <w:rFonts w:hint="eastAsia" w:ascii="宋体" w:hAnsi="宋体" w:eastAsia="宋体" w:cs="宋体"/>
                <w:b w:val="0"/>
                <w:bCs w:val="0"/>
                <w:i w:val="0"/>
                <w:iCs w:val="0"/>
                <w:color w:val="000000"/>
                <w:sz w:val="24"/>
                <w:szCs w:val="24"/>
                <w:u w:val="none"/>
                <w:lang w:eastAsia="zh-CN"/>
              </w:rPr>
              <w:t>7、颜色可选</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distribute"/>
              <w:rPr>
                <w:rFonts w:hint="eastAsia" w:ascii="宋体" w:hAnsi="宋体" w:eastAsia="宋体" w:cs="宋体"/>
                <w:b w:val="0"/>
                <w:bCs w:val="0"/>
                <w:i w:val="0"/>
                <w:iCs w:val="0"/>
                <w:color w:val="000000"/>
                <w:kern w:val="0"/>
                <w:sz w:val="24"/>
                <w:szCs w:val="24"/>
                <w:u w:val="none"/>
                <w:bdr w:val="single" w:color="000000" w:sz="4" w:space="0"/>
                <w:lang w:val="en-US" w:eastAsia="zh-CN" w:bidi="ar"/>
              </w:rPr>
            </w:pPr>
            <w:r>
              <w:rPr>
                <w:rFonts w:hint="eastAsia" w:ascii="宋体" w:hAnsi="宋体" w:eastAsia="宋体" w:cs="宋体"/>
                <w:b w:val="0"/>
                <w:bCs w:val="0"/>
                <w:sz w:val="24"/>
                <w:szCs w:val="24"/>
              </w:rPr>
              <mc:AlternateContent>
                <mc:Choice Requires="wps">
                  <w:drawing>
                    <wp:anchor distT="0" distB="0" distL="114300" distR="114300" simplePos="0" relativeHeight="251660288" behindDoc="0" locked="0" layoutInCell="1" allowOverlap="1">
                      <wp:simplePos x="0" y="0"/>
                      <wp:positionH relativeFrom="column">
                        <wp:posOffset>73025</wp:posOffset>
                      </wp:positionH>
                      <wp:positionV relativeFrom="paragraph">
                        <wp:posOffset>2086610</wp:posOffset>
                      </wp:positionV>
                      <wp:extent cx="1915795" cy="2215515"/>
                      <wp:effectExtent l="4445" t="4445" r="22860" b="8890"/>
                      <wp:wrapNone/>
                      <wp:docPr id="7" name="文本框 7"/>
                      <wp:cNvGraphicFramePr/>
                      <a:graphic xmlns:a="http://schemas.openxmlformats.org/drawingml/2006/main">
                        <a:graphicData uri="http://schemas.microsoft.com/office/word/2010/wordprocessingShape">
                          <wps:wsp>
                            <wps:cNvSpPr txBox="1"/>
                            <wps:spPr>
                              <a:xfrm>
                                <a:off x="7656195" y="4498975"/>
                                <a:ext cx="1915795" cy="2215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485265" cy="2202180"/>
                                        <wp:effectExtent l="0" t="0" r="635" b="762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
                                                <a:stretch>
                                                  <a:fillRect/>
                                                </a:stretch>
                                              </pic:blipFill>
                                              <pic:spPr>
                                                <a:xfrm>
                                                  <a:off x="0" y="0"/>
                                                  <a:ext cx="1485265" cy="220218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5pt;margin-top:164.3pt;height:174.45pt;width:150.85pt;z-index:251660288;mso-width-relative:page;mso-height-relative:page;" fillcolor="#FFFFFF [3201]" filled="t" stroked="t" coordsize="21600,21600" o:gfxdata="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ABk1NcAAAAKAQAADwAAAAAAAAABACAAAAAiAAAAZHJzL2Rvd25yZXYueG1sUEsBAhQA&#10;FAAAAAgAh07iQLQnfhplAgAAxAQAAA4AAAAAAAAAAQAgAAAAJgEAAGRycy9lMm9Eb2MueG1sUEsF&#10;BgAAAAAGAAYAWQEAAP0FAAAAAA==&#10;">
                      <v:fill on="t" focussize="0,0"/>
                      <v:stroke weight="0.5pt" color="#000000 [3204]" joinstyle="round"/>
                      <v:imagedata o:title=""/>
                      <o:lock v:ext="edit" aspectratio="f"/>
                      <v:textbox>
                        <w:txbxContent>
                          <w:p>
                            <w:r>
                              <w:drawing>
                                <wp:inline distT="0" distB="0" distL="114300" distR="114300">
                                  <wp:extent cx="1485265" cy="2202180"/>
                                  <wp:effectExtent l="0" t="0" r="635" b="762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
                                          <a:stretch>
                                            <a:fillRect/>
                                          </a:stretch>
                                        </pic:blipFill>
                                        <pic:spPr>
                                          <a:xfrm>
                                            <a:off x="0" y="0"/>
                                            <a:ext cx="1485265" cy="220218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val="0"/>
                <w:bCs w:val="0"/>
                <w:sz w:val="24"/>
                <w:szCs w:val="24"/>
              </w:rPr>
              <mc:AlternateContent>
                <mc:Choice Requires="wps">
                  <w:drawing>
                    <wp:anchor distT="0" distB="0" distL="114300" distR="114300" simplePos="0" relativeHeight="251659264" behindDoc="0" locked="0" layoutInCell="1" allowOverlap="1">
                      <wp:simplePos x="0" y="0"/>
                      <wp:positionH relativeFrom="column">
                        <wp:posOffset>120650</wp:posOffset>
                      </wp:positionH>
                      <wp:positionV relativeFrom="paragraph">
                        <wp:posOffset>264795</wp:posOffset>
                      </wp:positionV>
                      <wp:extent cx="1772920" cy="1605915"/>
                      <wp:effectExtent l="4445" t="4445" r="13335" b="8890"/>
                      <wp:wrapNone/>
                      <wp:docPr id="6" name="文本框 6"/>
                      <wp:cNvGraphicFramePr/>
                      <a:graphic xmlns:a="http://schemas.openxmlformats.org/drawingml/2006/main">
                        <a:graphicData uri="http://schemas.microsoft.com/office/word/2010/wordprocessingShape">
                          <wps:wsp>
                            <wps:cNvSpPr txBox="1"/>
                            <wps:spPr>
                              <a:xfrm>
                                <a:off x="7882255" y="2570480"/>
                                <a:ext cx="1772920" cy="1605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654175" cy="1324610"/>
                                        <wp:effectExtent l="0" t="0" r="3175" b="889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
                                                <a:srcRect t="6685"/>
                                                <a:stretch>
                                                  <a:fillRect/>
                                                </a:stretch>
                                              </pic:blipFill>
                                              <pic:spPr>
                                                <a:xfrm>
                                                  <a:off x="0" y="0"/>
                                                  <a:ext cx="1654175" cy="1324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pt;margin-top:20.85pt;height:126.45pt;width:139.6pt;z-index:251659264;mso-width-relative:page;mso-height-relative:page;" fillcolor="#FFFFFF [3201]" filled="t" stroked="t" coordsize="21600,21600" o:gfxdata="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rsNX1AAAAAkBAAAPAAAAAAAAAAEAIAAAACIAAABkcnMvZG93bnJldi54bWxQSwECFAAUAAAA&#10;CACHTuJA0JO1Y2QCAADEBAAADgAAAAAAAAABACAAAAAjAQAAZHJzL2Uyb0RvYy54bWxQSwUGAAAA&#10;AAYABgBZAQAA+QUAAAAA&#10;">
                      <v:fill on="t" focussize="0,0"/>
                      <v:stroke weight="0.5pt" color="#000000 [3204]" joinstyle="round"/>
                      <v:imagedata o:title=""/>
                      <o:lock v:ext="edit" aspectratio="f"/>
                      <v:textbox>
                        <w:txbxContent>
                          <w:p>
                            <w:r>
                              <w:drawing>
                                <wp:inline distT="0" distB="0" distL="114300" distR="114300">
                                  <wp:extent cx="1654175" cy="1324610"/>
                                  <wp:effectExtent l="0" t="0" r="3175" b="889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
                                          <a:srcRect t="6685"/>
                                          <a:stretch>
                                            <a:fillRect/>
                                          </a:stretch>
                                        </pic:blipFill>
                                        <pic:spPr>
                                          <a:xfrm>
                                            <a:off x="0" y="0"/>
                                            <a:ext cx="1654175" cy="1324610"/>
                                          </a:xfrm>
                                          <a:prstGeom prst="rect">
                                            <a:avLst/>
                                          </a:prstGeom>
                                        </pic:spPr>
                                      </pic:pic>
                                    </a:graphicData>
                                  </a:graphic>
                                </wp:inline>
                              </w:drawing>
                            </w:r>
                          </w:p>
                        </w:txbxContent>
                      </v:textbox>
                    </v:shape>
                  </w:pict>
                </mc:Fallback>
              </mc:AlternateConten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6380</w:t>
            </w:r>
            <w:r>
              <w:rPr>
                <w:rFonts w:hint="eastAsia" w:ascii="宋体" w:hAnsi="宋体" w:eastAsia="宋体" w:cs="宋体"/>
                <w:b w:val="0"/>
                <w:bCs w:val="0"/>
                <w:i w:val="0"/>
                <w:iCs w:val="0"/>
                <w:color w:val="000000"/>
                <w:kern w:val="0"/>
                <w:sz w:val="24"/>
                <w:szCs w:val="24"/>
                <w:u w:val="none"/>
                <w:lang w:val="en-US" w:eastAsia="zh-CN" w:bidi="ar"/>
              </w:rPr>
              <w:t>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2</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办公椅</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高背</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6</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张</w:t>
            </w:r>
          </w:p>
        </w:tc>
        <w:tc>
          <w:tcPr>
            <w:tcW w:w="5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1.优质网布</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2.PP+纤背</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3.40密度高弹力海棉</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4.PP+纤扶手</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5.一级原位锁定底盘</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6.三级气杆</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7.340塑胶脚</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8.60m黑轮</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854075" cy="1510030"/>
                  <wp:effectExtent l="0" t="0" r="3175" b="1397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6"/>
                          <a:stretch>
                            <a:fillRect/>
                          </a:stretch>
                        </pic:blipFill>
                        <pic:spPr>
                          <a:xfrm>
                            <a:off x="0" y="0"/>
                            <a:ext cx="854075" cy="1510030"/>
                          </a:xfrm>
                          <a:prstGeom prst="rect">
                            <a:avLst/>
                          </a:prstGeom>
                          <a:noFill/>
                          <a:ln w="9525">
                            <a:noFill/>
                          </a:ln>
                        </pic:spPr>
                      </pic:pic>
                    </a:graphicData>
                  </a:graphic>
                </wp:inline>
              </w:drawing>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3</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文件柜</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800*400*2000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6</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组</w:t>
            </w:r>
          </w:p>
        </w:tc>
        <w:tc>
          <w:tcPr>
            <w:tcW w:w="5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1、基材：均选用E1级实木颗粒板，面板厚度≥25mm,其余板材厚度≥16mm。所有材料均经过防虫、防腐等化学处理，抗弯力强，不易变形；</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2、面材：表面贴进口防火工艺，面板硬度高，不易磨花，具有防火性，纹理颜色一致，无结疤，无瑕疵。</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3、封边：选用2mm同色PVC封边胶条，拉伸强度为42.6MPa，断裂伸长率196%，直角撕裂强度71KN/m。</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4、五金配件：采用广东优质五金配件。</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5、颜色可选</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1184275" cy="1657350"/>
                  <wp:effectExtent l="0" t="0" r="0" b="0"/>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pic:cNvPicPr>
                            <a:picLocks noChangeAspect="1"/>
                          </pic:cNvPicPr>
                        </pic:nvPicPr>
                        <pic:blipFill>
                          <a:blip r:embed="rId7"/>
                          <a:srcRect t="4618" b="3953"/>
                          <a:stretch>
                            <a:fillRect/>
                          </a:stretch>
                        </pic:blipFill>
                        <pic:spPr>
                          <a:xfrm>
                            <a:off x="0" y="0"/>
                            <a:ext cx="1184275" cy="1657350"/>
                          </a:xfrm>
                          <a:prstGeom prst="rect">
                            <a:avLst/>
                          </a:prstGeom>
                          <a:noFill/>
                          <a:ln w="9525">
                            <a:noFill/>
                          </a:ln>
                        </pic:spPr>
                      </pic:pic>
                    </a:graphicData>
                  </a:graphic>
                </wp:inline>
              </w:drawing>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1100元/组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4</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会客椅</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常规</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12</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张</w:t>
            </w:r>
          </w:p>
        </w:tc>
        <w:tc>
          <w:tcPr>
            <w:tcW w:w="5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spacing w:line="360" w:lineRule="auto"/>
              <w:ind w:left="0" w:leftChars="0" w:firstLine="0" w:firstLineChars="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1.优质网布</w:t>
            </w:r>
          </w:p>
          <w:p>
            <w:pPr>
              <w:pStyle w:val="2"/>
              <w:spacing w:line="360" w:lineRule="auto"/>
              <w:ind w:left="0" w:leftChars="0" w:firstLine="0" w:firstLineChars="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2.PP+纤背</w:t>
            </w:r>
          </w:p>
          <w:p>
            <w:pPr>
              <w:pStyle w:val="2"/>
              <w:spacing w:line="360" w:lineRule="auto"/>
              <w:ind w:left="0" w:leftChars="0" w:firstLine="0" w:firstLineChars="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3.40密度高弹力海棉</w:t>
            </w:r>
          </w:p>
          <w:p>
            <w:pPr>
              <w:pStyle w:val="2"/>
              <w:spacing w:line="360" w:lineRule="auto"/>
              <w:ind w:left="0" w:leftChars="0" w:firstLine="0" w:firstLineChars="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4</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rPr>
              <w:t>四脚椅带扶手，电镀脚架</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1190625" cy="1585595"/>
                  <wp:effectExtent l="0" t="0" r="9525" b="1460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8"/>
                          <a:stretch>
                            <a:fillRect/>
                          </a:stretch>
                        </pic:blipFill>
                        <pic:spPr>
                          <a:xfrm>
                            <a:off x="0" y="0"/>
                            <a:ext cx="1190625" cy="1585595"/>
                          </a:xfrm>
                          <a:prstGeom prst="rect">
                            <a:avLst/>
                          </a:prstGeom>
                          <a:noFill/>
                          <a:ln w="9525">
                            <a:noFill/>
                          </a:ln>
                        </pic:spPr>
                      </pic:pic>
                    </a:graphicData>
                  </a:graphic>
                </wp:inline>
              </w:drawing>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240元/张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6"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5</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屏风工作位</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ind w:left="0" w:leftChars="0" w:firstLine="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1400*600*760/1400</w:t>
            </w:r>
          </w:p>
          <w:p>
            <w:pPr>
              <w:pStyle w:val="2"/>
              <w:ind w:left="0" w:leftChars="0" w:firstLine="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桌面高760mm，</w:t>
            </w:r>
          </w:p>
          <w:p>
            <w:pPr>
              <w:pStyle w:val="2"/>
              <w:ind w:left="0" w:leftChars="0" w:firstLine="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屏风高1400mm</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3</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张</w:t>
            </w:r>
          </w:p>
        </w:tc>
        <w:tc>
          <w:tcPr>
            <w:tcW w:w="5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1、基材：均选用E1级实木颗粒板，面板厚度≥35mm,其余板材厚度≥16mm。所有材料均经过防虫、防腐等化学处理，抗弯力强，不易变形；</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2、面材：表面贴进口防火工艺，面板硬度高，不易磨花，具有防火性，纹理颜色一致，无结疤，无瑕疵。</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3、封边：选用2mm同色PVC封边胶条，拉伸强度为42.6MPa，断裂伸长率196%，直角撕裂强度71KN/m。</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4、屏风：白色铝合金材质框架，壁厚≥1.5mm以上；整装屏风厚度≥30mm，桌上为5mm磨砂或实木颗粒板+实木颗粒板结合。</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5、配置:3抽活动柜，主机拖。</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6、五金配件：采用广东优质五金配件。</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7、颜色可选</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1384300" cy="1622425"/>
                  <wp:effectExtent l="0" t="0" r="6350" b="158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9"/>
                          <a:stretch>
                            <a:fillRect/>
                          </a:stretch>
                        </pic:blipFill>
                        <pic:spPr>
                          <a:xfrm>
                            <a:off x="0" y="0"/>
                            <a:ext cx="1384300" cy="1622425"/>
                          </a:xfrm>
                          <a:prstGeom prst="rect">
                            <a:avLst/>
                          </a:prstGeom>
                          <a:noFill/>
                          <a:ln w="9525">
                            <a:noFill/>
                          </a:ln>
                        </pic:spPr>
                      </pic:pic>
                    </a:graphicData>
                  </a:graphic>
                </wp:inline>
              </w:drawing>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2480元/张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6</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办公椅</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ind w:left="0" w:leftChars="0" w:firstLine="0" w:firstLine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中背</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3</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张</w:t>
            </w:r>
          </w:p>
        </w:tc>
        <w:tc>
          <w:tcPr>
            <w:tcW w:w="534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1.优质网布</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2.PP+纤背，有腰靠</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3..50密度高弹力定型海棉</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4.PP+纤扶手</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5.中班蝴蝶底盘，原位锁定功能</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6.三级气杆</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7.310塑胶脚</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8.50MM尼龙轮</w:t>
            </w:r>
          </w:p>
        </w:tc>
        <w:tc>
          <w:tcPr>
            <w:tcW w:w="3447"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1376045" cy="1552575"/>
                  <wp:effectExtent l="0" t="0" r="14605" b="952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0"/>
                          <a:stretch>
                            <a:fillRect/>
                          </a:stretch>
                        </pic:blipFill>
                        <pic:spPr>
                          <a:xfrm>
                            <a:off x="0" y="0"/>
                            <a:ext cx="1376045" cy="1552575"/>
                          </a:xfrm>
                          <a:prstGeom prst="rect">
                            <a:avLst/>
                          </a:prstGeom>
                          <a:noFill/>
                          <a:ln w="9525">
                            <a:noFill/>
                          </a:ln>
                        </pic:spPr>
                      </pic:pic>
                    </a:graphicData>
                  </a:graphic>
                </wp:inline>
              </w:drawing>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320元/张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9"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7</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4人位</w:t>
            </w:r>
          </w:p>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自习桌</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ind w:left="0" w:leftChars="0" w:firstLine="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1600*1200*760+1600*600*1040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4</w:t>
            </w:r>
          </w:p>
        </w:tc>
        <w:tc>
          <w:tcPr>
            <w:tcW w:w="831"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组</w:t>
            </w:r>
          </w:p>
        </w:tc>
        <w:tc>
          <w:tcPr>
            <w:tcW w:w="53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1、基材：均选用E1级实木颗粒板，面板厚度≥25mm,其余板材厚度≥16mm。所有材料均经过防虫、防腐等化学处理，抗弯力强，不易变形；</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2、面材：表面贴进口防火工艺，面板硬度高，不易磨花，具有防火性，纹理颜色一致，无结疤，无瑕疵。</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3、封边：选用2mm同色PVC封边胶条，拉伸强度为42.6MPa，断裂伸长率196%，直角撕裂强度71KN/m。</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4、五金配件：采用广东优质五金配件。</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5、颜色可选</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注：上柜加木门。</w:t>
            </w:r>
          </w:p>
        </w:tc>
        <w:tc>
          <w:tcPr>
            <w:tcW w:w="34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2067560" cy="2352675"/>
                  <wp:effectExtent l="0" t="0" r="8890" b="952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1"/>
                          <a:srcRect t="17679"/>
                          <a:stretch>
                            <a:fillRect/>
                          </a:stretch>
                        </pic:blipFill>
                        <pic:spPr>
                          <a:xfrm>
                            <a:off x="0" y="0"/>
                            <a:ext cx="2067560" cy="2352675"/>
                          </a:xfrm>
                          <a:prstGeom prst="rect">
                            <a:avLst/>
                          </a:prstGeom>
                          <a:noFill/>
                          <a:ln w="9525">
                            <a:noFill/>
                          </a:ln>
                        </pic:spPr>
                      </pic:pic>
                    </a:graphicData>
                  </a:graphic>
                </wp:inline>
              </w:drawing>
            </w:r>
          </w:p>
        </w:tc>
        <w:tc>
          <w:tcPr>
            <w:tcW w:w="139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4200元/组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9"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8</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2人位</w:t>
            </w:r>
          </w:p>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自习桌</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ind w:left="0" w:leftChars="0" w:firstLine="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1600*600*760+1600*300*1040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2</w:t>
            </w:r>
          </w:p>
        </w:tc>
        <w:tc>
          <w:tcPr>
            <w:tcW w:w="831"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组</w:t>
            </w:r>
          </w:p>
        </w:tc>
        <w:tc>
          <w:tcPr>
            <w:tcW w:w="5340" w:type="dxa"/>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3447"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sz w:val="24"/>
                <w:szCs w:val="24"/>
              </w:rPr>
            </w:pPr>
          </w:p>
        </w:tc>
        <w:tc>
          <w:tcPr>
            <w:tcW w:w="139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2380元/组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9"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9</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自习椅</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ind w:left="0" w:leftChars="0" w:firstLine="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480*530*830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20</w:t>
            </w:r>
          </w:p>
        </w:tc>
        <w:tc>
          <w:tcPr>
            <w:tcW w:w="831"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张</w:t>
            </w:r>
          </w:p>
        </w:tc>
        <w:tc>
          <w:tcPr>
            <w:tcW w:w="5340" w:type="dxa"/>
            <w:tcBorders>
              <w:top w:val="single" w:color="auto" w:sz="4" w:space="0"/>
              <w:left w:val="single" w:color="auto"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1.优质网布</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2.PP+纤背</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3.40密度高弹力海棉</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4.16管2.0厚精抛电镀或喷涂椅架</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5.颜色可选</w:t>
            </w:r>
          </w:p>
        </w:tc>
        <w:tc>
          <w:tcPr>
            <w:tcW w:w="3447" w:type="dxa"/>
            <w:tcBorders>
              <w:top w:val="single" w:color="auto" w:sz="4" w:space="0"/>
              <w:left w:val="single" w:color="000000"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1216660" cy="1687830"/>
                  <wp:effectExtent l="0" t="0" r="2540"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2"/>
                          <a:stretch>
                            <a:fillRect/>
                          </a:stretch>
                        </pic:blipFill>
                        <pic:spPr>
                          <a:xfrm>
                            <a:off x="0" y="0"/>
                            <a:ext cx="1216660" cy="1687830"/>
                          </a:xfrm>
                          <a:prstGeom prst="rect">
                            <a:avLst/>
                          </a:prstGeom>
                          <a:noFill/>
                          <a:ln w="9525">
                            <a:noFill/>
                          </a:ln>
                        </pic:spPr>
                      </pic:pic>
                    </a:graphicData>
                  </a:graphic>
                </wp:inline>
              </w:drawing>
            </w:r>
          </w:p>
        </w:tc>
        <w:tc>
          <w:tcPr>
            <w:tcW w:w="139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9"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10</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条桌</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ind w:left="0" w:leftChars="0" w:firstLine="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1400*500*760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21</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张</w:t>
            </w:r>
          </w:p>
        </w:tc>
        <w:tc>
          <w:tcPr>
            <w:tcW w:w="534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sz w:val="21"/>
                <w:szCs w:val="21"/>
                <w:u w:val="none"/>
              </w:rPr>
              <w:t>1.钢架托板：采用优质高精度一级冷轧钢板和钢管组合焊接成型，两边托板为冷轧钢板冲压成型385*80，壁厚1.4mm，两条方形钢管25*25，壁厚0.7mm，表面采用防锈静电喷涂处理，实用牢固，承受力大。</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sz w:val="21"/>
                <w:szCs w:val="21"/>
                <w:u w:val="none"/>
              </w:rPr>
              <w:t>2.折叠机构：采用开关轴勾和弹簧及塑料件组成控制，由壁厚2.5mm冷轧钢板冲压件和圆形钢管Ø16*0.7mm组合焊接，只需轻轻按压开关轴两头的塑料小把手便可折叠，表面采用防锈静电喷涂处理，实用牢固，承受力大。（开关轴长度跟随定制尺寸变化）</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sz w:val="21"/>
                <w:szCs w:val="21"/>
                <w:u w:val="none"/>
              </w:rPr>
              <w:t>3.台脚：采用塑胶配件、优质高精度一级冷轧钢板和钢管组合焊接成型，支撑片为壁厚2.5mm冷轧钢板冲压成型，长脚管采用蛋形钢管660*30*60，壁厚1.0mm，底脚采用蛋形钢管460*30*60，壁厚1.0mm，表面采用防锈静电喷涂处理，实用牢固，承受力大。</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sz w:val="21"/>
                <w:szCs w:val="21"/>
                <w:u w:val="none"/>
              </w:rPr>
              <w:t>4.拉杆：采用优质高精度一级冷轧钢板及钢管组合焊接成型，支撑盖为壁厚1.4mm冷轧钢板冲压成型，横梁为蛋形钢管25*50，壁厚0.8mm，表面经防锈静电喷涂处理，实用牢固，承受力大。（拉杆长度跟随定制尺寸变化）</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sz w:val="21"/>
                <w:szCs w:val="21"/>
                <w:u w:val="none"/>
              </w:rPr>
              <w:t>5.书网：书网采用塑胶配件、优质高精度一级冷轧钢板及圆管组合焊接成型，层板为194*15，壁厚0.7mm，冲孔折弯，圆形钢管Ø16，壁厚0.7mm，表面采用防锈静电喷涂处理，实用牢固，承受力大。(书网长度跟随定制尺寸变化）</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sz w:val="21"/>
                <w:szCs w:val="21"/>
                <w:u w:val="none"/>
              </w:rPr>
              <w:t xml:space="preserve">6.板材：采用优质三聚氰胺饰面，E1级刨花板基材，经过防虫、防潮、防腐处理，表面防刮耐磨。台面厚度25mm，档板厚度15mm，PVC胶边，防火、耐磨、防污、牢固耐用。                        </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1"/>
                <w:szCs w:val="21"/>
                <w:u w:val="none"/>
              </w:rPr>
              <w:t>7.环保要求：产品通过针对桌体钣金、桌面木板（含涂层）等部件甲醛释放量、重金属含量等9项有害物质的检测，其中产品重金属、甲醛、符合《GB/T 3325-2017》检验标准，提供合法有效的、网络可查的检测报告并加盖公章，提供合法来源渠道证明材料和售后支持服务证明</w:t>
            </w:r>
            <w:r>
              <w:rPr>
                <w:rFonts w:hint="eastAsia" w:ascii="宋体" w:hAnsi="宋体" w:eastAsia="宋体" w:cs="宋体"/>
                <w:b w:val="0"/>
                <w:bCs w:val="0"/>
                <w:i w:val="0"/>
                <w:iCs w:val="0"/>
                <w:color w:val="000000"/>
                <w:sz w:val="24"/>
                <w:szCs w:val="24"/>
                <w:u w:val="none"/>
              </w:rPr>
              <w:t>。</w:t>
            </w:r>
          </w:p>
        </w:tc>
        <w:tc>
          <w:tcPr>
            <w:tcW w:w="3447"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1433195" cy="1458595"/>
                  <wp:effectExtent l="0" t="0" r="14605"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1433195" cy="1458595"/>
                          </a:xfrm>
                          <a:prstGeom prst="rect">
                            <a:avLst/>
                          </a:prstGeom>
                          <a:noFill/>
                          <a:ln w="9525">
                            <a:noFill/>
                          </a:ln>
                        </pic:spPr>
                      </pic:pic>
                    </a:graphicData>
                  </a:graphic>
                </wp:inline>
              </w:drawing>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4"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11</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会议椅</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ind w:left="0" w:leftChars="0" w:firstLine="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600*560*990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42</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张</w:t>
            </w:r>
          </w:p>
        </w:tc>
        <w:tc>
          <w:tcPr>
            <w:tcW w:w="534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1.优质网布</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2.PP+纤背</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3.40密度高弹力海棉</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5.25管2.0圆管架</w:t>
            </w:r>
          </w:p>
        </w:tc>
        <w:tc>
          <w:tcPr>
            <w:tcW w:w="3447"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1291590" cy="1457325"/>
                  <wp:effectExtent l="0" t="0" r="3810"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4"/>
                          <a:stretch>
                            <a:fillRect/>
                          </a:stretch>
                        </pic:blipFill>
                        <pic:spPr>
                          <a:xfrm>
                            <a:off x="0" y="0"/>
                            <a:ext cx="1291590" cy="1457325"/>
                          </a:xfrm>
                          <a:prstGeom prst="rect">
                            <a:avLst/>
                          </a:prstGeom>
                          <a:noFill/>
                          <a:ln w="9525">
                            <a:noFill/>
                          </a:ln>
                        </pic:spPr>
                      </pic:pic>
                    </a:graphicData>
                  </a:graphic>
                </wp:inline>
              </w:drawing>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320元/张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12</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茶水柜</w:t>
            </w:r>
          </w:p>
        </w:tc>
        <w:tc>
          <w:tcPr>
            <w:tcW w:w="1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ind w:left="0" w:leftChars="0" w:firstLine="0" w:firstLineChars="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1200*450*880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2</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组</w:t>
            </w:r>
          </w:p>
        </w:tc>
        <w:tc>
          <w:tcPr>
            <w:tcW w:w="534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1、基材：均选用E1级实木颗粒板，面板厚度≥25mm,其余板材厚度≥16mm。所有材料均经过防虫、防腐等化学处理，抗弯力强，不易变形；</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2、面材：表面贴进口防火工艺，面板硬度高，不易磨花，具有防火性，纹理颜色一致，无结疤，无瑕疵。</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3、封边：选用2mm同色PVC封边胶条，拉伸强度为42.6MPa，断裂伸长率196%，直角撕裂强度71KN/m。</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4、五金配件：采用广东优质五金配件。</w:t>
            </w:r>
          </w:p>
          <w:p>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5、颜色可选</w:t>
            </w:r>
          </w:p>
        </w:tc>
        <w:tc>
          <w:tcPr>
            <w:tcW w:w="3447"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1411605" cy="1290320"/>
                  <wp:effectExtent l="0" t="0" r="17145" b="508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5"/>
                          <a:stretch>
                            <a:fillRect/>
                          </a:stretch>
                        </pic:blipFill>
                        <pic:spPr>
                          <a:xfrm>
                            <a:off x="0" y="0"/>
                            <a:ext cx="1411605" cy="1290320"/>
                          </a:xfrm>
                          <a:prstGeom prst="rect">
                            <a:avLst/>
                          </a:prstGeom>
                          <a:noFill/>
                          <a:ln w="9525">
                            <a:noFill/>
                          </a:ln>
                        </pic:spPr>
                      </pic:pic>
                    </a:graphicData>
                  </a:graphic>
                </wp:inline>
              </w:drawing>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1100元/组</w:t>
            </w:r>
          </w:p>
        </w:tc>
      </w:tr>
    </w:tbl>
    <w:p>
      <w:pPr>
        <w:pStyle w:val="2"/>
        <w:spacing w:line="360" w:lineRule="auto"/>
        <w:ind w:firstLine="0" w:firstLineChars="0"/>
        <w:rPr>
          <w:rFonts w:hint="eastAsia" w:ascii="宋体" w:hAnsi="宋体" w:eastAsia="宋体" w:cs="宋体"/>
          <w:b/>
          <w:bCs/>
          <w:sz w:val="24"/>
          <w:lang w:val="en-US" w:eastAsia="zh-CN"/>
        </w:rPr>
      </w:pPr>
      <w:r>
        <w:rPr>
          <w:rFonts w:hint="eastAsia" w:ascii="宋体" w:hAnsi="宋体" w:eastAsia="宋体" w:cs="宋体"/>
          <w:sz w:val="24"/>
          <w:lang w:val="en-US" w:eastAsia="zh-CN"/>
        </w:rPr>
        <w:t>注：</w:t>
      </w:r>
      <w:r>
        <w:rPr>
          <w:rFonts w:hint="eastAsia" w:ascii="宋体" w:hAnsi="宋体" w:eastAsia="宋体" w:cs="宋体"/>
          <w:b/>
          <w:bCs/>
          <w:sz w:val="24"/>
          <w:lang w:val="en-US" w:eastAsia="zh-CN"/>
        </w:rPr>
        <w:t>1、以上各产品规格尺寸仅做参考，具体以现场实际测量为准。</w:t>
      </w:r>
    </w:p>
    <w:p>
      <w:pPr>
        <w:pStyle w:val="2"/>
        <w:numPr>
          <w:ilvl w:val="0"/>
          <w:numId w:val="2"/>
        </w:numPr>
        <w:spacing w:line="360" w:lineRule="auto"/>
        <w:ind w:left="480" w:leftChars="0" w:firstLine="0" w:firstLineChars="0"/>
        <w:rPr>
          <w:rFonts w:hint="eastAsia" w:ascii="宋体" w:hAnsi="宋体" w:eastAsia="宋体" w:cs="宋体"/>
          <w:b/>
          <w:bCs/>
          <w:sz w:val="24"/>
          <w:u w:val="none"/>
          <w:lang w:val="en-US" w:eastAsia="zh-CN"/>
        </w:rPr>
      </w:pPr>
      <w:r>
        <w:rPr>
          <w:rFonts w:hint="eastAsia" w:ascii="宋体" w:hAnsi="宋体" w:eastAsia="宋体" w:cs="宋体"/>
          <w:b/>
          <w:bCs/>
          <w:sz w:val="24"/>
          <w:u w:val="none"/>
          <w:lang w:val="en-US" w:eastAsia="zh-CN"/>
        </w:rPr>
        <w:t>投标人超过预算金额的投标报价将作无效标处理。</w:t>
      </w:r>
    </w:p>
    <w:p>
      <w:pPr>
        <w:pStyle w:val="2"/>
        <w:numPr>
          <w:numId w:val="0"/>
        </w:numPr>
        <w:spacing w:line="360" w:lineRule="auto"/>
        <w:ind w:left="480" w:leftChars="0"/>
        <w:rPr>
          <w:rFonts w:hint="default" w:ascii="宋体" w:hAnsi="宋体" w:eastAsia="宋体" w:cs="宋体"/>
          <w:b/>
          <w:bCs/>
          <w:sz w:val="24"/>
          <w:u w:val="none"/>
          <w:lang w:val="en-US" w:eastAsia="zh-CN"/>
        </w:rPr>
      </w:pPr>
    </w:p>
    <w:p>
      <w:pPr>
        <w:pStyle w:val="2"/>
        <w:numPr>
          <w:ilvl w:val="0"/>
          <w:numId w:val="0"/>
        </w:numPr>
        <w:spacing w:line="360" w:lineRule="auto"/>
        <w:rPr>
          <w:rFonts w:hint="eastAsia" w:ascii="宋体" w:hAnsi="宋体" w:eastAsia="宋体" w:cs="宋体"/>
          <w:b/>
          <w:bCs/>
          <w:sz w:val="28"/>
          <w:szCs w:val="28"/>
          <w:u w:val="single"/>
          <w:lang w:val="en-US" w:eastAsia="zh-CN"/>
        </w:rPr>
      </w:pPr>
      <w:r>
        <w:rPr>
          <w:rFonts w:hint="eastAsia" w:ascii="宋体" w:hAnsi="宋体" w:eastAsia="宋体" w:cs="宋体"/>
          <w:sz w:val="28"/>
          <w:szCs w:val="28"/>
          <w:u w:val="single"/>
          <w:lang w:val="en-US" w:eastAsia="zh-CN"/>
        </w:rPr>
        <w:t>▲</w:t>
      </w:r>
      <w:r>
        <w:rPr>
          <w:rFonts w:hint="eastAsia" w:ascii="宋体" w:hAnsi="宋体" w:eastAsia="宋体" w:cs="宋体"/>
          <w:b/>
          <w:bCs/>
          <w:sz w:val="28"/>
          <w:szCs w:val="28"/>
          <w:u w:val="single"/>
          <w:lang w:val="en-US" w:eastAsia="zh-CN"/>
        </w:rPr>
        <w:t>四、付款方式：</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全部货物交付完毕并经最终验收合格后，乙方向甲方开具与合同同等金额的发票，甲方在收到发票后</w:t>
      </w:r>
      <w:r>
        <w:rPr>
          <w:rFonts w:hint="eastAsia" w:ascii="宋体" w:hAnsi="宋体" w:eastAsia="宋体" w:cs="宋体"/>
          <w:b/>
          <w:bCs/>
          <w:sz w:val="28"/>
          <w:szCs w:val="28"/>
          <w:u w:val="single"/>
          <w:lang w:val="en-US" w:eastAsia="zh-CN"/>
        </w:rPr>
        <w:t xml:space="preserve">90天 </w:t>
      </w:r>
      <w:r>
        <w:rPr>
          <w:rFonts w:hint="eastAsia" w:ascii="宋体" w:hAnsi="宋体" w:eastAsia="宋体" w:cs="宋体"/>
          <w:sz w:val="28"/>
          <w:szCs w:val="28"/>
          <w:lang w:val="en-US" w:eastAsia="zh-CN"/>
        </w:rPr>
        <w:t>内向乙方支付全部合同价款。</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p>
    <w:p>
      <w:pPr>
        <w:pStyle w:val="2"/>
        <w:numPr>
          <w:ilvl w:val="0"/>
          <w:numId w:val="0"/>
        </w:numPr>
        <w:spacing w:line="360" w:lineRule="auto"/>
        <w:ind w:firstLine="560" w:firstLineChars="200"/>
        <w:rPr>
          <w:rFonts w:hint="eastAsia" w:ascii="宋体" w:hAnsi="宋体" w:eastAsia="宋体" w:cs="宋体"/>
          <w:sz w:val="28"/>
          <w:szCs w:val="28"/>
          <w:lang w:val="en-US" w:eastAsia="zh-CN"/>
        </w:rPr>
      </w:pPr>
    </w:p>
    <w:p>
      <w:pPr>
        <w:pStyle w:val="2"/>
        <w:numPr>
          <w:ilvl w:val="0"/>
          <w:numId w:val="0"/>
        </w:numPr>
        <w:spacing w:line="360" w:lineRule="auto"/>
        <w:ind w:leftChars="0"/>
        <w:rPr>
          <w:rFonts w:hint="eastAsia" w:ascii="宋体" w:hAnsi="宋体" w:eastAsia="宋体" w:cs="宋体"/>
          <w:b/>
          <w:bCs/>
          <w:sz w:val="28"/>
          <w:szCs w:val="28"/>
          <w:u w:val="single"/>
          <w:lang w:val="en-US" w:eastAsia="zh-CN"/>
        </w:rPr>
      </w:pPr>
      <w:r>
        <w:rPr>
          <w:rFonts w:hint="eastAsia" w:ascii="宋体" w:hAnsi="宋体" w:eastAsia="宋体" w:cs="宋体"/>
          <w:sz w:val="28"/>
          <w:szCs w:val="28"/>
          <w:u w:val="single"/>
          <w:lang w:val="en-US" w:eastAsia="zh-CN"/>
        </w:rPr>
        <w:t>▲</w:t>
      </w:r>
      <w:r>
        <w:rPr>
          <w:rFonts w:hint="eastAsia" w:ascii="宋体" w:hAnsi="宋体" w:eastAsia="宋体" w:cs="宋体"/>
          <w:b/>
          <w:bCs/>
          <w:sz w:val="28"/>
          <w:szCs w:val="28"/>
          <w:u w:val="single"/>
          <w:lang w:val="en-US" w:eastAsia="zh-CN"/>
        </w:rPr>
        <w:t>五、货物质量保证和标准</w:t>
      </w:r>
    </w:p>
    <w:p>
      <w:pPr>
        <w:pStyle w:val="2"/>
        <w:numPr>
          <w:ilvl w:val="0"/>
          <w:numId w:val="0"/>
        </w:numPr>
        <w:spacing w:line="360" w:lineRule="auto"/>
        <w:ind w:firstLine="560" w:firstLineChars="200"/>
        <w:rPr>
          <w:rFonts w:hint="eastAsia" w:ascii="宋体" w:hAnsi="宋体" w:eastAsia="宋体" w:cs="宋体"/>
          <w:b w:val="0"/>
          <w:bCs w:val="0"/>
          <w:sz w:val="28"/>
          <w:szCs w:val="28"/>
          <w:u w:val="single"/>
          <w:lang w:val="en-US" w:eastAsia="zh-CN"/>
        </w:rPr>
      </w:pPr>
      <w:r>
        <w:rPr>
          <w:rFonts w:hint="eastAsia" w:ascii="宋体" w:hAnsi="宋体" w:eastAsia="宋体" w:cs="宋体"/>
          <w:b w:val="0"/>
          <w:bCs w:val="0"/>
          <w:sz w:val="28"/>
          <w:szCs w:val="28"/>
          <w:u w:val="single"/>
          <w:lang w:val="en-US" w:eastAsia="zh-CN"/>
        </w:rPr>
        <w:t xml:space="preserve">1、本项目所有产品应提供自货物验收合格并交付使用后 </w:t>
      </w:r>
      <w:r>
        <w:rPr>
          <w:rFonts w:hint="eastAsia" w:ascii="宋体" w:hAnsi="宋体" w:eastAsia="宋体" w:cs="宋体"/>
          <w:b/>
          <w:bCs/>
          <w:sz w:val="28"/>
          <w:szCs w:val="28"/>
          <w:u w:val="single"/>
          <w:lang w:val="en-US" w:eastAsia="zh-CN"/>
        </w:rPr>
        <w:t xml:space="preserve">至少 3年 </w:t>
      </w:r>
      <w:r>
        <w:rPr>
          <w:rFonts w:hint="eastAsia" w:ascii="宋体" w:hAnsi="宋体" w:eastAsia="宋体" w:cs="宋体"/>
          <w:b w:val="0"/>
          <w:bCs w:val="0"/>
          <w:sz w:val="28"/>
          <w:szCs w:val="28"/>
          <w:u w:val="single"/>
          <w:lang w:val="en-US" w:eastAsia="zh-CN"/>
        </w:rPr>
        <w:t>的现场免费质保期，如厂商本身承诺的产品质保期高于此要求的则按照厂商承诺执行。在质量保证期内，卖方对由于产品设计、工艺、材料、配套件的缺陷而造成的任何产品质量问题或故障负责。</w:t>
      </w:r>
    </w:p>
    <w:p>
      <w:pPr>
        <w:pStyle w:val="2"/>
        <w:numPr>
          <w:ilvl w:val="0"/>
          <w:numId w:val="0"/>
        </w:numPr>
        <w:spacing w:line="360" w:lineRule="auto"/>
        <w:ind w:leftChars="0"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2、货物的设计、制造、质量验收标准应符合国家（或国际）最新颁布的有关标准/规范要求或相应的国际标准。</w:t>
      </w:r>
    </w:p>
    <w:p>
      <w:pPr>
        <w:pStyle w:val="2"/>
        <w:numPr>
          <w:ilvl w:val="0"/>
          <w:numId w:val="0"/>
        </w:numPr>
        <w:spacing w:line="360" w:lineRule="auto"/>
        <w:ind w:leftChars="0"/>
        <w:rPr>
          <w:rFonts w:hint="eastAsia" w:ascii="宋体" w:hAnsi="宋体" w:eastAsia="宋体" w:cs="宋体"/>
          <w:b w:val="0"/>
          <w:bCs w:val="0"/>
          <w:sz w:val="28"/>
          <w:szCs w:val="28"/>
          <w:lang w:val="en-US" w:eastAsia="zh-CN"/>
        </w:rPr>
      </w:pPr>
    </w:p>
    <w:p>
      <w:pPr>
        <w:pStyle w:val="2"/>
        <w:numPr>
          <w:ilvl w:val="0"/>
          <w:numId w:val="0"/>
        </w:numPr>
        <w:spacing w:line="360" w:lineRule="auto"/>
        <w:ind w:left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六、质量保证及售后服务</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1、所供应的货物是最新生产的符合国家技术规格和质量标准的出厂原装合格产品。</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2、所提供的货物在质保期内因货物本身发生质量问题的，供应商应负责免费更换。对达不到质量要求者，根据实际情况，经双方协商，可按以下办法处理：</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（1）更换：由乙方承担所发生的全部费用。</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（2）贬值处理：由甲乙双方合议定价。</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（3）退货处理：乙方应退还甲方支付的合同款，同时应承担该货物的直接费用（运输、保险、检验、货款利息及银行手续费等）。</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3、在质保期内，乙方应对货物出现的质量及安全问题负责处理解决并承担一切费用。</w:t>
      </w:r>
    </w:p>
    <w:p>
      <w:pPr>
        <w:pStyle w:val="2"/>
        <w:numPr>
          <w:ilvl w:val="0"/>
          <w:numId w:val="0"/>
        </w:numPr>
        <w:spacing w:line="360" w:lineRule="auto"/>
        <w:rPr>
          <w:rFonts w:hint="eastAsia" w:ascii="宋体" w:hAnsi="宋体" w:eastAsia="宋体" w:cs="宋体"/>
          <w:sz w:val="28"/>
          <w:szCs w:val="28"/>
          <w:lang w:val="en-US" w:eastAsia="zh-CN"/>
        </w:rPr>
      </w:pPr>
    </w:p>
    <w:p>
      <w:pPr>
        <w:pStyle w:val="2"/>
        <w:numPr>
          <w:ilvl w:val="0"/>
          <w:numId w:val="0"/>
        </w:numPr>
        <w:spacing w:line="360" w:lineRule="auto"/>
        <w:rPr>
          <w:rFonts w:hint="eastAsia" w:ascii="宋体" w:hAnsi="宋体" w:eastAsia="宋体" w:cs="宋体"/>
          <w:sz w:val="28"/>
          <w:szCs w:val="28"/>
          <w:lang w:val="en-US" w:eastAsia="zh-CN"/>
        </w:rPr>
      </w:pPr>
      <w:bookmarkStart w:id="0" w:name="_GoBack"/>
      <w:bookmarkEnd w:id="0"/>
    </w:p>
    <w:p>
      <w:pPr>
        <w:pStyle w:val="2"/>
        <w:numPr>
          <w:ilvl w:val="0"/>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七、货物的到货、安装、调试和验收</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1、到货 </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u w:val="single"/>
          <w:lang w:val="en-US" w:eastAsia="zh-CN"/>
        </w:rPr>
        <w:t>▲</w:t>
      </w:r>
      <w:r>
        <w:rPr>
          <w:rFonts w:hint="eastAsia" w:ascii="宋体" w:hAnsi="宋体" w:eastAsia="宋体" w:cs="宋体"/>
          <w:b/>
          <w:bCs/>
          <w:sz w:val="28"/>
          <w:szCs w:val="28"/>
          <w:u w:val="single"/>
          <w:lang w:val="en-US" w:eastAsia="zh-CN"/>
        </w:rPr>
        <w:t>卖方必须在中标之日起20个工作日内完成货物的供货</w:t>
      </w:r>
      <w:r>
        <w:rPr>
          <w:rFonts w:hint="eastAsia" w:ascii="宋体" w:hAnsi="宋体" w:eastAsia="宋体" w:cs="宋体"/>
          <w:sz w:val="28"/>
          <w:szCs w:val="28"/>
          <w:lang w:val="en-US" w:eastAsia="zh-CN"/>
        </w:rPr>
        <w:t>。货物到达现场后，卖方必须派员到现场与买方一起开箱并按供货清单验收，若有缺少或损坏，卖方应立即补足或更换全新同规格产品，直至买方满意为止。</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2、安装</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2.1  货物到达买方指定地点后，卖方应按买方规定的日期指派工程技术人员对货物进行安装调试，直至通过验收。货物的安装调试及现场培训应在合同规定的期限内完成。</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2.2  设备的安装必须符合有关标准和规范。安装过程中买方将对货物的安装质量进行监督。</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3、调试</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货物安装就位、校准后，卖方应按事先被买方认可的调试验收计划对货物进行调试，并对货物所标注的各项技术参数进行测试，测试报告将在货物验收完毕后提交给买方，但卖方应对测试的各种数据的真实性负责。买方也可以要求具有检测资质的第三方用专用仪器对货物进行功能 、性能测试，卖方负责所需的一切费用。</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4、验收</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货物经过试运行考核无故障（或存在的故障和隐患均已全部排除），并经相关部门检验合格，所有的技术资料和图纸已向买方提交并被接受，验收视为合格，买卖双方签署验收合格证书。 若因卖方产品质量或安装技术问题导致验收不合格，卖方应及时予以处理，直至验收合格，期间发生的一切相关费用由卖方承担，买方保留向卖方索赔的权利。</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5、若因卖方产品质量或安装技术问题导致货物二次验收都不合格，买方有权选择退货，并保留向卖方索赔的权利。</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6、卖方在货物到货、安装、调试和验收期间应接受买方的协调和管理，卖方应采取严格的防范措施，承担由于自身原因所造成的事故责任及其发生的一切费用。</w:t>
      </w:r>
    </w:p>
    <w:p>
      <w:pPr>
        <w:pStyle w:val="2"/>
        <w:numPr>
          <w:ilvl w:val="0"/>
          <w:numId w:val="0"/>
        </w:numPr>
        <w:spacing w:line="360" w:lineRule="auto"/>
        <w:rPr>
          <w:rFonts w:hint="eastAsia" w:ascii="宋体" w:hAnsi="宋体" w:eastAsia="宋体" w:cs="宋体"/>
          <w:sz w:val="28"/>
          <w:szCs w:val="28"/>
          <w:lang w:val="en-US" w:eastAsia="zh-CN"/>
        </w:rPr>
      </w:pPr>
    </w:p>
    <w:p>
      <w:pPr>
        <w:pStyle w:val="2"/>
        <w:numPr>
          <w:ilvl w:val="0"/>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八、技术服务和人员培训</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维修技术服务。出现质量问题而买方无法自行解决的，卖方在接到买方的维修电话或传真通知后10分钟内作出响应，电话沟通无法解决的，卖方维修人员应在60分钟内到达现场进行维修，排除故障，重大质量问题一时无法解决的，卖方应提出解决问题的应急处理预案。提供7×24小时电话咨询服务。</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合同规定的期限内，卖方应派遣有经验的工程技术人员在安装调试现场对买方指派人员进行操作和保养培训，使其能独立操作、维护、保养。培训计划方案（培训人数、时间、地点、教材、费用）应在投标文件中详细说明。其费用可单独报价，计入总价，如免费培训需在投标文件中作出说明。</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3、质保期满后，卖方工程技术、维修人员也须不定期的进行回访，并为买方提供优质、优价的终身维修和产品维护保养。</w:t>
      </w:r>
    </w:p>
    <w:sectPr>
      <w:pgSz w:w="16838" w:h="11906" w:orient="landscape"/>
      <w:pgMar w:top="567" w:right="1134" w:bottom="567"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98542D"/>
    <w:multiLevelType w:val="singleLevel"/>
    <w:tmpl w:val="2498542D"/>
    <w:lvl w:ilvl="0" w:tentative="0">
      <w:start w:val="2"/>
      <w:numFmt w:val="decimal"/>
      <w:suff w:val="nothing"/>
      <w:lvlText w:val="%1、"/>
      <w:lvlJc w:val="left"/>
      <w:pPr>
        <w:ind w:left="480" w:leftChars="0" w:firstLine="0" w:firstLineChars="0"/>
      </w:pPr>
    </w:lvl>
  </w:abstractNum>
  <w:abstractNum w:abstractNumId="1">
    <w:nsid w:val="3CDC3E80"/>
    <w:multiLevelType w:val="singleLevel"/>
    <w:tmpl w:val="3CDC3E80"/>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zN2FlZGQyNmExMDc1YTc1OWIxYmFlNmE1NTFhMTUifQ=="/>
  </w:docVars>
  <w:rsids>
    <w:rsidRoot w:val="00A02A37"/>
    <w:rsid w:val="0007646E"/>
    <w:rsid w:val="002A0406"/>
    <w:rsid w:val="007373BC"/>
    <w:rsid w:val="00A02A37"/>
    <w:rsid w:val="00A457FA"/>
    <w:rsid w:val="00F0269D"/>
    <w:rsid w:val="02386A93"/>
    <w:rsid w:val="04684506"/>
    <w:rsid w:val="04A46A0A"/>
    <w:rsid w:val="06043E9E"/>
    <w:rsid w:val="066606B5"/>
    <w:rsid w:val="06E15E3C"/>
    <w:rsid w:val="0C01678A"/>
    <w:rsid w:val="0C300A04"/>
    <w:rsid w:val="10352EA6"/>
    <w:rsid w:val="10C71F5A"/>
    <w:rsid w:val="14E05AD6"/>
    <w:rsid w:val="162F62BA"/>
    <w:rsid w:val="1D3C515C"/>
    <w:rsid w:val="226E2973"/>
    <w:rsid w:val="229D2E28"/>
    <w:rsid w:val="25BD0C2D"/>
    <w:rsid w:val="25D373E2"/>
    <w:rsid w:val="291122AA"/>
    <w:rsid w:val="2B8B6847"/>
    <w:rsid w:val="2C77430D"/>
    <w:rsid w:val="2CAF6062"/>
    <w:rsid w:val="2E051CB2"/>
    <w:rsid w:val="2EBF307B"/>
    <w:rsid w:val="321B0A6F"/>
    <w:rsid w:val="3252214B"/>
    <w:rsid w:val="37B235FD"/>
    <w:rsid w:val="38A82EBF"/>
    <w:rsid w:val="3A571AE7"/>
    <w:rsid w:val="462A298B"/>
    <w:rsid w:val="467B5249"/>
    <w:rsid w:val="47FD3F63"/>
    <w:rsid w:val="48C84ABD"/>
    <w:rsid w:val="48F2201E"/>
    <w:rsid w:val="4B751DCD"/>
    <w:rsid w:val="4FD147A1"/>
    <w:rsid w:val="536C61AC"/>
    <w:rsid w:val="586D09FC"/>
    <w:rsid w:val="5A0F768E"/>
    <w:rsid w:val="5A3C73F0"/>
    <w:rsid w:val="62BD2580"/>
    <w:rsid w:val="6664674F"/>
    <w:rsid w:val="6DC9627D"/>
    <w:rsid w:val="6EAD47D5"/>
    <w:rsid w:val="747B3DF6"/>
    <w:rsid w:val="75956E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autoRedefine/>
    <w:qFormat/>
    <w:uiPriority w:val="0"/>
    <w:pPr>
      <w:ind w:firstLine="555"/>
    </w:pPr>
  </w:style>
  <w:style w:type="paragraph" w:styleId="4">
    <w:name w:val="Balloon Text"/>
    <w:basedOn w:val="1"/>
    <w:link w:val="9"/>
    <w:autoRedefine/>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9">
    <w:name w:val="批注框文本 Char"/>
    <w:basedOn w:val="8"/>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2156</Words>
  <Characters>2325</Characters>
  <Lines>1</Lines>
  <Paragraphs>1</Paragraphs>
  <TotalTime>10</TotalTime>
  <ScaleCrop>false</ScaleCrop>
  <LinksUpToDate>false</LinksUpToDate>
  <CharactersWithSpaces>2340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2022-04-15T10:54:00Z</dcterms:created>
  <dc:creator>1</dc:creator>
  <cp:lastModifiedBy>市渔业应急处置指挥中心</cp:lastModifiedBy>
  <dcterms:modified xsi:type="dcterms:W3CDTF">2024-10-17T02:17:39Z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7C5A16EDF2E647309599E4BF75944C46</vt:lpwstr>
  </property>
</Properties>
</file>