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00" w:lineRule="atLeast"/>
        <w:ind w:firstLine="723" w:firstLineChars="200"/>
        <w:jc w:val="center"/>
        <w:rPr>
          <w:rFonts w:hint="eastAsia"/>
          <w:b/>
          <w:bCs/>
          <w:sz w:val="28"/>
          <w:szCs w:val="28"/>
          <w:lang w:val="en-US" w:eastAsia="zh-CN"/>
        </w:rPr>
      </w:pPr>
      <w:bookmarkStart w:id="0" w:name="_Toc451522337"/>
      <w:bookmarkStart w:id="11" w:name="_GoBack"/>
      <w:bookmarkEnd w:id="11"/>
      <w:r>
        <w:rPr>
          <w:rFonts w:hint="eastAsia" w:ascii="宋体" w:hAnsi="宋体" w:eastAsia="宋体" w:cs="宋体"/>
          <w:b/>
          <w:bCs/>
          <w:color w:val="000000"/>
          <w:sz w:val="36"/>
          <w:szCs w:val="36"/>
          <w:lang w:val="en-US" w:eastAsia="zh-CN"/>
        </w:rPr>
        <w:t>温州市中医院楼顶字、</w:t>
      </w:r>
      <w:r>
        <w:rPr>
          <w:rFonts w:hint="eastAsia" w:ascii="宋体" w:hAnsi="宋体" w:cs="宋体"/>
          <w:b/>
          <w:bCs/>
          <w:color w:val="000000"/>
          <w:sz w:val="36"/>
          <w:szCs w:val="36"/>
          <w:lang w:val="en-US" w:eastAsia="zh-CN"/>
        </w:rPr>
        <w:t>楼顶</w:t>
      </w:r>
      <w:r>
        <w:rPr>
          <w:rFonts w:hint="eastAsia" w:ascii="宋体" w:hAnsi="宋体" w:eastAsia="宋体" w:cs="宋体"/>
          <w:b/>
          <w:bCs/>
          <w:i w:val="0"/>
          <w:iCs w:val="0"/>
          <w:color w:val="000000"/>
          <w:kern w:val="0"/>
          <w:sz w:val="36"/>
          <w:szCs w:val="36"/>
          <w:u w:val="none"/>
          <w:lang w:val="en-US" w:eastAsia="zh-CN" w:bidi="ar"/>
        </w:rPr>
        <w:t>LOGO</w:t>
      </w:r>
      <w:r>
        <w:rPr>
          <w:rFonts w:hint="eastAsia" w:ascii="宋体" w:hAnsi="宋体" w:cs="宋体"/>
          <w:b/>
          <w:bCs/>
          <w:i w:val="0"/>
          <w:iCs w:val="0"/>
          <w:color w:val="000000"/>
          <w:kern w:val="0"/>
          <w:sz w:val="36"/>
          <w:szCs w:val="36"/>
          <w:u w:val="none"/>
          <w:lang w:val="en-US" w:eastAsia="zh-CN" w:bidi="ar"/>
        </w:rPr>
        <w:t>及</w:t>
      </w:r>
      <w:r>
        <w:rPr>
          <w:rFonts w:hint="eastAsia" w:ascii="宋体" w:hAnsi="宋体" w:eastAsia="宋体" w:cs="宋体"/>
          <w:b/>
          <w:bCs/>
          <w:color w:val="000000"/>
          <w:sz w:val="36"/>
          <w:szCs w:val="36"/>
          <w:lang w:val="en-US" w:eastAsia="zh-CN"/>
        </w:rPr>
        <w:t>外围灯箱等标识制作项目</w:t>
      </w:r>
      <w:r>
        <w:rPr>
          <w:rFonts w:hint="eastAsia" w:ascii="宋体" w:hAnsi="宋体" w:eastAsia="宋体" w:cs="宋体"/>
          <w:b/>
          <w:bCs/>
          <w:color w:val="000000"/>
          <w:sz w:val="36"/>
          <w:szCs w:val="36"/>
        </w:rPr>
        <w:t>采购</w:t>
      </w:r>
      <w:bookmarkEnd w:id="0"/>
      <w:r>
        <w:rPr>
          <w:rFonts w:hint="eastAsia" w:ascii="宋体" w:hAnsi="宋体" w:eastAsia="宋体" w:cs="宋体"/>
          <w:b/>
          <w:bCs/>
          <w:color w:val="000000"/>
          <w:sz w:val="36"/>
          <w:szCs w:val="36"/>
          <w:lang w:val="en-US" w:eastAsia="zh-CN"/>
        </w:rPr>
        <w:t>文件</w:t>
      </w:r>
    </w:p>
    <w:p>
      <w:pPr>
        <w:numPr>
          <w:ilvl w:val="0"/>
          <w:numId w:val="0"/>
        </w:numPr>
        <w:spacing w:line="300" w:lineRule="atLeast"/>
        <w:rPr>
          <w:rFonts w:hint="eastAsia" w:ascii="宋体" w:hAnsi="宋体" w:eastAsia="宋体" w:cs="宋体"/>
          <w:b w:val="0"/>
          <w:bCs w:val="0"/>
          <w:color w:val="FF0000"/>
          <w:sz w:val="24"/>
          <w:szCs w:val="24"/>
        </w:rPr>
      </w:pPr>
      <w:r>
        <w:rPr>
          <w:rFonts w:hint="eastAsia"/>
          <w:b/>
          <w:bCs/>
          <w:sz w:val="28"/>
          <w:szCs w:val="28"/>
          <w:lang w:val="en-US" w:eastAsia="zh-CN"/>
        </w:rPr>
        <w:t>一、项目名称</w:t>
      </w:r>
      <w:r>
        <w:rPr>
          <w:rFonts w:hint="eastAsia"/>
          <w:sz w:val="24"/>
          <w:szCs w:val="24"/>
        </w:rPr>
        <w:t>：</w:t>
      </w:r>
      <w:r>
        <w:rPr>
          <w:rFonts w:hint="eastAsia" w:ascii="宋体" w:hAnsi="宋体" w:eastAsia="宋体" w:cs="宋体"/>
          <w:b w:val="0"/>
          <w:bCs w:val="0"/>
          <w:sz w:val="24"/>
          <w:szCs w:val="24"/>
          <w:lang w:val="en-US" w:eastAsia="zh-Hans"/>
        </w:rPr>
        <w:t>温州市中医院楼顶字、楼顶LOGO及外围灯箱等标识制作</w:t>
      </w:r>
    </w:p>
    <w:p>
      <w:pPr>
        <w:spacing w:line="360" w:lineRule="auto"/>
        <w:rPr>
          <w:rFonts w:hint="default"/>
          <w:sz w:val="24"/>
          <w:szCs w:val="24"/>
          <w:lang w:val="en-US"/>
        </w:rPr>
      </w:pPr>
      <w:r>
        <w:rPr>
          <w:rFonts w:hint="eastAsia"/>
          <w:b/>
          <w:bCs/>
          <w:sz w:val="28"/>
          <w:szCs w:val="28"/>
          <w:lang w:val="en-US" w:eastAsia="zh-CN"/>
        </w:rPr>
        <w:t>二、采购方式：</w:t>
      </w:r>
      <w:r>
        <w:rPr>
          <w:rFonts w:hint="eastAsia"/>
          <w:sz w:val="24"/>
          <w:szCs w:val="24"/>
          <w:lang w:val="en-US" w:eastAsia="zh-CN"/>
        </w:rPr>
        <w:t>公开遴选（非政府采购）</w:t>
      </w:r>
    </w:p>
    <w:p>
      <w:pPr>
        <w:spacing w:line="360" w:lineRule="auto"/>
        <w:rPr>
          <w:rFonts w:hint="eastAsia" w:ascii="宋体" w:hAnsi="宋体" w:eastAsia="宋体" w:cs="宋体"/>
          <w:sz w:val="24"/>
          <w:szCs w:val="24"/>
        </w:rPr>
      </w:pPr>
      <w:r>
        <w:rPr>
          <w:rFonts w:hint="eastAsia"/>
          <w:b/>
          <w:bCs/>
          <w:sz w:val="28"/>
          <w:szCs w:val="28"/>
          <w:lang w:val="en-US" w:eastAsia="zh-CN"/>
        </w:rPr>
        <w:t>三、</w:t>
      </w:r>
      <w:r>
        <w:rPr>
          <w:rFonts w:hint="eastAsia"/>
          <w:b/>
          <w:bCs/>
          <w:sz w:val="28"/>
          <w:szCs w:val="28"/>
        </w:rPr>
        <w:t>预算</w:t>
      </w:r>
      <w:r>
        <w:rPr>
          <w:rFonts w:hint="eastAsia"/>
          <w:b/>
          <w:bCs/>
          <w:sz w:val="28"/>
          <w:szCs w:val="28"/>
          <w:lang w:val="en-US" w:eastAsia="zh-CN"/>
        </w:rPr>
        <w:t>金额</w:t>
      </w:r>
      <w:r>
        <w:rPr>
          <w:rFonts w:hint="eastAsia"/>
          <w:b/>
          <w:bCs/>
          <w:sz w:val="28"/>
          <w:szCs w:val="28"/>
        </w:rPr>
        <w:t>：</w:t>
      </w:r>
      <w:r>
        <w:rPr>
          <w:rFonts w:hint="eastAsia" w:ascii="宋体" w:hAnsi="宋体" w:cs="宋体"/>
          <w:b w:val="0"/>
          <w:bCs w:val="0"/>
          <w:sz w:val="24"/>
          <w:szCs w:val="24"/>
          <w:lang w:val="en-US" w:eastAsia="zh-CN"/>
        </w:rPr>
        <w:t>12</w:t>
      </w:r>
      <w:r>
        <w:rPr>
          <w:rFonts w:hint="eastAsia" w:ascii="宋体" w:hAnsi="宋体" w:eastAsia="宋体" w:cs="宋体"/>
          <w:b w:val="0"/>
          <w:bCs w:val="0"/>
          <w:sz w:val="24"/>
          <w:szCs w:val="24"/>
          <w:lang w:val="en-US" w:eastAsia="zh-CN"/>
        </w:rPr>
        <w:t>0000</w:t>
      </w:r>
      <w:r>
        <w:rPr>
          <w:rFonts w:hint="eastAsia" w:ascii="宋体" w:hAnsi="宋体" w:eastAsia="宋体" w:cs="宋体"/>
          <w:sz w:val="24"/>
          <w:szCs w:val="24"/>
        </w:rPr>
        <w:t>元</w:t>
      </w:r>
    </w:p>
    <w:p>
      <w:pPr>
        <w:spacing w:line="360" w:lineRule="auto"/>
        <w:ind w:left="562" w:hanging="562" w:hangingChars="200"/>
        <w:rPr>
          <w:rFonts w:hint="eastAsia" w:ascii="宋体" w:hAnsi="宋体"/>
          <w:b/>
          <w:bCs/>
          <w:color w:val="000000"/>
          <w:sz w:val="28"/>
          <w:szCs w:val="28"/>
        </w:rPr>
      </w:pPr>
      <w:r>
        <w:rPr>
          <w:rFonts w:hint="eastAsia" w:ascii="宋体" w:hAnsi="宋体"/>
          <w:b/>
          <w:bCs/>
          <w:color w:val="000000"/>
          <w:sz w:val="28"/>
          <w:szCs w:val="28"/>
          <w:lang w:val="en-US" w:eastAsia="zh-CN"/>
        </w:rPr>
        <w:t>四</w:t>
      </w:r>
      <w:r>
        <w:rPr>
          <w:rFonts w:hint="eastAsia" w:ascii="宋体" w:hAnsi="宋体"/>
          <w:b/>
          <w:bCs/>
          <w:color w:val="000000"/>
          <w:sz w:val="28"/>
          <w:szCs w:val="28"/>
        </w:rPr>
        <w:t>、</w:t>
      </w:r>
      <w:r>
        <w:rPr>
          <w:rFonts w:hint="eastAsia" w:ascii="宋体" w:hAnsi="宋体"/>
          <w:b/>
          <w:bCs/>
          <w:color w:val="000000"/>
          <w:sz w:val="28"/>
          <w:szCs w:val="28"/>
          <w:lang w:val="en-US" w:eastAsia="zh-CN"/>
        </w:rPr>
        <w:t>项目工期</w:t>
      </w:r>
      <w:r>
        <w:rPr>
          <w:rFonts w:hint="eastAsia" w:ascii="宋体" w:hAnsi="宋体"/>
          <w:b/>
          <w:bCs/>
          <w:color w:val="000000"/>
          <w:sz w:val="28"/>
          <w:szCs w:val="28"/>
        </w:rPr>
        <w:t>及付款方式</w:t>
      </w:r>
    </w:p>
    <w:p>
      <w:pPr>
        <w:spacing w:line="360" w:lineRule="auto"/>
        <w:ind w:left="479" w:leftChars="228" w:firstLine="0" w:firstLineChars="0"/>
        <w:rPr>
          <w:rFonts w:hint="eastAsia" w:ascii="宋体" w:hAnsi="宋体" w:eastAsia="宋体"/>
          <w:b/>
          <w:bCs/>
          <w:color w:val="000000"/>
          <w:sz w:val="28"/>
          <w:szCs w:val="28"/>
          <w:lang w:val="en-US" w:eastAsia="zh-CN"/>
        </w:rPr>
      </w:pPr>
      <w:r>
        <w:rPr>
          <w:rFonts w:hint="eastAsia" w:ascii="宋体" w:hAnsi="宋体"/>
          <w:b w:val="0"/>
          <w:bCs w:val="0"/>
          <w:color w:val="000000"/>
          <w:sz w:val="24"/>
          <w:szCs w:val="24"/>
          <w:lang w:val="en-US" w:eastAsia="zh-CN"/>
        </w:rPr>
        <w:t>1</w:t>
      </w:r>
      <w:r>
        <w:rPr>
          <w:rFonts w:hint="eastAsia" w:ascii="宋体" w:hAnsi="宋体" w:eastAsia="宋体" w:cs="宋体"/>
          <w:b w:val="0"/>
          <w:bCs w:val="0"/>
          <w:sz w:val="24"/>
          <w:szCs w:val="24"/>
          <w:lang w:val="en-US" w:eastAsia="zh-CN"/>
        </w:rPr>
        <w:t>、</w:t>
      </w:r>
      <w:r>
        <w:rPr>
          <w:rFonts w:hint="eastAsia" w:ascii="宋体" w:hAnsi="宋体" w:cs="宋体"/>
          <w:sz w:val="24"/>
          <w:szCs w:val="24"/>
          <w:lang w:val="en-US" w:eastAsia="zh-CN"/>
        </w:rPr>
        <w:t>项目工期</w:t>
      </w:r>
      <w:r>
        <w:rPr>
          <w:rFonts w:hint="eastAsia" w:ascii="宋体" w:hAnsi="宋体" w:eastAsia="宋体" w:cs="宋体"/>
          <w:sz w:val="24"/>
          <w:szCs w:val="24"/>
        </w:rPr>
        <w:t>：20日历天</w:t>
      </w:r>
      <w:r>
        <w:rPr>
          <w:rFonts w:hint="eastAsia" w:ascii="宋体" w:hAnsi="宋体" w:cs="宋体"/>
          <w:sz w:val="24"/>
          <w:szCs w:val="24"/>
          <w:lang w:val="en-US" w:eastAsia="zh-CN"/>
        </w:rPr>
        <w:t>内</w:t>
      </w:r>
      <w:r>
        <w:rPr>
          <w:rFonts w:hint="eastAsia" w:ascii="宋体" w:hAnsi="宋体" w:eastAsia="宋体" w:cs="宋体"/>
          <w:sz w:val="24"/>
          <w:szCs w:val="24"/>
        </w:rPr>
        <w:t>完成。</w:t>
      </w:r>
    </w:p>
    <w:p>
      <w:pPr>
        <w:spacing w:line="360" w:lineRule="auto"/>
        <w:ind w:firstLine="480" w:firstLineChars="200"/>
        <w:rPr>
          <w:rFonts w:hint="eastAsia"/>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付款方式：合同签订实施后，中标人完成项目所有内容、出具相关评估检测报告并经采购人验收合格后，采购人在收到发票后三个月内一次性支付相应的合同款项。 </w:t>
      </w:r>
    </w:p>
    <w:p>
      <w:pPr>
        <w:spacing w:line="360" w:lineRule="auto"/>
        <w:rPr>
          <w:rFonts w:hint="eastAsia"/>
          <w:b/>
          <w:bCs/>
          <w:sz w:val="28"/>
          <w:szCs w:val="28"/>
          <w:lang w:val="en-US" w:eastAsia="zh-CN"/>
        </w:rPr>
      </w:pPr>
      <w:r>
        <w:rPr>
          <w:rFonts w:hint="eastAsia"/>
          <w:b/>
          <w:bCs/>
          <w:sz w:val="28"/>
          <w:szCs w:val="28"/>
          <w:lang w:val="en-US" w:eastAsia="zh-CN"/>
        </w:rPr>
        <w:t>五</w:t>
      </w:r>
      <w:r>
        <w:rPr>
          <w:rFonts w:hint="eastAsia"/>
          <w:b/>
          <w:bCs/>
          <w:sz w:val="28"/>
          <w:szCs w:val="28"/>
        </w:rPr>
        <w:t>、服务具体</w:t>
      </w:r>
      <w:r>
        <w:rPr>
          <w:rFonts w:hint="eastAsia"/>
          <w:b/>
          <w:bCs/>
          <w:sz w:val="28"/>
          <w:szCs w:val="28"/>
          <w:lang w:val="en-US" w:eastAsia="zh-CN"/>
        </w:rPr>
        <w:t>要求</w:t>
      </w:r>
    </w:p>
    <w:p>
      <w:pPr>
        <w:pStyle w:val="2"/>
        <w:numPr>
          <w:ilvl w:val="0"/>
          <w:numId w:val="0"/>
        </w:numPr>
        <w:ind w:leftChars="0"/>
        <w:rPr>
          <w:rFonts w:hint="default" w:eastAsia="宋体"/>
          <w:sz w:val="24"/>
          <w:szCs w:val="24"/>
          <w:lang w:val="en-US" w:eastAsia="zh-CN"/>
        </w:rPr>
      </w:pPr>
      <w:r>
        <w:rPr>
          <w:rFonts w:hint="eastAsia"/>
          <w:sz w:val="24"/>
          <w:szCs w:val="24"/>
          <w:lang w:val="en-US" w:eastAsia="zh-CN"/>
        </w:rPr>
        <w:t>1、采购内容清单</w:t>
      </w:r>
    </w:p>
    <w:tbl>
      <w:tblPr>
        <w:tblStyle w:val="15"/>
        <w:tblW w:w="1553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9"/>
        <w:gridCol w:w="1860"/>
        <w:gridCol w:w="1666"/>
        <w:gridCol w:w="1185"/>
        <w:gridCol w:w="1110"/>
        <w:gridCol w:w="1035"/>
        <w:gridCol w:w="1200"/>
        <w:gridCol w:w="1365"/>
        <w:gridCol w:w="1110"/>
        <w:gridCol w:w="4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采购内容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位置</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工艺</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单字参考尺寸（m）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预估工程量</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参考样图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景山院区楼顶字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温州市中医院景山院区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不锈钢扣边UV发光字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drawing>
                <wp:inline distT="0" distB="0" distL="114300" distR="114300">
                  <wp:extent cx="2178050" cy="1579880"/>
                  <wp:effectExtent l="0" t="0" r="12700" b="127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4" cstate="print"/>
                          <a:stretch>
                            <a:fillRect/>
                          </a:stretch>
                        </pic:blipFill>
                        <pic:spPr>
                          <a:xfrm>
                            <a:off x="0" y="0"/>
                            <a:ext cx="2178050" cy="1579880"/>
                          </a:xfrm>
                          <a:prstGeom prst="rect">
                            <a:avLst/>
                          </a:prstGeom>
                          <a:noFill/>
                          <a:ln w="9525">
                            <a:noFill/>
                          </a:ln>
                        </pic:spPr>
                      </pic:pic>
                    </a:graphicData>
                  </a:graphic>
                </wp:inline>
              </w:drawing>
            </w:r>
          </w:p>
          <w:p>
            <w:pPr>
              <w:pStyle w:val="2"/>
              <w:tabs>
                <w:tab w:val="left" w:pos="432"/>
                <w:tab w:val="clear" w:pos="840"/>
              </w:tabs>
              <w:jc w:val="center"/>
              <w:rPr>
                <w:rFonts w:hint="eastAsia"/>
              </w:rPr>
            </w:pPr>
            <w:r>
              <w:drawing>
                <wp:inline distT="0" distB="0" distL="114300" distR="114300">
                  <wp:extent cx="2244725" cy="699770"/>
                  <wp:effectExtent l="0" t="0" r="3175" b="508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5" cstate="print"/>
                          <a:stretch>
                            <a:fillRect/>
                          </a:stretch>
                        </pic:blipFill>
                        <pic:spPr>
                          <a:xfrm>
                            <a:off x="0" y="0"/>
                            <a:ext cx="2244725" cy="69977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6" w:hRule="atLeast"/>
        </w:trPr>
        <w:tc>
          <w:tcPr>
            <w:tcW w:w="87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六虹桥院区楼顶字、楼顶LOGO</w:t>
            </w:r>
          </w:p>
        </w:tc>
        <w:tc>
          <w:tcPr>
            <w:tcW w:w="166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温州市中医院六虹桥院区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不锈钢扣边UV发光LOGO</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4125" w:type="dxa"/>
            <w:vMerge w:val="restart"/>
            <w:tcBorders>
              <w:top w:val="single" w:color="000000" w:sz="4" w:space="0"/>
              <w:left w:val="single" w:color="000000" w:sz="4" w:space="0"/>
              <w:right w:val="single" w:color="000000" w:sz="4" w:space="0"/>
            </w:tcBorders>
            <w:shd w:val="clear" w:color="auto" w:fill="auto"/>
            <w:vAlign w:val="center"/>
          </w:tcPr>
          <w:p>
            <w:pPr>
              <w:pStyle w:val="2"/>
              <w:tabs>
                <w:tab w:val="left" w:pos="432"/>
                <w:tab w:val="clear" w:pos="840"/>
              </w:tabs>
              <w:jc w:val="center"/>
              <w:rPr>
                <w:rFonts w:hint="eastAsia" w:eastAsia="宋体"/>
                <w:lang w:eastAsia="zh-CN"/>
              </w:rPr>
            </w:pPr>
            <w:r>
              <w:drawing>
                <wp:inline distT="0" distB="0" distL="114300" distR="114300">
                  <wp:extent cx="2470785" cy="1292225"/>
                  <wp:effectExtent l="0" t="0" r="5715" b="317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6" cstate="print"/>
                          <a:stretch>
                            <a:fillRect/>
                          </a:stretch>
                        </pic:blipFill>
                        <pic:spPr>
                          <a:xfrm>
                            <a:off x="0" y="0"/>
                            <a:ext cx="2470785" cy="1292225"/>
                          </a:xfrm>
                          <a:prstGeom prst="rect">
                            <a:avLst/>
                          </a:prstGeom>
                          <a:noFill/>
                          <a:ln w="9525">
                            <a:noFill/>
                          </a:ln>
                        </pic:spPr>
                      </pic:pic>
                    </a:graphicData>
                  </a:graphic>
                </wp:inline>
              </w:drawing>
            </w:r>
          </w:p>
          <w:p>
            <w:pPr>
              <w:pStyle w:val="2"/>
              <w:tabs>
                <w:tab w:val="left" w:pos="432"/>
                <w:tab w:val="clear" w:pos="840"/>
              </w:tabs>
              <w:jc w:val="center"/>
            </w:pPr>
            <w:r>
              <w:drawing>
                <wp:inline distT="0" distB="0" distL="114300" distR="114300">
                  <wp:extent cx="2494280" cy="593725"/>
                  <wp:effectExtent l="0" t="0" r="1270" b="1587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2494280" cy="5937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8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不锈钢扣边UV发光字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46.7625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4125" w:type="dxa"/>
            <w:vMerge w:val="continue"/>
            <w:tcBorders>
              <w:left w:val="single" w:color="000000" w:sz="4" w:space="0"/>
              <w:bottom w:val="single" w:color="000000" w:sz="4" w:space="0"/>
              <w:right w:val="single" w:color="000000" w:sz="4" w:space="0"/>
            </w:tcBorders>
            <w:shd w:val="clear" w:color="auto" w:fill="auto"/>
            <w:vAlign w:val="center"/>
          </w:tcPr>
          <w:p>
            <w:pPr>
              <w:pStyle w:val="2"/>
              <w:tabs>
                <w:tab w:val="left" w:pos="432"/>
                <w:tab w:val="clear" w:pos="840"/>
              </w:tabs>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六虹桥院区外围灯箱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温州市中医院六虹桥院区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软膜灯箱</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tabs>
                <w:tab w:val="left" w:pos="432"/>
                <w:tab w:val="clear" w:pos="840"/>
              </w:tabs>
              <w:jc w:val="center"/>
            </w:pPr>
            <w:r>
              <w:drawing>
                <wp:inline distT="0" distB="0" distL="114300" distR="114300">
                  <wp:extent cx="2395855" cy="1362710"/>
                  <wp:effectExtent l="0" t="0" r="4445" b="889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8" cstate="print"/>
                          <a:stretch>
                            <a:fillRect/>
                          </a:stretch>
                        </pic:blipFill>
                        <pic:spPr>
                          <a:xfrm rot="10800000" flipV="1">
                            <a:off x="0" y="0"/>
                            <a:ext cx="2395855" cy="1362710"/>
                          </a:xfrm>
                          <a:prstGeom prst="rect">
                            <a:avLst/>
                          </a:prstGeom>
                          <a:noFill/>
                          <a:ln w="9525">
                            <a:noFill/>
                          </a:ln>
                        </pic:spPr>
                      </pic:pic>
                    </a:graphicData>
                  </a:graphic>
                </wp:inline>
              </w:drawing>
            </w:r>
          </w:p>
        </w:tc>
      </w:tr>
    </w:tbl>
    <w:p>
      <w:pPr>
        <w:rPr>
          <w:rFonts w:hint="eastAsia"/>
          <w:lang w:val="en-US" w:eastAsia="zh-CN"/>
        </w:rPr>
      </w:pPr>
      <w:r>
        <w:rPr>
          <w:rFonts w:hint="eastAsia"/>
          <w:lang w:val="en-US" w:eastAsia="zh-CN"/>
        </w:rPr>
        <w:t>注：</w:t>
      </w:r>
    </w:p>
    <w:p>
      <w:pPr>
        <w:numPr>
          <w:ilvl w:val="0"/>
          <w:numId w:val="0"/>
        </w:numPr>
        <w:spacing w:line="360" w:lineRule="auto"/>
        <w:ind w:firstLine="420" w:firstLineChars="200"/>
        <w:rPr>
          <w:rFonts w:hint="eastAsia"/>
          <w:lang w:val="en-US" w:eastAsia="zh-CN"/>
        </w:rPr>
      </w:pPr>
      <w:r>
        <w:rPr>
          <w:rFonts w:hint="eastAsia"/>
          <w:lang w:val="en-US" w:eastAsia="zh-CN"/>
        </w:rPr>
        <w:t>1、新做及安装：</w:t>
      </w:r>
    </w:p>
    <w:p>
      <w:pPr>
        <w:numPr>
          <w:ilvl w:val="0"/>
          <w:numId w:val="0"/>
        </w:numPr>
        <w:spacing w:line="360" w:lineRule="auto"/>
        <w:ind w:firstLine="420" w:firstLineChars="200"/>
        <w:rPr>
          <w:rFonts w:hint="eastAsia"/>
          <w:lang w:val="en-US" w:eastAsia="zh-CN"/>
        </w:rPr>
      </w:pPr>
      <w:r>
        <w:rPr>
          <w:rFonts w:hint="eastAsia"/>
          <w:lang w:val="en-US" w:eastAsia="zh-CN"/>
        </w:rPr>
        <w:t>（1）景山院区楼顶字“温州市中医院景山院区”，单字参考宽度1640mm、参考高度1300mm，共10个，字体根据采购人要求；</w:t>
      </w:r>
    </w:p>
    <w:p>
      <w:pPr>
        <w:spacing w:line="360" w:lineRule="auto"/>
        <w:ind w:firstLine="420" w:firstLineChars="200"/>
        <w:rPr>
          <w:rFonts w:hint="eastAsia"/>
          <w:lang w:val="en-US" w:eastAsia="zh-CN"/>
        </w:rPr>
      </w:pPr>
      <w:r>
        <w:rPr>
          <w:rFonts w:hint="eastAsia"/>
          <w:lang w:val="en-US" w:eastAsia="zh-CN"/>
        </w:rPr>
        <w:t>（2）六虹桥院区楼顶字“浙江中医药大学附属温州市中医院”，单字参考宽度2150mm、参考高度1450mm，共15个，字体根据采购人要求；楼顶LOGO参考直径2200mm，共1个；</w:t>
      </w:r>
    </w:p>
    <w:p>
      <w:pPr>
        <w:spacing w:line="360" w:lineRule="auto"/>
        <w:ind w:firstLine="420" w:firstLineChars="200"/>
        <w:rPr>
          <w:rFonts w:hint="eastAsia"/>
          <w:lang w:val="en-US" w:eastAsia="zh-CN"/>
        </w:rPr>
      </w:pPr>
      <w:r>
        <w:rPr>
          <w:rFonts w:hint="eastAsia"/>
          <w:lang w:val="en-US" w:eastAsia="zh-CN"/>
        </w:rPr>
        <w:t>（3）六虹桥院区外围灯箱，单个灯箱参考宽度3100mm、参考高度1590mm，共13个，灯箱外表面宣传内容根据采购人要求；</w:t>
      </w:r>
    </w:p>
    <w:p>
      <w:pPr>
        <w:spacing w:line="360" w:lineRule="auto"/>
        <w:ind w:firstLine="420" w:firstLineChars="200"/>
        <w:rPr>
          <w:rFonts w:hint="eastAsia"/>
          <w:lang w:val="en-US" w:eastAsia="zh-CN"/>
        </w:rPr>
      </w:pPr>
      <w:r>
        <w:rPr>
          <w:rFonts w:hint="eastAsia"/>
          <w:lang w:val="en-US" w:eastAsia="zh-CN"/>
        </w:rPr>
        <w:t>2、供应商自行踏勘现场，新增发光字、发光LOGO及外围灯箱的工艺及颜色要与整体医院格调相匹配；需要考虑楼顶字、楼顶LOGO高空安装相关的费用（包括审批、机械、高空维护、搬运清理、文明施工费用等）；电气部分需要考虑电缆线(从屋面强电井配电箱引出)、配电箱及时空器等费用；</w:t>
      </w:r>
    </w:p>
    <w:p>
      <w:pPr>
        <w:spacing w:line="360" w:lineRule="auto"/>
        <w:ind w:left="420" w:leftChars="200" w:firstLine="0" w:firstLineChars="0"/>
        <w:rPr>
          <w:rFonts w:hint="eastAsia"/>
          <w:highlight w:val="none"/>
          <w:lang w:val="en-US" w:eastAsia="zh-CN"/>
        </w:rPr>
      </w:pPr>
      <w:r>
        <w:rPr>
          <w:rFonts w:hint="eastAsia"/>
          <w:highlight w:val="none"/>
          <w:lang w:val="en-US" w:eastAsia="zh-CN"/>
        </w:rPr>
        <w:t>3、楼顶字、楼顶LOGO、外围灯箱钢架及安装方式必须满足</w:t>
      </w:r>
      <w:bookmarkStart w:id="1" w:name="OLE_LINK1"/>
      <w:bookmarkStart w:id="2" w:name="OLE_LINK3"/>
      <w:r>
        <w:rPr>
          <w:rFonts w:hint="eastAsia"/>
          <w:highlight w:val="none"/>
          <w:lang w:val="en-US" w:eastAsia="zh-CN"/>
        </w:rPr>
        <w:t>1</w:t>
      </w:r>
      <w:bookmarkEnd w:id="1"/>
      <w:r>
        <w:rPr>
          <w:rFonts w:hint="eastAsia"/>
          <w:highlight w:val="none"/>
          <w:lang w:val="en-US" w:eastAsia="zh-CN"/>
        </w:rPr>
        <w:t>2级或以上台风</w:t>
      </w:r>
      <w:bookmarkEnd w:id="2"/>
      <w:r>
        <w:rPr>
          <w:rFonts w:hint="eastAsia"/>
          <w:highlight w:val="none"/>
          <w:lang w:val="en-US" w:eastAsia="zh-CN"/>
        </w:rPr>
        <w:t>抗风要求，出具对应资质的第三方公司</w:t>
      </w:r>
      <w:bookmarkStart w:id="3" w:name="OLE_LINK2"/>
      <w:r>
        <w:rPr>
          <w:rFonts w:hint="eastAsia"/>
          <w:highlight w:val="none"/>
          <w:lang w:val="en-US" w:eastAsia="zh-CN"/>
        </w:rPr>
        <w:t>检测报告</w:t>
      </w:r>
      <w:bookmarkEnd w:id="3"/>
      <w:r>
        <w:rPr>
          <w:rFonts w:hint="eastAsia"/>
          <w:highlight w:val="none"/>
          <w:lang w:val="en-US" w:eastAsia="zh-CN"/>
        </w:rPr>
        <w:t>或者提供相关承诺函，以上检测报</w:t>
      </w:r>
    </w:p>
    <w:p>
      <w:pPr>
        <w:spacing w:line="360" w:lineRule="auto"/>
        <w:rPr>
          <w:rFonts w:hint="eastAsia"/>
          <w:highlight w:val="none"/>
          <w:lang w:val="en-US" w:eastAsia="zh-CN"/>
        </w:rPr>
      </w:pPr>
      <w:r>
        <w:rPr>
          <w:rFonts w:hint="eastAsia"/>
          <w:highlight w:val="none"/>
          <w:lang w:val="en-US" w:eastAsia="zh-CN"/>
        </w:rPr>
        <w:t>告或者承诺函需加盖投标人公章。</w:t>
      </w:r>
    </w:p>
    <w:p>
      <w:pPr>
        <w:spacing w:line="360" w:lineRule="auto"/>
        <w:ind w:left="420" w:leftChars="200" w:firstLine="0" w:firstLineChars="0"/>
        <w:rPr>
          <w:rFonts w:hint="eastAsia"/>
          <w:lang w:val="en-US" w:eastAsia="zh-CN"/>
        </w:rPr>
      </w:pPr>
      <w:r>
        <w:rPr>
          <w:rFonts w:hint="eastAsia"/>
          <w:lang w:val="en-US" w:eastAsia="zh-CN"/>
        </w:rPr>
        <w:t>4、高空作业及地面作业所产生的一切风险由中标供应商负责，采购人不对由此产生的安全风险负责。</w:t>
      </w:r>
    </w:p>
    <w:p>
      <w:pPr>
        <w:spacing w:line="360" w:lineRule="auto"/>
        <w:ind w:left="420" w:leftChars="200" w:firstLine="0" w:firstLineChars="0"/>
        <w:rPr>
          <w:rFonts w:hint="default"/>
          <w:highlight w:val="none"/>
          <w:lang w:val="en-US" w:eastAsia="zh-CN"/>
        </w:rPr>
      </w:pPr>
      <w:r>
        <w:rPr>
          <w:rFonts w:hint="eastAsia"/>
          <w:highlight w:val="none"/>
          <w:lang w:val="en-US" w:eastAsia="zh-CN"/>
        </w:rPr>
        <w:t>5、上述提供的各发光字、</w:t>
      </w:r>
      <w:r>
        <w:rPr>
          <w:rFonts w:hint="eastAsia" w:ascii="宋体" w:hAnsi="宋体" w:eastAsia="宋体" w:cs="宋体"/>
          <w:i w:val="0"/>
          <w:iCs w:val="0"/>
          <w:color w:val="000000"/>
          <w:kern w:val="0"/>
          <w:sz w:val="22"/>
          <w:szCs w:val="22"/>
          <w:highlight w:val="none"/>
          <w:u w:val="none"/>
          <w:lang w:val="en-US" w:eastAsia="zh-CN" w:bidi="ar"/>
        </w:rPr>
        <w:t>LOGO</w:t>
      </w:r>
      <w:r>
        <w:rPr>
          <w:rFonts w:hint="eastAsia" w:ascii="宋体" w:hAnsi="宋体" w:cs="宋体"/>
          <w:i w:val="0"/>
          <w:iCs w:val="0"/>
          <w:color w:val="000000"/>
          <w:kern w:val="0"/>
          <w:sz w:val="22"/>
          <w:szCs w:val="22"/>
          <w:highlight w:val="none"/>
          <w:u w:val="none"/>
          <w:lang w:val="en-US" w:eastAsia="zh-CN" w:bidi="ar"/>
        </w:rPr>
        <w:t>及</w:t>
      </w:r>
      <w:r>
        <w:rPr>
          <w:rFonts w:hint="eastAsia" w:ascii="宋体" w:hAnsi="宋体" w:eastAsia="宋体" w:cs="宋体"/>
          <w:i w:val="0"/>
          <w:iCs w:val="0"/>
          <w:color w:val="000000"/>
          <w:kern w:val="0"/>
          <w:sz w:val="22"/>
          <w:szCs w:val="22"/>
          <w:highlight w:val="none"/>
          <w:u w:val="none"/>
          <w:lang w:val="en-US" w:eastAsia="zh-CN" w:bidi="ar"/>
        </w:rPr>
        <w:t>外围灯箱</w:t>
      </w:r>
      <w:r>
        <w:rPr>
          <w:rFonts w:hint="eastAsia"/>
          <w:highlight w:val="none"/>
          <w:lang w:val="en-US" w:eastAsia="zh-CN"/>
        </w:rPr>
        <w:t>尺寸仅供参考，允许各投标人根据自身设计方案提供最优尺寸，但偏差不应超过所提供参考尺寸的±1%。</w:t>
      </w:r>
    </w:p>
    <w:p>
      <w:pPr>
        <w:pStyle w:val="2"/>
        <w:numPr>
          <w:ilvl w:val="0"/>
          <w:numId w:val="0"/>
        </w:numPr>
        <w:ind w:leftChars="0"/>
        <w:rPr>
          <w:rFonts w:hint="eastAsia"/>
          <w:sz w:val="24"/>
          <w:szCs w:val="24"/>
          <w:lang w:val="en-US" w:eastAsia="zh-CN"/>
        </w:rPr>
      </w:pPr>
    </w:p>
    <w:p>
      <w:pPr>
        <w:pStyle w:val="2"/>
        <w:numPr>
          <w:ilvl w:val="0"/>
          <w:numId w:val="0"/>
        </w:numPr>
        <w:ind w:leftChars="0"/>
        <w:rPr>
          <w:rFonts w:hint="default" w:eastAsia="宋体"/>
          <w:sz w:val="24"/>
          <w:szCs w:val="24"/>
          <w:lang w:val="en-US" w:eastAsia="zh-CN"/>
        </w:rPr>
      </w:pPr>
      <w:r>
        <w:rPr>
          <w:rFonts w:hint="eastAsia"/>
          <w:sz w:val="24"/>
          <w:szCs w:val="24"/>
          <w:lang w:val="en-US" w:eastAsia="zh-CN"/>
        </w:rPr>
        <w:t>2、项目技术要求</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楼顶发光字、发光LOGO及外围灯箱的技术要求：投标人须承诺所提供的发光标识灯珠及其电力设备符合现行国家、行业各项标准。</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楼顶发光字、发光LOGO工艺： 不锈钢扣边UV发光。</w:t>
      </w:r>
    </w:p>
    <w:p>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外围灯箱工艺：软膜灯箱</w:t>
      </w:r>
      <w:r>
        <w:rPr>
          <w:rFonts w:hint="eastAsia" w:ascii="宋体" w:hAnsi="宋体" w:cs="宋体"/>
          <w:b w:val="0"/>
          <w:bCs w:val="0"/>
          <w:color w:val="auto"/>
          <w:sz w:val="24"/>
          <w:szCs w:val="24"/>
          <w:highlight w:val="none"/>
          <w:lang w:eastAsia="zh-CN"/>
        </w:rPr>
        <w:t>。</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防水要求：发光字、发光LOGO及外围灯箱需做好防水措施，LED、变压器必须达到防水标准，定期检查LED底板是否存在积水，变压器是否漏水，变压器电源布置合理，变压器位置处有防雨设备。如有及时采取有效措施，延长发光字、发光LOGO及外围灯箱使用寿命。</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楼顶发光字、楼顶发光LOGO、外围灯箱的风荷载、抗拔力要求：在标准12级台风情况下保证发光字、发光LOGO、外围灯箱不会出现倾倒和损坏。</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发光字自带时控器，亮灯时长需满足医院的要求，每日亮灯时间至少11小时以上。</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安装：包括景山院区楼顶字，六虹桥院区楼顶字、楼顶LOGO的高空安装及六虹桥院区外围灯箱的安装。</w:t>
      </w:r>
    </w:p>
    <w:p>
      <w:pPr>
        <w:rPr>
          <w:rFonts w:hint="eastAsia" w:ascii="宋体" w:hAnsi="宋体" w:eastAsia="宋体" w:cs="宋体"/>
        </w:rPr>
      </w:pPr>
    </w:p>
    <w:p>
      <w:pPr>
        <w:pStyle w:val="13"/>
        <w:numPr>
          <w:ilvl w:val="0"/>
          <w:numId w:val="0"/>
        </w:numPr>
        <w:spacing w:before="0" w:beforeAutospacing="0" w:after="0" w:afterAutospacing="0" w:line="360" w:lineRule="auto"/>
        <w:ind w:leftChars="0"/>
        <w:rPr>
          <w:rFonts w:hint="eastAsia" w:ascii="新宋体" w:hAnsi="新宋体" w:eastAsia="新宋体"/>
          <w:b/>
          <w:bCs/>
          <w:color w:val="auto"/>
          <w:sz w:val="28"/>
          <w:szCs w:val="28"/>
        </w:rPr>
      </w:pPr>
      <w:r>
        <w:rPr>
          <w:rFonts w:hint="eastAsia" w:ascii="新宋体" w:hAnsi="新宋体" w:eastAsia="新宋体"/>
          <w:b/>
          <w:bCs/>
          <w:color w:val="auto"/>
          <w:sz w:val="28"/>
          <w:szCs w:val="28"/>
          <w:lang w:val="en-US" w:eastAsia="zh-CN"/>
        </w:rPr>
        <w:t>六、</w:t>
      </w:r>
      <w:r>
        <w:rPr>
          <w:rFonts w:hint="eastAsia" w:ascii="新宋体" w:hAnsi="新宋体" w:eastAsia="新宋体"/>
          <w:b/>
          <w:bCs/>
          <w:color w:val="auto"/>
          <w:sz w:val="28"/>
          <w:szCs w:val="28"/>
        </w:rPr>
        <w:t>售后服务要求：</w:t>
      </w:r>
    </w:p>
    <w:p>
      <w:pPr>
        <w:numPr>
          <w:ilvl w:val="0"/>
          <w:numId w:val="0"/>
        </w:numPr>
        <w:spacing w:line="360" w:lineRule="auto"/>
        <w:ind w:firstLine="480" w:firstLineChars="200"/>
        <w:rPr>
          <w:rFonts w:hint="eastAsia" w:ascii="新宋体" w:hAnsi="新宋体" w:eastAsia="新宋体" w:cs="宋体"/>
          <w:bCs w:val="0"/>
          <w:color w:val="auto"/>
          <w:kern w:val="0"/>
          <w:sz w:val="24"/>
          <w:szCs w:val="24"/>
          <w:lang w:val="en-US" w:eastAsia="zh-CN" w:bidi="ar-SA"/>
        </w:rPr>
      </w:pPr>
      <w:r>
        <w:rPr>
          <w:rFonts w:hint="eastAsia" w:ascii="新宋体" w:hAnsi="新宋体" w:eastAsia="新宋体" w:cs="宋体"/>
          <w:bCs w:val="0"/>
          <w:color w:val="auto"/>
          <w:kern w:val="0"/>
          <w:sz w:val="24"/>
          <w:szCs w:val="24"/>
          <w:lang w:val="en-US" w:eastAsia="zh-CN" w:bidi="ar-SA"/>
        </w:rPr>
        <w:t>1、本项目内所有更换配件基础免费保修3年，未承诺免费质保或质保期3年以下的，做无效标处理；</w:t>
      </w:r>
    </w:p>
    <w:p>
      <w:pPr>
        <w:numPr>
          <w:ilvl w:val="0"/>
          <w:numId w:val="0"/>
        </w:numPr>
        <w:spacing w:line="360" w:lineRule="auto"/>
        <w:ind w:firstLine="480" w:firstLineChars="200"/>
        <w:rPr>
          <w:rFonts w:hint="eastAsia" w:ascii="新宋体" w:hAnsi="新宋体" w:eastAsia="新宋体" w:cs="宋体"/>
          <w:bCs w:val="0"/>
          <w:color w:val="auto"/>
          <w:kern w:val="0"/>
          <w:sz w:val="24"/>
          <w:szCs w:val="24"/>
          <w:lang w:val="en-US" w:eastAsia="zh-CN" w:bidi="ar-SA"/>
        </w:rPr>
      </w:pPr>
      <w:r>
        <w:rPr>
          <w:rFonts w:hint="eastAsia" w:ascii="新宋体" w:hAnsi="新宋体" w:eastAsia="新宋体" w:cs="宋体"/>
          <w:bCs w:val="0"/>
          <w:color w:val="auto"/>
          <w:kern w:val="0"/>
          <w:sz w:val="24"/>
          <w:szCs w:val="24"/>
          <w:lang w:val="en-US" w:eastAsia="zh-CN" w:bidi="ar-SA"/>
        </w:rPr>
        <w:t>2、质保期内，乙方应当提供 7×24小时电话支持服务。乙方接到甲方维修通知后12个小时内响应，24个小时内排除故障。对于质保期内不能修复的产品/部件，乙方应在24个小时内免费更换备品备件。若乙方因主观或客观原因未能及时顺利为甲方排除故障，甲方可自行安排维修，维修费用由乙方承担。</w:t>
      </w:r>
    </w:p>
    <w:p>
      <w:pPr>
        <w:pStyle w:val="2"/>
        <w:rPr>
          <w:rFonts w:hint="eastAsia"/>
          <w:lang w:val="en-US" w:eastAsia="zh-CN"/>
        </w:rPr>
      </w:pPr>
    </w:p>
    <w:p>
      <w:pPr>
        <w:pStyle w:val="2"/>
        <w:rPr>
          <w:rFonts w:hint="eastAsia"/>
          <w:lang w:val="en-US" w:eastAsia="zh-CN"/>
        </w:rPr>
      </w:pP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cs="黑体"/>
          <w:b/>
          <w:bCs/>
          <w:kern w:val="2"/>
          <w:sz w:val="28"/>
          <w:szCs w:val="28"/>
          <w:lang w:val="en-US" w:eastAsia="zh-CN" w:bidi="ar-SA"/>
        </w:rPr>
      </w:pP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cs="黑体"/>
          <w:b/>
          <w:bCs/>
          <w:kern w:val="2"/>
          <w:sz w:val="28"/>
          <w:szCs w:val="28"/>
          <w:lang w:val="en-US" w:eastAsia="zh-CN" w:bidi="ar-SA"/>
        </w:rPr>
      </w:pP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eastAsia="宋体" w:cs="黑体"/>
          <w:b/>
          <w:bCs/>
          <w:sz w:val="28"/>
          <w:szCs w:val="28"/>
          <w:lang w:val="en-US" w:eastAsia="zh-CN"/>
        </w:rPr>
      </w:pPr>
      <w:r>
        <w:rPr>
          <w:rFonts w:hint="eastAsia" w:ascii="宋体" w:hAnsi="宋体" w:cs="黑体"/>
          <w:b/>
          <w:bCs/>
          <w:kern w:val="2"/>
          <w:sz w:val="28"/>
          <w:szCs w:val="28"/>
          <w:lang w:val="en-US" w:eastAsia="zh-CN" w:bidi="ar-SA"/>
        </w:rPr>
        <w:t>七</w:t>
      </w:r>
      <w:r>
        <w:rPr>
          <w:rFonts w:hint="eastAsia" w:ascii="宋体" w:hAnsi="宋体" w:eastAsia="宋体" w:cs="黑体"/>
          <w:b/>
          <w:bCs/>
          <w:kern w:val="2"/>
          <w:sz w:val="28"/>
          <w:szCs w:val="28"/>
          <w:lang w:val="en-US" w:eastAsia="zh-CN" w:bidi="ar-SA"/>
        </w:rPr>
        <w:t>、</w:t>
      </w:r>
      <w:r>
        <w:rPr>
          <w:rFonts w:hint="eastAsia" w:ascii="宋体" w:hAnsi="宋体" w:eastAsia="宋体" w:cs="黑体"/>
          <w:b/>
          <w:bCs/>
          <w:sz w:val="28"/>
          <w:szCs w:val="28"/>
          <w:lang w:val="en-US" w:eastAsia="zh-CN"/>
        </w:rPr>
        <w:t>定标方法</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1、确定中标候选人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1.1由评标委员会确定中标候选人。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1.2评标委员会依据法律、法规及</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文件有关规定按评审后得分（即技术分与商务分之和）由高到低顺序排序，得分前二名的</w:t>
      </w:r>
      <w:r>
        <w:rPr>
          <w:rFonts w:hint="eastAsia" w:ascii="宋体" w:hAnsi="宋体" w:eastAsia="宋体" w:cs="宋体"/>
          <w:sz w:val="24"/>
          <w:szCs w:val="24"/>
          <w:lang w:val="en-US" w:eastAsia="zh-CN"/>
        </w:rPr>
        <w:t>投标</w:t>
      </w:r>
      <w:r>
        <w:rPr>
          <w:rFonts w:hint="eastAsia" w:ascii="宋体" w:hAnsi="宋体" w:eastAsia="宋体" w:cs="宋体"/>
          <w:sz w:val="24"/>
          <w:szCs w:val="24"/>
        </w:rPr>
        <w:t>人确定为该项目的第一和第二中标候选人（得分相同报价低的排序第一；得分且报价相同的，技术指标优的排序第一）向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人推荐。</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2、确定中标人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采购</w:t>
      </w:r>
      <w:r>
        <w:rPr>
          <w:rFonts w:hint="eastAsia" w:ascii="宋体" w:hAnsi="宋体" w:eastAsia="宋体" w:cs="宋体"/>
          <w:sz w:val="24"/>
          <w:szCs w:val="24"/>
        </w:rPr>
        <w:t>人按照评标报告中推荐的中标候选供应商顺序确定中标人；也可以事先授权评标委员会按照推荐的中标候选供应商顺序直接确定中标人。中标候选人并列的，采取随机抽取的方式确定。</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2.2如中标人放弃中标、或未能在规定时间内与采购单位签订合同的；或者经质疑，</w:t>
      </w:r>
      <w:r>
        <w:rPr>
          <w:rFonts w:hint="eastAsia" w:ascii="宋体" w:hAnsi="宋体" w:eastAsia="宋体" w:cs="宋体"/>
          <w:sz w:val="24"/>
          <w:szCs w:val="24"/>
          <w:lang w:val="en-US" w:eastAsia="zh-CN"/>
        </w:rPr>
        <w:t>采购</w:t>
      </w:r>
      <w:r>
        <w:rPr>
          <w:rFonts w:hint="eastAsia" w:ascii="宋体" w:hAnsi="宋体" w:eastAsia="宋体" w:cs="宋体"/>
          <w:sz w:val="24"/>
          <w:szCs w:val="24"/>
        </w:rPr>
        <w:t>人审查后，确因排名第一的候选人在本次采购活动中存在违法违规行为或其他原因使质疑成立的，</w:t>
      </w:r>
      <w:r>
        <w:rPr>
          <w:rFonts w:hint="eastAsia" w:ascii="宋体" w:hAnsi="宋体" w:eastAsia="宋体" w:cs="宋体"/>
          <w:sz w:val="24"/>
          <w:szCs w:val="24"/>
          <w:lang w:val="en-US" w:eastAsia="zh-CN"/>
        </w:rPr>
        <w:t>采购</w:t>
      </w:r>
      <w:r>
        <w:rPr>
          <w:rFonts w:hint="eastAsia" w:ascii="宋体" w:hAnsi="宋体" w:eastAsia="宋体" w:cs="宋体"/>
          <w:sz w:val="24"/>
          <w:szCs w:val="24"/>
        </w:rPr>
        <w:t>人可以视情况直接确定排名第二的候选人为中标人或重新组织</w:t>
      </w:r>
      <w:r>
        <w:rPr>
          <w:rFonts w:hint="eastAsia" w:ascii="宋体" w:hAnsi="宋体" w:eastAsia="宋体" w:cs="宋体"/>
          <w:sz w:val="24"/>
          <w:szCs w:val="24"/>
          <w:lang w:val="en-US" w:eastAsia="zh-CN"/>
        </w:rPr>
        <w:t>招标</w:t>
      </w:r>
      <w:r>
        <w:rPr>
          <w:rFonts w:hint="eastAsia" w:ascii="宋体" w:hAnsi="宋体" w:eastAsia="宋体" w:cs="宋体"/>
          <w:sz w:val="24"/>
          <w:szCs w:val="24"/>
        </w:rPr>
        <w:t>。</w:t>
      </w:r>
    </w:p>
    <w:p>
      <w:pPr>
        <w:pStyle w:val="5"/>
        <w:numPr>
          <w:ilvl w:val="0"/>
          <w:numId w:val="0"/>
        </w:num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中标人确定后，</w:t>
      </w:r>
      <w:r>
        <w:rPr>
          <w:rFonts w:hint="eastAsia" w:ascii="宋体" w:hAnsi="宋体" w:eastAsia="宋体" w:cs="宋体"/>
          <w:sz w:val="24"/>
          <w:szCs w:val="24"/>
          <w:lang w:val="en-US" w:eastAsia="zh-CN"/>
        </w:rPr>
        <w:t>采购</w:t>
      </w:r>
      <w:r>
        <w:rPr>
          <w:rFonts w:hint="eastAsia" w:ascii="宋体" w:hAnsi="宋体" w:eastAsia="宋体" w:cs="宋体"/>
          <w:sz w:val="24"/>
          <w:szCs w:val="24"/>
        </w:rPr>
        <w:t>人将在温州市中医院官网公告中标结果，</w:t>
      </w:r>
      <w:r>
        <w:rPr>
          <w:rFonts w:hint="eastAsia" w:ascii="宋体" w:hAnsi="宋体" w:eastAsia="宋体" w:cs="宋体"/>
          <w:sz w:val="24"/>
          <w:szCs w:val="24"/>
          <w:lang w:val="en-US" w:eastAsia="zh-CN"/>
        </w:rPr>
        <w:t>采购</w:t>
      </w:r>
      <w:r>
        <w:rPr>
          <w:rFonts w:hint="eastAsia" w:ascii="宋体" w:hAnsi="宋体" w:eastAsia="宋体" w:cs="宋体"/>
          <w:sz w:val="24"/>
          <w:szCs w:val="24"/>
        </w:rPr>
        <w:t>人向中标人发出中标通知书。</w:t>
      </w:r>
    </w:p>
    <w:p>
      <w:pPr>
        <w:rPr>
          <w:rFonts w:hint="eastAsia"/>
          <w:lang w:eastAsia="zh-CN"/>
        </w:rPr>
      </w:pPr>
    </w:p>
    <w:p>
      <w:pPr>
        <w:numPr>
          <w:ilvl w:val="0"/>
          <w:numId w:val="0"/>
        </w:numPr>
        <w:rPr>
          <w:rFonts w:hint="eastAsia"/>
          <w:b/>
          <w:bCs/>
          <w:sz w:val="28"/>
          <w:szCs w:val="28"/>
        </w:rPr>
      </w:pPr>
      <w:r>
        <w:rPr>
          <w:rFonts w:hint="eastAsia"/>
          <w:b/>
          <w:bCs/>
          <w:sz w:val="28"/>
          <w:szCs w:val="28"/>
          <w:lang w:val="en-US" w:eastAsia="zh-CN"/>
        </w:rPr>
        <w:t>八</w:t>
      </w:r>
      <w:r>
        <w:rPr>
          <w:rFonts w:hint="eastAsia"/>
          <w:b/>
          <w:bCs/>
          <w:sz w:val="28"/>
          <w:szCs w:val="28"/>
        </w:rPr>
        <w:t>、评分细则</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1、技术分的评定（</w:t>
      </w:r>
      <w:r>
        <w:rPr>
          <w:rFonts w:hint="eastAsia" w:ascii="宋体" w:hAnsi="宋体" w:cs="宋体"/>
          <w:sz w:val="24"/>
          <w:szCs w:val="24"/>
          <w:lang w:val="en-US" w:eastAsia="zh-CN"/>
        </w:rPr>
        <w:t>7</w:t>
      </w:r>
      <w:r>
        <w:rPr>
          <w:rFonts w:hint="eastAsia" w:ascii="宋体" w:hAnsi="宋体" w:eastAsia="宋体" w:cs="宋体"/>
          <w:sz w:val="24"/>
          <w:szCs w:val="24"/>
        </w:rPr>
        <w:t>0分)（权值</w:t>
      </w:r>
      <w:r>
        <w:rPr>
          <w:rFonts w:hint="eastAsia" w:ascii="宋体" w:hAnsi="宋体" w:cs="宋体"/>
          <w:sz w:val="24"/>
          <w:szCs w:val="24"/>
          <w:lang w:val="en-US" w:eastAsia="zh-CN"/>
        </w:rPr>
        <w:t>7</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各评委成员按下列评分项目进行评判，每人一张评分计算票，并记名。</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文件各项评分内容由评标委员会成员各自评分，如某张票的一个因素项目超过规定的范围，则该张票无效。各评标委员会成员对各</w:t>
      </w:r>
      <w:r>
        <w:rPr>
          <w:rFonts w:hint="eastAsia" w:ascii="宋体" w:hAnsi="宋体" w:eastAsia="宋体" w:cs="宋体"/>
          <w:sz w:val="24"/>
          <w:szCs w:val="24"/>
          <w:lang w:val="en-US" w:eastAsia="zh-CN"/>
        </w:rPr>
        <w:t>投标</w:t>
      </w:r>
      <w:r>
        <w:rPr>
          <w:rFonts w:hint="eastAsia" w:ascii="宋体" w:hAnsi="宋体" w:eastAsia="宋体" w:cs="宋体"/>
          <w:sz w:val="24"/>
          <w:szCs w:val="24"/>
        </w:rPr>
        <w:t>人的各项评分内容评分的算术平均值为各</w:t>
      </w:r>
      <w:r>
        <w:rPr>
          <w:rFonts w:hint="eastAsia" w:ascii="宋体" w:hAnsi="宋体" w:eastAsia="宋体" w:cs="宋体"/>
          <w:sz w:val="24"/>
          <w:szCs w:val="24"/>
          <w:lang w:val="en-US" w:eastAsia="zh-CN"/>
        </w:rPr>
        <w:t>投标</w:t>
      </w:r>
      <w:r>
        <w:rPr>
          <w:rFonts w:hint="eastAsia" w:ascii="宋体" w:hAnsi="宋体" w:eastAsia="宋体" w:cs="宋体"/>
          <w:sz w:val="24"/>
          <w:szCs w:val="24"/>
        </w:rPr>
        <w:t>人技术分得分（小数点后按四舍五入保留2位）。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2、商务标（报价）</w:t>
      </w:r>
      <w:r>
        <w:rPr>
          <w:rFonts w:hint="eastAsia" w:ascii="宋体" w:hAnsi="宋体" w:cs="宋体"/>
          <w:sz w:val="24"/>
          <w:szCs w:val="24"/>
          <w:lang w:val="en-US" w:eastAsia="zh-CN"/>
        </w:rPr>
        <w:t>3</w:t>
      </w:r>
      <w:r>
        <w:rPr>
          <w:rFonts w:hint="eastAsia" w:ascii="宋体" w:hAnsi="宋体" w:eastAsia="宋体" w:cs="宋体"/>
          <w:sz w:val="24"/>
          <w:szCs w:val="24"/>
        </w:rPr>
        <w:t>0分（权值</w:t>
      </w:r>
      <w:r>
        <w:rPr>
          <w:rFonts w:hint="eastAsia" w:ascii="宋体" w:hAnsi="宋体" w:cs="宋体"/>
          <w:sz w:val="24"/>
          <w:szCs w:val="24"/>
          <w:lang w:val="en-US" w:eastAsia="zh-CN"/>
        </w:rPr>
        <w:t>3</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文件要求且报价最低的报价为评审基准价，其余</w:t>
      </w:r>
      <w:r>
        <w:rPr>
          <w:rFonts w:hint="eastAsia" w:ascii="宋体" w:hAnsi="宋体" w:eastAsia="宋体" w:cs="宋体"/>
          <w:sz w:val="24"/>
          <w:szCs w:val="24"/>
          <w:lang w:val="en-US" w:eastAsia="zh-CN"/>
        </w:rPr>
        <w:t>投标</w:t>
      </w:r>
      <w:r>
        <w:rPr>
          <w:rFonts w:hint="eastAsia" w:ascii="宋体" w:hAnsi="宋体" w:eastAsia="宋体" w:cs="宋体"/>
          <w:sz w:val="24"/>
          <w:szCs w:val="24"/>
        </w:rPr>
        <w:t>人报价与该基准价对比，计算出商务报价评分值（保留小数2位）：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人的报价等于评审基准价时其报价分为满分</w:t>
      </w:r>
      <w:r>
        <w:rPr>
          <w:rFonts w:hint="eastAsia" w:ascii="宋体" w:hAnsi="宋体" w:cs="宋体"/>
          <w:sz w:val="24"/>
          <w:szCs w:val="24"/>
          <w:lang w:val="en-US" w:eastAsia="zh-CN"/>
        </w:rPr>
        <w:t>3</w:t>
      </w:r>
      <w:r>
        <w:rPr>
          <w:rFonts w:hint="eastAsia" w:ascii="宋体" w:hAnsi="宋体" w:eastAsia="宋体" w:cs="宋体"/>
          <w:sz w:val="24"/>
          <w:szCs w:val="24"/>
        </w:rPr>
        <w:t>0分；</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w:t>
      </w:r>
      <w:r>
        <w:rPr>
          <w:rFonts w:hint="eastAsia" w:ascii="宋体" w:hAnsi="宋体" w:eastAsia="宋体" w:cs="宋体"/>
          <w:sz w:val="24"/>
          <w:szCs w:val="24"/>
          <w:lang w:val="en-US" w:eastAsia="zh-CN"/>
        </w:rPr>
        <w:t>投标</w:t>
      </w:r>
      <w:r>
        <w:rPr>
          <w:rFonts w:hint="eastAsia" w:ascii="宋体" w:hAnsi="宋体" w:eastAsia="宋体" w:cs="宋体"/>
          <w:sz w:val="24"/>
          <w:szCs w:val="24"/>
        </w:rPr>
        <w:t>人的价格分按以下公式计算：</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报价得分=（评分基准价/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人</w:t>
      </w:r>
      <w:r>
        <w:rPr>
          <w:rFonts w:hint="eastAsia" w:ascii="宋体" w:hAnsi="宋体" w:eastAsia="宋体" w:cs="宋体"/>
          <w:sz w:val="24"/>
          <w:szCs w:val="24"/>
          <w:lang w:val="en-US" w:eastAsia="zh-CN"/>
        </w:rPr>
        <w:t>投标</w:t>
      </w:r>
      <w:r>
        <w:rPr>
          <w:rFonts w:hint="eastAsia" w:ascii="宋体" w:hAnsi="宋体" w:eastAsia="宋体" w:cs="宋体"/>
          <w:sz w:val="24"/>
          <w:szCs w:val="24"/>
        </w:rPr>
        <w:t>报价）× 价格权值 ×100（保留小数2位）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人的综合得分为技术分和商务（报价）分的总和。</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4、评标委员会认为</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人的报价明显低于其他通过符合性审查</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val="en-US" w:eastAsia="zh-CN"/>
        </w:rPr>
        <w:t>投标</w:t>
      </w:r>
      <w:r>
        <w:rPr>
          <w:rFonts w:hint="eastAsia" w:ascii="宋体" w:hAnsi="宋体" w:eastAsia="宋体" w:cs="宋体"/>
          <w:sz w:val="24"/>
          <w:szCs w:val="24"/>
        </w:rPr>
        <w:t>人不能证明其报价合理性的，评标委员会应当将其作为无效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处理。</w:t>
      </w: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spacing w:line="360" w:lineRule="auto"/>
        <w:rPr>
          <w:rFonts w:hint="eastAsia"/>
          <w:sz w:val="28"/>
          <w:szCs w:val="28"/>
          <w:lang w:val="en-US" w:eastAsia="zh-CN"/>
        </w:rPr>
      </w:pPr>
    </w:p>
    <w:p>
      <w:pPr>
        <w:pStyle w:val="2"/>
        <w:spacing w:line="360" w:lineRule="auto"/>
        <w:rPr>
          <w:rFonts w:hint="default" w:eastAsia="宋体"/>
          <w:sz w:val="28"/>
          <w:szCs w:val="28"/>
          <w:lang w:val="en-US" w:eastAsia="zh-CN"/>
        </w:rPr>
      </w:pPr>
      <w:r>
        <w:rPr>
          <w:rFonts w:hint="eastAsia"/>
          <w:sz w:val="28"/>
          <w:szCs w:val="28"/>
          <w:lang w:val="en-US" w:eastAsia="zh-CN"/>
        </w:rPr>
        <w:t>九、附件</w:t>
      </w:r>
    </w:p>
    <w:p>
      <w:pPr>
        <w:spacing w:line="360" w:lineRule="auto"/>
        <w:rPr>
          <w:rFonts w:hint="eastAsia" w:ascii="宋体" w:hAnsi="宋体"/>
          <w:b/>
          <w:sz w:val="22"/>
          <w:szCs w:val="22"/>
        </w:rPr>
      </w:pPr>
      <w:r>
        <w:rPr>
          <w:rFonts w:hint="eastAsia" w:ascii="宋体" w:hAnsi="宋体"/>
          <w:b/>
          <w:sz w:val="22"/>
          <w:szCs w:val="22"/>
          <w:lang w:val="en-US" w:eastAsia="zh-CN"/>
        </w:rPr>
        <w:t>1、</w:t>
      </w:r>
      <w:r>
        <w:rPr>
          <w:rFonts w:hint="eastAsia" w:ascii="宋体" w:hAnsi="宋体"/>
          <w:b/>
          <w:sz w:val="22"/>
          <w:szCs w:val="22"/>
        </w:rPr>
        <w:t>技术</w:t>
      </w:r>
      <w:r>
        <w:rPr>
          <w:rFonts w:hint="eastAsia" w:ascii="宋体" w:hAnsi="宋体"/>
          <w:b/>
          <w:sz w:val="22"/>
          <w:szCs w:val="22"/>
          <w:lang w:val="en-US" w:eastAsia="zh-CN"/>
        </w:rPr>
        <w:t>评分：满分7</w:t>
      </w:r>
      <w:r>
        <w:rPr>
          <w:rFonts w:hint="eastAsia" w:ascii="宋体" w:hAnsi="宋体"/>
          <w:b/>
          <w:sz w:val="22"/>
          <w:szCs w:val="22"/>
        </w:rPr>
        <w:t>0分</w:t>
      </w:r>
    </w:p>
    <w:tbl>
      <w:tblPr>
        <w:tblStyle w:val="15"/>
        <w:tblW w:w="15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9"/>
        <w:gridCol w:w="4530"/>
        <w:gridCol w:w="1110"/>
        <w:gridCol w:w="8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1409"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序号</w:t>
            </w:r>
          </w:p>
        </w:tc>
        <w:tc>
          <w:tcPr>
            <w:tcW w:w="4530"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评分项目</w:t>
            </w:r>
          </w:p>
        </w:tc>
        <w:tc>
          <w:tcPr>
            <w:tcW w:w="1110"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分值</w:t>
            </w:r>
          </w:p>
        </w:tc>
        <w:tc>
          <w:tcPr>
            <w:tcW w:w="8189"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评标要点及说明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7" w:hRule="atLeast"/>
          <w:jc w:val="center"/>
        </w:trPr>
        <w:tc>
          <w:tcPr>
            <w:tcW w:w="1409" w:type="dxa"/>
            <w:vMerge w:val="restart"/>
            <w:shd w:val="clear" w:color="auto" w:fill="auto"/>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highlight w:val="none"/>
                <w:lang w:val="en-US" w:eastAsia="zh-CN"/>
              </w:rPr>
            </w:pPr>
            <w:bookmarkStart w:id="4" w:name="OLE_LINK8" w:colFirst="0" w:colLast="3"/>
            <w:r>
              <w:rPr>
                <w:rFonts w:hint="eastAsia" w:ascii="宋体" w:hAnsi="宋体" w:cs="宋体"/>
                <w:kern w:val="0"/>
                <w:sz w:val="22"/>
                <w:szCs w:val="22"/>
                <w:highlight w:val="none"/>
                <w:lang w:val="en-US" w:eastAsia="zh-CN"/>
              </w:rPr>
              <w:t>1</w:t>
            </w:r>
          </w:p>
        </w:tc>
        <w:tc>
          <w:tcPr>
            <w:tcW w:w="4530" w:type="dxa"/>
            <w:vMerge w:val="restart"/>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投标人情况</w:t>
            </w: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3分</w:t>
            </w:r>
          </w:p>
        </w:tc>
        <w:tc>
          <w:tcPr>
            <w:tcW w:w="8189" w:type="dxa"/>
            <w:shd w:val="clear" w:color="auto" w:fill="auto"/>
            <w:tcMar>
              <w:top w:w="15" w:type="dxa"/>
              <w:left w:w="15" w:type="dxa"/>
              <w:right w:w="15" w:type="dxa"/>
            </w:tcMar>
            <w:vAlign w:val="center"/>
          </w:tcPr>
          <w:p>
            <w:pPr>
              <w:widowControl/>
              <w:spacing w:line="240" w:lineRule="auto"/>
              <w:textAlignment w:val="center"/>
              <w:rPr>
                <w:rFonts w:hint="eastAsia" w:ascii="宋体" w:hAnsi="宋体" w:eastAsia="宋体" w:cs="宋体"/>
                <w:sz w:val="22"/>
                <w:highlight w:val="none"/>
              </w:rPr>
            </w:pPr>
            <w:r>
              <w:rPr>
                <w:rFonts w:hint="eastAsia" w:ascii="宋体" w:hAnsi="宋体" w:eastAsia="宋体" w:cs="宋体"/>
                <w:sz w:val="22"/>
                <w:highlight w:val="none"/>
              </w:rPr>
              <w:t>根据投标人企业综合情况以及其他相关情况</w:t>
            </w:r>
            <w:r>
              <w:rPr>
                <w:rFonts w:hint="eastAsia" w:ascii="宋体" w:hAnsi="宋体" w:cs="宋体"/>
                <w:sz w:val="22"/>
                <w:highlight w:val="none"/>
                <w:lang w:eastAsia="zh-CN"/>
              </w:rPr>
              <w:t>（企业规模、财务状况、技术专利等方面）</w:t>
            </w:r>
            <w:r>
              <w:rPr>
                <w:rFonts w:hint="eastAsia" w:ascii="宋体" w:hAnsi="宋体" w:eastAsia="宋体" w:cs="宋体"/>
                <w:sz w:val="22"/>
                <w:highlight w:val="none"/>
              </w:rPr>
              <w:t>进行综合比较打分（0-</w:t>
            </w:r>
            <w:r>
              <w:rPr>
                <w:rFonts w:hint="eastAsia" w:ascii="宋体" w:hAnsi="宋体" w:cs="宋体"/>
                <w:sz w:val="22"/>
                <w:highlight w:val="none"/>
                <w:lang w:val="en-US" w:eastAsia="zh-CN"/>
              </w:rPr>
              <w:t>3</w:t>
            </w:r>
            <w:r>
              <w:rPr>
                <w:rFonts w:hint="eastAsia" w:ascii="宋体" w:hAnsi="宋体" w:eastAsia="宋体" w:cs="宋体"/>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409" w:type="dxa"/>
            <w:vMerge w:val="continue"/>
            <w:shd w:val="clear" w:color="auto" w:fill="auto"/>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highlight w:val="none"/>
              </w:rPr>
            </w:pPr>
          </w:p>
        </w:tc>
        <w:tc>
          <w:tcPr>
            <w:tcW w:w="4530" w:type="dxa"/>
            <w:vMerge w:val="continue"/>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highlight w:val="none"/>
              </w:rPr>
            </w:pP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3分</w:t>
            </w:r>
          </w:p>
        </w:tc>
        <w:tc>
          <w:tcPr>
            <w:tcW w:w="8189" w:type="dxa"/>
            <w:shd w:val="clear" w:color="auto" w:fill="auto"/>
            <w:tcMar>
              <w:top w:w="15" w:type="dxa"/>
              <w:left w:w="15" w:type="dxa"/>
              <w:right w:w="15" w:type="dxa"/>
            </w:tcMar>
            <w:vAlign w:val="center"/>
          </w:tcPr>
          <w:p>
            <w:pPr>
              <w:widowControl/>
              <w:spacing w:line="240" w:lineRule="auto"/>
              <w:textAlignment w:val="center"/>
              <w:rPr>
                <w:rFonts w:hint="eastAsia" w:ascii="宋体" w:hAnsi="宋体" w:eastAsia="宋体" w:cs="宋体"/>
                <w:sz w:val="22"/>
                <w:highlight w:val="none"/>
              </w:rPr>
            </w:pPr>
            <w:r>
              <w:rPr>
                <w:rFonts w:hint="eastAsia" w:ascii="宋体" w:hAnsi="宋体" w:eastAsia="宋体" w:cs="宋体"/>
                <w:sz w:val="22"/>
                <w:highlight w:val="none"/>
              </w:rPr>
              <w:t>根据投标人设计师、安装工人的数量、综合素质、资质、相关工作经验等配备的合理性，比较打分（3-0分）。</w:t>
            </w:r>
          </w:p>
          <w:p>
            <w:pPr>
              <w:widowControl/>
              <w:spacing w:line="240" w:lineRule="auto"/>
              <w:textAlignment w:val="center"/>
              <w:rPr>
                <w:rFonts w:hint="eastAsia" w:ascii="宋体" w:hAnsi="宋体" w:eastAsia="宋体" w:cs="宋体"/>
                <w:sz w:val="22"/>
                <w:highlight w:val="none"/>
              </w:rPr>
            </w:pPr>
            <w:r>
              <w:rPr>
                <w:rFonts w:hint="eastAsia" w:ascii="宋体" w:hAnsi="宋体" w:eastAsia="宋体" w:cs="宋体"/>
                <w:sz w:val="22"/>
                <w:highlight w:val="none"/>
              </w:rPr>
              <w:t>（提供人员名单及相关资格证明材料和近三个月在本单位的社保缴纳证明）</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5" w:hRule="atLeast"/>
          <w:jc w:val="center"/>
        </w:trPr>
        <w:tc>
          <w:tcPr>
            <w:tcW w:w="1409" w:type="dxa"/>
            <w:vMerge w:val="restart"/>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4530" w:type="dxa"/>
            <w:tcMar>
              <w:top w:w="15" w:type="dxa"/>
              <w:left w:w="15" w:type="dxa"/>
              <w:right w:w="15" w:type="dxa"/>
            </w:tcMar>
            <w:vAlign w:val="center"/>
          </w:tcPr>
          <w:p>
            <w:pPr>
              <w:widowControl/>
              <w:spacing w:line="240" w:lineRule="auto"/>
              <w:jc w:val="center"/>
              <w:textAlignment w:val="center"/>
              <w:rPr>
                <w:rFonts w:hint="default" w:ascii="宋体" w:hAnsi="宋体" w:eastAsia="宋体" w:cs="宋体"/>
                <w:sz w:val="22"/>
                <w:szCs w:val="22"/>
                <w:lang w:val="en-US" w:eastAsia="zh-CN"/>
              </w:rPr>
            </w:pPr>
            <w:r>
              <w:rPr>
                <w:rFonts w:hint="eastAsia" w:ascii="宋体" w:hAnsi="宋体" w:cs="宋体"/>
                <w:kern w:val="0"/>
                <w:sz w:val="22"/>
                <w:szCs w:val="22"/>
                <w:lang w:val="en-US" w:eastAsia="zh-CN"/>
              </w:rPr>
              <w:t>楼顶发光字、发光LOGO制作设计方案、工艺、选材等</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rPr>
              <w:t>1</w:t>
            </w:r>
            <w:r>
              <w:rPr>
                <w:rFonts w:hint="eastAsia" w:ascii="宋体" w:hAnsi="宋体" w:cs="宋体"/>
                <w:kern w:val="0"/>
                <w:sz w:val="22"/>
                <w:szCs w:val="22"/>
                <w:lang w:val="en-US" w:eastAsia="zh-CN"/>
              </w:rPr>
              <w:t>1</w:t>
            </w:r>
            <w:r>
              <w:rPr>
                <w:rFonts w:hint="eastAsia" w:ascii="宋体" w:hAnsi="宋体" w:eastAsia="宋体" w:cs="宋体"/>
                <w:kern w:val="0"/>
                <w:sz w:val="22"/>
                <w:szCs w:val="22"/>
              </w:rPr>
              <w:t>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cs="宋体"/>
                <w:kern w:val="0"/>
                <w:sz w:val="22"/>
                <w:szCs w:val="22"/>
                <w:lang w:eastAsia="zh-CN"/>
              </w:rPr>
            </w:pPr>
            <w:r>
              <w:rPr>
                <w:rFonts w:hint="eastAsia" w:ascii="宋体" w:hAnsi="宋体" w:cs="宋体"/>
                <w:kern w:val="0"/>
                <w:sz w:val="22"/>
                <w:szCs w:val="22"/>
                <w:lang w:val="en-US" w:eastAsia="zh-CN"/>
              </w:rPr>
              <w:t>根据楼顶发光字、发光LOGO整体制作的设计方案、工艺、材料选择、材料厚度等情况进行综合评分，应</w:t>
            </w:r>
            <w:r>
              <w:rPr>
                <w:rFonts w:hint="eastAsia" w:ascii="宋体" w:hAnsi="宋体" w:eastAsia="宋体" w:cs="宋体"/>
                <w:kern w:val="0"/>
                <w:sz w:val="22"/>
                <w:szCs w:val="22"/>
                <w:lang w:eastAsia="zh-CN"/>
              </w:rPr>
              <w:t>提供主要材料或配件品牌、技术指标说明或相关检测报告等</w:t>
            </w:r>
            <w:r>
              <w:rPr>
                <w:rFonts w:hint="eastAsia" w:ascii="宋体" w:hAnsi="宋体" w:cs="宋体"/>
                <w:kern w:val="0"/>
                <w:sz w:val="22"/>
                <w:szCs w:val="22"/>
                <w:lang w:eastAsia="zh-CN"/>
              </w:rPr>
              <w:t>。</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A档:</w:t>
            </w:r>
            <w:r>
              <w:rPr>
                <w:rFonts w:hint="eastAsia" w:ascii="宋体" w:hAnsi="宋体" w:cs="宋体"/>
                <w:sz w:val="22"/>
                <w:szCs w:val="22"/>
                <w:lang w:val="en-US" w:eastAsia="zh-CN"/>
              </w:rPr>
              <w:t>11</w:t>
            </w:r>
            <w:r>
              <w:rPr>
                <w:rFonts w:hint="eastAsia" w:ascii="宋体" w:hAnsi="宋体" w:eastAsia="宋体" w:cs="宋体"/>
                <w:sz w:val="22"/>
                <w:szCs w:val="22"/>
              </w:rPr>
              <w:t>-</w:t>
            </w:r>
            <w:r>
              <w:rPr>
                <w:rFonts w:hint="eastAsia" w:ascii="宋体" w:hAnsi="宋体" w:cs="宋体"/>
                <w:sz w:val="22"/>
                <w:szCs w:val="22"/>
                <w:lang w:val="en-US" w:eastAsia="zh-CN"/>
              </w:rPr>
              <w:t>8</w:t>
            </w:r>
            <w:r>
              <w:rPr>
                <w:rFonts w:hint="eastAsia" w:ascii="宋体" w:hAnsi="宋体" w:eastAsia="宋体" w:cs="宋体"/>
                <w:sz w:val="22"/>
                <w:szCs w:val="22"/>
              </w:rPr>
              <w:t>分；B档：</w:t>
            </w:r>
            <w:r>
              <w:rPr>
                <w:rFonts w:hint="eastAsia" w:ascii="宋体" w:hAnsi="宋体" w:cs="宋体"/>
                <w:sz w:val="22"/>
                <w:szCs w:val="22"/>
                <w:lang w:val="en-US" w:eastAsia="zh-CN"/>
              </w:rPr>
              <w:t>7</w:t>
            </w:r>
            <w:r>
              <w:rPr>
                <w:rFonts w:hint="eastAsia" w:ascii="宋体" w:hAnsi="宋体" w:eastAsia="宋体" w:cs="宋体"/>
                <w:sz w:val="22"/>
                <w:szCs w:val="22"/>
              </w:rPr>
              <w:t>-</w:t>
            </w:r>
            <w:r>
              <w:rPr>
                <w:rFonts w:hint="eastAsia" w:ascii="宋体" w:hAnsi="宋体" w:cs="宋体"/>
                <w:sz w:val="22"/>
                <w:szCs w:val="22"/>
                <w:lang w:val="en-US" w:eastAsia="zh-CN"/>
              </w:rPr>
              <w:t>4</w:t>
            </w:r>
            <w:r>
              <w:rPr>
                <w:rFonts w:hint="eastAsia" w:ascii="宋体" w:hAnsi="宋体" w:eastAsia="宋体" w:cs="宋体"/>
                <w:sz w:val="22"/>
                <w:szCs w:val="22"/>
              </w:rPr>
              <w:t>分；C档：</w:t>
            </w:r>
            <w:r>
              <w:rPr>
                <w:rFonts w:hint="eastAsia" w:ascii="宋体" w:hAnsi="宋体" w:cs="宋体"/>
                <w:sz w:val="22"/>
                <w:szCs w:val="22"/>
                <w:lang w:val="en-US" w:eastAsia="zh-CN"/>
              </w:rPr>
              <w:t>3</w:t>
            </w:r>
            <w:r>
              <w:rPr>
                <w:rFonts w:hint="eastAsia" w:ascii="宋体" w:hAnsi="宋体" w:eastAsia="宋体" w:cs="宋体"/>
                <w:sz w:val="22"/>
                <w:szCs w:val="22"/>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5" w:hRule="atLeast"/>
          <w:jc w:val="center"/>
        </w:trPr>
        <w:tc>
          <w:tcPr>
            <w:tcW w:w="1409" w:type="dxa"/>
            <w:vMerge w:val="continue"/>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lang w:val="en-US" w:eastAsia="zh-CN"/>
              </w:rPr>
              <w:t>外围灯箱</w:t>
            </w:r>
            <w:r>
              <w:rPr>
                <w:rFonts w:hint="eastAsia" w:ascii="宋体" w:hAnsi="宋体" w:cs="宋体"/>
                <w:kern w:val="0"/>
                <w:sz w:val="22"/>
                <w:szCs w:val="22"/>
                <w:lang w:val="en-US" w:eastAsia="zh-CN"/>
              </w:rPr>
              <w:t>制作设计方案、工艺、选材等</w:t>
            </w:r>
          </w:p>
        </w:tc>
        <w:tc>
          <w:tcPr>
            <w:tcW w:w="1110" w:type="dxa"/>
            <w:tcMar>
              <w:top w:w="15" w:type="dxa"/>
              <w:left w:w="15" w:type="dxa"/>
              <w:right w:w="15" w:type="dxa"/>
            </w:tcMar>
            <w:vAlign w:val="center"/>
          </w:tcPr>
          <w:p>
            <w:pPr>
              <w:widowControl/>
              <w:spacing w:line="240" w:lineRule="auto"/>
              <w:jc w:val="center"/>
              <w:textAlignment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11分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cs="宋体"/>
                <w:kern w:val="0"/>
                <w:sz w:val="22"/>
                <w:szCs w:val="22"/>
                <w:lang w:eastAsia="zh-CN"/>
              </w:rPr>
            </w:pPr>
            <w:r>
              <w:rPr>
                <w:rFonts w:hint="eastAsia" w:ascii="宋体" w:hAnsi="宋体" w:cs="宋体"/>
                <w:kern w:val="0"/>
                <w:sz w:val="22"/>
                <w:szCs w:val="22"/>
                <w:lang w:val="en-US" w:eastAsia="zh-CN"/>
              </w:rPr>
              <w:t>根据外围灯箱整体制作的设计方案、工艺、材料选择、材料厚度等情况进行综合评分，应</w:t>
            </w:r>
            <w:r>
              <w:rPr>
                <w:rFonts w:hint="eastAsia" w:ascii="宋体" w:hAnsi="宋体" w:eastAsia="宋体" w:cs="宋体"/>
                <w:kern w:val="0"/>
                <w:sz w:val="22"/>
                <w:szCs w:val="22"/>
                <w:lang w:eastAsia="zh-CN"/>
              </w:rPr>
              <w:t>提供主要材料或配件品牌、技术指标说明或相关检测报告等</w:t>
            </w:r>
            <w:r>
              <w:rPr>
                <w:rFonts w:hint="eastAsia" w:ascii="宋体" w:hAnsi="宋体" w:cs="宋体"/>
                <w:kern w:val="0"/>
                <w:sz w:val="22"/>
                <w:szCs w:val="22"/>
                <w:lang w:eastAsia="zh-CN"/>
              </w:rPr>
              <w:t>。</w:t>
            </w:r>
          </w:p>
          <w:p>
            <w:pPr>
              <w:pStyle w:val="2"/>
              <w:rPr>
                <w:rFonts w:hint="default"/>
                <w:lang w:val="en-US" w:eastAsia="zh-CN"/>
              </w:rPr>
            </w:pPr>
            <w:r>
              <w:rPr>
                <w:rFonts w:hint="eastAsia" w:ascii="宋体" w:hAnsi="宋体" w:eastAsia="宋体" w:cs="宋体"/>
                <w:b w:val="0"/>
                <w:bCs/>
                <w:sz w:val="22"/>
                <w:szCs w:val="22"/>
              </w:rPr>
              <w:t>A档:</w:t>
            </w:r>
            <w:r>
              <w:rPr>
                <w:rFonts w:hint="eastAsia" w:ascii="宋体" w:hAnsi="宋体" w:cs="宋体"/>
                <w:b w:val="0"/>
                <w:bCs/>
                <w:sz w:val="22"/>
                <w:szCs w:val="22"/>
                <w:lang w:val="en-US" w:eastAsia="zh-CN"/>
              </w:rPr>
              <w:t>11</w:t>
            </w:r>
            <w:r>
              <w:rPr>
                <w:rFonts w:hint="eastAsia" w:ascii="宋体" w:hAnsi="宋体" w:eastAsia="宋体" w:cs="宋体"/>
                <w:b w:val="0"/>
                <w:bCs/>
                <w:sz w:val="22"/>
                <w:szCs w:val="22"/>
              </w:rPr>
              <w:t>-</w:t>
            </w:r>
            <w:r>
              <w:rPr>
                <w:rFonts w:hint="eastAsia" w:ascii="宋体" w:hAnsi="宋体" w:cs="宋体"/>
                <w:b w:val="0"/>
                <w:bCs/>
                <w:sz w:val="22"/>
                <w:szCs w:val="22"/>
                <w:lang w:val="en-US" w:eastAsia="zh-CN"/>
              </w:rPr>
              <w:t>8</w:t>
            </w:r>
            <w:r>
              <w:rPr>
                <w:rFonts w:hint="eastAsia" w:ascii="宋体" w:hAnsi="宋体" w:eastAsia="宋体" w:cs="宋体"/>
                <w:b w:val="0"/>
                <w:bCs/>
                <w:sz w:val="22"/>
                <w:szCs w:val="22"/>
              </w:rPr>
              <w:t>分；B档：</w:t>
            </w:r>
            <w:r>
              <w:rPr>
                <w:rFonts w:hint="eastAsia" w:ascii="宋体" w:hAnsi="宋体" w:cs="宋体"/>
                <w:b w:val="0"/>
                <w:bCs/>
                <w:sz w:val="22"/>
                <w:szCs w:val="22"/>
                <w:lang w:val="en-US" w:eastAsia="zh-CN"/>
              </w:rPr>
              <w:t>7</w:t>
            </w:r>
            <w:r>
              <w:rPr>
                <w:rFonts w:hint="eastAsia" w:ascii="宋体" w:hAnsi="宋体" w:eastAsia="宋体" w:cs="宋体"/>
                <w:b w:val="0"/>
                <w:bCs/>
                <w:sz w:val="22"/>
                <w:szCs w:val="22"/>
              </w:rPr>
              <w:t>-</w:t>
            </w:r>
            <w:r>
              <w:rPr>
                <w:rFonts w:hint="eastAsia" w:ascii="宋体" w:hAnsi="宋体" w:cs="宋体"/>
                <w:b w:val="0"/>
                <w:bCs/>
                <w:sz w:val="22"/>
                <w:szCs w:val="22"/>
                <w:lang w:val="en-US" w:eastAsia="zh-CN"/>
              </w:rPr>
              <w:t>4</w:t>
            </w:r>
            <w:r>
              <w:rPr>
                <w:rFonts w:hint="eastAsia" w:ascii="宋体" w:hAnsi="宋体" w:eastAsia="宋体" w:cs="宋体"/>
                <w:b w:val="0"/>
                <w:bCs/>
                <w:sz w:val="22"/>
                <w:szCs w:val="22"/>
              </w:rPr>
              <w:t>分；C档：</w:t>
            </w:r>
            <w:r>
              <w:rPr>
                <w:rFonts w:hint="eastAsia" w:ascii="宋体" w:hAnsi="宋体" w:cs="宋体"/>
                <w:b w:val="0"/>
                <w:bCs/>
                <w:sz w:val="22"/>
                <w:szCs w:val="22"/>
                <w:lang w:val="en-US" w:eastAsia="zh-CN"/>
              </w:rPr>
              <w:t>3</w:t>
            </w:r>
            <w:r>
              <w:rPr>
                <w:rFonts w:hint="eastAsia" w:ascii="宋体" w:hAnsi="宋体" w:eastAsia="宋体" w:cs="宋体"/>
                <w:b w:val="0"/>
                <w:bCs/>
                <w:sz w:val="22"/>
                <w:szCs w:val="22"/>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0" w:hRule="atLeast"/>
          <w:jc w:val="center"/>
        </w:trPr>
        <w:tc>
          <w:tcPr>
            <w:tcW w:w="1409" w:type="dxa"/>
            <w:vMerge w:val="continue"/>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投标产品加工制作及安装、验收方案</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7分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投标产品加工工艺制造方案描述、加工生产计划、场地安排方案、施工质量、文明、环境保证措施、安装、验收等方案是否合理；</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A档:7-5分；B档：4.9-2分；C档：1.9-0分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5" w:hRule="atLeast"/>
          <w:jc w:val="center"/>
        </w:trPr>
        <w:tc>
          <w:tcPr>
            <w:tcW w:w="1409" w:type="dxa"/>
            <w:vMerge w:val="continue"/>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产品结构、安全性等方案描述的合理性</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7分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lang w:eastAsia="zh-CN"/>
              </w:rPr>
              <w:t>投标人根据本项目情况给出主要</w:t>
            </w:r>
            <w:r>
              <w:rPr>
                <w:rFonts w:hint="eastAsia" w:ascii="宋体" w:hAnsi="宋体" w:eastAsia="宋体" w:cs="宋体"/>
                <w:sz w:val="22"/>
                <w:szCs w:val="22"/>
              </w:rPr>
              <w:t>产品结构</w:t>
            </w:r>
            <w:r>
              <w:rPr>
                <w:rFonts w:hint="eastAsia" w:ascii="宋体" w:hAnsi="宋体" w:eastAsia="宋体" w:cs="宋体"/>
                <w:sz w:val="22"/>
                <w:szCs w:val="22"/>
                <w:lang w:eastAsia="zh-CN"/>
              </w:rPr>
              <w:t>示意</w:t>
            </w:r>
            <w:r>
              <w:rPr>
                <w:rFonts w:hint="eastAsia" w:ascii="宋体" w:hAnsi="宋体" w:eastAsia="宋体" w:cs="宋体"/>
                <w:sz w:val="22"/>
                <w:szCs w:val="22"/>
              </w:rPr>
              <w:t>、安全性</w:t>
            </w:r>
            <w:r>
              <w:rPr>
                <w:rFonts w:hint="eastAsia" w:ascii="宋体" w:hAnsi="宋体" w:eastAsia="宋体" w:cs="宋体"/>
                <w:sz w:val="22"/>
                <w:szCs w:val="22"/>
                <w:lang w:eastAsia="zh-CN"/>
              </w:rPr>
              <w:t>说明（包括但不限于产品结构合理性、</w:t>
            </w:r>
            <w:r>
              <w:rPr>
                <w:rFonts w:hint="eastAsia" w:ascii="宋体" w:hAnsi="宋体" w:eastAsia="宋体" w:cs="宋体"/>
                <w:sz w:val="22"/>
                <w:szCs w:val="22"/>
              </w:rPr>
              <w:t>防风、防雨、防雪、防雷、抗冲击</w:t>
            </w:r>
            <w:r>
              <w:rPr>
                <w:rFonts w:hint="eastAsia" w:ascii="宋体" w:hAnsi="宋体" w:eastAsia="宋体" w:cs="宋体"/>
                <w:sz w:val="22"/>
                <w:szCs w:val="22"/>
                <w:lang w:eastAsia="zh-CN"/>
              </w:rPr>
              <w:t>）</w:t>
            </w:r>
            <w:r>
              <w:rPr>
                <w:rFonts w:hint="eastAsia" w:ascii="宋体" w:hAnsi="宋体" w:eastAsia="宋体" w:cs="宋体"/>
                <w:sz w:val="22"/>
                <w:szCs w:val="22"/>
              </w:rPr>
              <w:t>等方案描述的</w:t>
            </w:r>
            <w:r>
              <w:rPr>
                <w:rFonts w:hint="eastAsia" w:ascii="宋体" w:hAnsi="宋体" w:eastAsia="宋体" w:cs="宋体"/>
                <w:sz w:val="22"/>
                <w:szCs w:val="22"/>
                <w:lang w:eastAsia="zh-CN"/>
              </w:rPr>
              <w:t>科学性、</w:t>
            </w:r>
            <w:r>
              <w:rPr>
                <w:rFonts w:hint="eastAsia" w:ascii="宋体" w:hAnsi="宋体" w:eastAsia="宋体" w:cs="宋体"/>
                <w:sz w:val="22"/>
                <w:szCs w:val="22"/>
              </w:rPr>
              <w:t>合理性由评标委员会横向比较，酌情打分。</w:t>
            </w:r>
          </w:p>
          <w:p>
            <w:pPr>
              <w:pStyle w:val="4"/>
              <w:spacing w:line="240" w:lineRule="auto"/>
              <w:rPr>
                <w:rFonts w:hint="eastAsia" w:ascii="宋体" w:hAnsi="宋体" w:eastAsia="宋体" w:cs="宋体"/>
                <w:sz w:val="22"/>
                <w:szCs w:val="22"/>
              </w:rPr>
            </w:pPr>
            <w:r>
              <w:rPr>
                <w:rFonts w:hint="eastAsia" w:ascii="宋体" w:hAnsi="宋体" w:eastAsia="宋体" w:cs="宋体"/>
                <w:sz w:val="22"/>
                <w:szCs w:val="22"/>
              </w:rPr>
              <w:t>A档:7-5分；B档：4.9-2分；C档：1.9-0分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atLeast"/>
          <w:jc w:val="center"/>
        </w:trPr>
        <w:tc>
          <w:tcPr>
            <w:tcW w:w="1409" w:type="dxa"/>
            <w:vMerge w:val="restart"/>
            <w:shd w:val="clear" w:color="auto" w:fill="auto"/>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bookmarkStart w:id="5" w:name="OLE_LINK6" w:colFirst="0" w:colLast="3"/>
            <w:r>
              <w:rPr>
                <w:rFonts w:hint="eastAsia" w:ascii="宋体" w:hAnsi="宋体" w:eastAsia="宋体" w:cs="宋体"/>
                <w:kern w:val="0"/>
                <w:sz w:val="22"/>
                <w:szCs w:val="22"/>
              </w:rPr>
              <w:t>3</w:t>
            </w:r>
          </w:p>
        </w:tc>
        <w:tc>
          <w:tcPr>
            <w:tcW w:w="4530" w:type="dxa"/>
            <w:vMerge w:val="restart"/>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lang w:eastAsia="zh-CN"/>
              </w:rPr>
            </w:pPr>
            <w:r>
              <w:rPr>
                <w:rFonts w:hint="eastAsia" w:ascii="宋体" w:hAnsi="宋体" w:eastAsia="宋体" w:cs="宋体"/>
                <w:kern w:val="0"/>
                <w:sz w:val="22"/>
                <w:szCs w:val="22"/>
                <w:lang w:eastAsia="zh-CN"/>
              </w:rPr>
              <w:t>拟派本项目主要人员情况及生产能力情况</w:t>
            </w: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cs="宋体"/>
                <w:kern w:val="0"/>
                <w:sz w:val="22"/>
                <w:szCs w:val="22"/>
                <w:lang w:val="en-US" w:eastAsia="zh-CN"/>
              </w:rPr>
              <w:t>7</w:t>
            </w:r>
            <w:r>
              <w:rPr>
                <w:rFonts w:hint="eastAsia" w:ascii="宋体" w:hAnsi="宋体" w:eastAsia="宋体" w:cs="宋体"/>
                <w:kern w:val="0"/>
                <w:sz w:val="22"/>
                <w:szCs w:val="22"/>
              </w:rPr>
              <w:t>分</w:t>
            </w:r>
          </w:p>
        </w:tc>
        <w:tc>
          <w:tcPr>
            <w:tcW w:w="8189" w:type="dxa"/>
            <w:shd w:val="clear" w:color="auto" w:fill="auto"/>
            <w:tcMar>
              <w:top w:w="15" w:type="dxa"/>
              <w:left w:w="15" w:type="dxa"/>
              <w:right w:w="15" w:type="dxa"/>
            </w:tcMar>
            <w:vAlign w:val="center"/>
          </w:tcPr>
          <w:p>
            <w:pPr>
              <w:widowControl/>
              <w:numPr>
                <w:ilvl w:val="0"/>
                <w:numId w:val="1"/>
              </w:numPr>
              <w:spacing w:line="240" w:lineRule="auto"/>
              <w:textAlignment w:val="center"/>
              <w:rPr>
                <w:rFonts w:hint="eastAsia" w:ascii="宋体" w:hAnsi="宋体" w:eastAsia="宋体" w:cs="宋体"/>
                <w:sz w:val="22"/>
                <w:szCs w:val="22"/>
              </w:rPr>
            </w:pPr>
            <w:bookmarkStart w:id="6" w:name="OLE_LINK7"/>
            <w:r>
              <w:rPr>
                <w:rStyle w:val="28"/>
                <w:rFonts w:hint="eastAsia" w:ascii="宋体" w:hAnsi="宋体" w:eastAsia="宋体" w:cs="宋体"/>
                <w:color w:val="auto"/>
                <w:sz w:val="22"/>
                <w:szCs w:val="22"/>
                <w:highlight w:val="none"/>
              </w:rPr>
              <w:t>拟投入本项目的负责人具备安全管理人员证</w:t>
            </w:r>
            <w:r>
              <w:rPr>
                <w:rStyle w:val="28"/>
                <w:rFonts w:hint="eastAsia" w:ascii="宋体" w:hAnsi="宋体" w:cs="宋体"/>
                <w:color w:val="auto"/>
                <w:sz w:val="22"/>
                <w:szCs w:val="22"/>
                <w:highlight w:val="none"/>
                <w:lang w:val="en-US" w:eastAsia="zh-CN"/>
              </w:rPr>
              <w:t>书和</w:t>
            </w:r>
            <w:r>
              <w:rPr>
                <w:rStyle w:val="28"/>
                <w:rFonts w:hint="eastAsia" w:ascii="宋体" w:hAnsi="宋体" w:eastAsia="宋体" w:cs="宋体"/>
                <w:color w:val="auto"/>
                <w:sz w:val="22"/>
                <w:szCs w:val="22"/>
                <w:highlight w:val="none"/>
              </w:rPr>
              <w:t>质量工程师</w:t>
            </w:r>
            <w:r>
              <w:rPr>
                <w:rStyle w:val="28"/>
                <w:rFonts w:hint="eastAsia" w:ascii="宋体" w:hAnsi="宋体" w:cs="宋体"/>
                <w:color w:val="auto"/>
                <w:sz w:val="22"/>
                <w:szCs w:val="22"/>
                <w:highlight w:val="none"/>
                <w:lang w:val="en-US" w:eastAsia="zh-CN"/>
              </w:rPr>
              <w:t>证书</w:t>
            </w:r>
            <w:r>
              <w:rPr>
                <w:rStyle w:val="28"/>
                <w:rFonts w:hint="eastAsia" w:ascii="宋体" w:hAnsi="宋体" w:eastAsia="宋体" w:cs="宋体"/>
                <w:color w:val="auto"/>
                <w:sz w:val="22"/>
                <w:szCs w:val="22"/>
                <w:highlight w:val="none"/>
              </w:rPr>
              <w:t>的，</w:t>
            </w:r>
            <w:r>
              <w:rPr>
                <w:rStyle w:val="28"/>
                <w:rFonts w:hint="eastAsia" w:ascii="宋体" w:hAnsi="宋体" w:cs="宋体"/>
                <w:color w:val="auto"/>
                <w:sz w:val="22"/>
                <w:szCs w:val="22"/>
                <w:highlight w:val="none"/>
                <w:lang w:val="en-US" w:eastAsia="zh-CN"/>
              </w:rPr>
              <w:t>每提供一个证书得2</w:t>
            </w:r>
            <w:r>
              <w:rPr>
                <w:rStyle w:val="28"/>
                <w:rFonts w:hint="eastAsia" w:ascii="宋体" w:hAnsi="宋体" w:eastAsia="宋体" w:cs="宋体"/>
                <w:color w:val="auto"/>
                <w:sz w:val="22"/>
                <w:szCs w:val="22"/>
                <w:highlight w:val="none"/>
              </w:rPr>
              <w:t>分</w:t>
            </w:r>
            <w:r>
              <w:rPr>
                <w:rStyle w:val="28"/>
                <w:rFonts w:hint="eastAsia" w:ascii="宋体" w:hAnsi="宋体" w:cs="宋体"/>
                <w:color w:val="auto"/>
                <w:sz w:val="22"/>
                <w:szCs w:val="22"/>
                <w:highlight w:val="none"/>
                <w:lang w:eastAsia="zh-CN"/>
              </w:rPr>
              <w:t>，</w:t>
            </w:r>
            <w:r>
              <w:rPr>
                <w:rStyle w:val="28"/>
                <w:rFonts w:hint="eastAsia" w:ascii="宋体" w:hAnsi="宋体" w:cs="宋体"/>
                <w:color w:val="auto"/>
                <w:sz w:val="22"/>
                <w:szCs w:val="22"/>
                <w:highlight w:val="none"/>
                <w:lang w:val="en-US" w:eastAsia="zh-CN"/>
              </w:rPr>
              <w:t>最高得4分</w:t>
            </w:r>
            <w:r>
              <w:rPr>
                <w:rFonts w:hint="eastAsia" w:ascii="宋体" w:hAnsi="宋体" w:eastAsia="宋体" w:cs="宋体"/>
                <w:kern w:val="0"/>
                <w:sz w:val="22"/>
                <w:szCs w:val="22"/>
                <w:lang w:val="en-US" w:eastAsia="zh-CN"/>
              </w:rPr>
              <w:t>；</w:t>
            </w:r>
          </w:p>
          <w:p>
            <w:pPr>
              <w:widowControl/>
              <w:numPr>
                <w:ilvl w:val="0"/>
                <w:numId w:val="1"/>
              </w:numPr>
              <w:spacing w:line="240" w:lineRule="auto"/>
              <w:textAlignment w:val="center"/>
              <w:rPr>
                <w:rFonts w:hint="eastAsia" w:ascii="宋体" w:hAnsi="宋体" w:eastAsia="宋体" w:cs="宋体"/>
                <w:sz w:val="22"/>
                <w:szCs w:val="22"/>
              </w:rPr>
            </w:pPr>
            <w:r>
              <w:rPr>
                <w:rFonts w:hint="eastAsia" w:ascii="宋体" w:hAnsi="宋体" w:eastAsia="宋体" w:cs="宋体"/>
                <w:kern w:val="0"/>
                <w:sz w:val="22"/>
                <w:szCs w:val="22"/>
              </w:rPr>
              <w:t>根据项目负责人</w:t>
            </w:r>
            <w:r>
              <w:rPr>
                <w:rFonts w:hint="eastAsia" w:ascii="宋体" w:hAnsi="宋体" w:eastAsia="宋体" w:cs="宋体"/>
                <w:sz w:val="22"/>
                <w:szCs w:val="22"/>
              </w:rPr>
              <w:t>从业年限、从业经验、从业资格横向比较打分</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A档:3分；B档：2分；C档：1分</w:t>
            </w:r>
          </w:p>
          <w:p>
            <w:pPr>
              <w:widowControl/>
              <w:spacing w:line="240" w:lineRule="auto"/>
              <w:textAlignment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备注：</w:t>
            </w:r>
            <w:r>
              <w:rPr>
                <w:rFonts w:hint="eastAsia" w:ascii="宋体" w:hAnsi="宋体" w:eastAsia="宋体" w:cs="宋体"/>
                <w:kern w:val="0"/>
                <w:sz w:val="22"/>
                <w:szCs w:val="22"/>
              </w:rPr>
              <w:t>提供人员</w:t>
            </w:r>
            <w:r>
              <w:rPr>
                <w:rFonts w:hint="eastAsia" w:ascii="宋体" w:hAnsi="宋体" w:eastAsia="宋体" w:cs="宋体"/>
                <w:kern w:val="0"/>
                <w:sz w:val="22"/>
                <w:szCs w:val="22"/>
                <w:lang w:eastAsia="zh-CN"/>
              </w:rPr>
              <w:t>证书</w:t>
            </w:r>
            <w:r>
              <w:rPr>
                <w:rFonts w:hint="eastAsia" w:ascii="宋体" w:hAnsi="宋体" w:eastAsia="宋体" w:cs="宋体"/>
                <w:kern w:val="0"/>
                <w:sz w:val="22"/>
                <w:szCs w:val="22"/>
              </w:rPr>
              <w:t>和</w:t>
            </w:r>
            <w:r>
              <w:rPr>
                <w:rFonts w:hint="eastAsia" w:ascii="宋体" w:hAnsi="宋体" w:eastAsia="宋体" w:cs="宋体"/>
                <w:kern w:val="0"/>
                <w:sz w:val="22"/>
                <w:szCs w:val="22"/>
                <w:lang w:eastAsia="zh-CN"/>
              </w:rPr>
              <w:t>本单位近</w:t>
            </w:r>
            <w:r>
              <w:rPr>
                <w:rFonts w:hint="eastAsia" w:ascii="宋体" w:hAnsi="宋体" w:cs="宋体"/>
                <w:kern w:val="0"/>
                <w:sz w:val="22"/>
                <w:szCs w:val="22"/>
                <w:lang w:val="en-US" w:eastAsia="zh-CN"/>
              </w:rPr>
              <w:t>三</w:t>
            </w:r>
            <w:r>
              <w:rPr>
                <w:rFonts w:hint="eastAsia" w:ascii="宋体" w:hAnsi="宋体" w:eastAsia="宋体" w:cs="宋体"/>
                <w:kern w:val="0"/>
                <w:sz w:val="22"/>
                <w:szCs w:val="22"/>
                <w:lang w:eastAsia="zh-CN"/>
              </w:rPr>
              <w:t>个月的</w:t>
            </w:r>
            <w:r>
              <w:rPr>
                <w:rFonts w:hint="eastAsia" w:ascii="宋体" w:hAnsi="宋体" w:eastAsia="宋体" w:cs="宋体"/>
                <w:kern w:val="0"/>
                <w:sz w:val="22"/>
                <w:szCs w:val="22"/>
              </w:rPr>
              <w:t>社保缴纳证明</w:t>
            </w:r>
            <w:r>
              <w:rPr>
                <w:rFonts w:hint="eastAsia" w:ascii="宋体" w:hAnsi="宋体" w:eastAsia="宋体" w:cs="宋体"/>
                <w:kern w:val="0"/>
                <w:sz w:val="22"/>
                <w:szCs w:val="22"/>
                <w:lang w:eastAsia="zh-CN"/>
              </w:rPr>
              <w:t>；</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8" w:hRule="atLeast"/>
          <w:jc w:val="center"/>
        </w:trPr>
        <w:tc>
          <w:tcPr>
            <w:tcW w:w="1409" w:type="dxa"/>
            <w:vMerge w:val="continue"/>
            <w:shd w:val="clear" w:color="auto" w:fill="auto"/>
            <w:tcMar>
              <w:top w:w="15" w:type="dxa"/>
              <w:left w:w="15" w:type="dxa"/>
              <w:right w:w="15" w:type="dxa"/>
            </w:tcMar>
            <w:vAlign w:val="center"/>
          </w:tcPr>
          <w:p>
            <w:pPr>
              <w:spacing w:line="460" w:lineRule="exact"/>
              <w:jc w:val="center"/>
              <w:rPr>
                <w:rFonts w:hint="eastAsia" w:ascii="宋体" w:hAnsi="宋体" w:eastAsia="宋体" w:cs="宋体"/>
                <w:sz w:val="22"/>
                <w:szCs w:val="22"/>
              </w:rPr>
            </w:pPr>
            <w:bookmarkStart w:id="7" w:name="OLE_LINK4" w:colFirst="2" w:colLast="3"/>
          </w:p>
        </w:tc>
        <w:tc>
          <w:tcPr>
            <w:tcW w:w="4530" w:type="dxa"/>
            <w:vMerge w:val="continue"/>
            <w:shd w:val="clear" w:color="auto" w:fill="auto"/>
            <w:tcMar>
              <w:top w:w="15" w:type="dxa"/>
              <w:left w:w="15" w:type="dxa"/>
              <w:right w:w="15" w:type="dxa"/>
            </w:tcMar>
            <w:vAlign w:val="center"/>
          </w:tcPr>
          <w:p>
            <w:pPr>
              <w:spacing w:line="240" w:lineRule="auto"/>
              <w:jc w:val="center"/>
              <w:rPr>
                <w:rFonts w:hint="eastAsia" w:ascii="宋体" w:hAnsi="宋体" w:eastAsia="宋体" w:cs="宋体"/>
                <w:sz w:val="22"/>
                <w:szCs w:val="22"/>
              </w:rPr>
            </w:pP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rPr>
              <w:t>6</w:t>
            </w:r>
            <w:r>
              <w:rPr>
                <w:rFonts w:hint="eastAsia" w:ascii="宋体" w:hAnsi="宋体" w:eastAsia="宋体" w:cs="宋体"/>
                <w:kern w:val="0"/>
                <w:sz w:val="22"/>
                <w:szCs w:val="22"/>
              </w:rPr>
              <w:t>分</w:t>
            </w:r>
          </w:p>
        </w:tc>
        <w:tc>
          <w:tcPr>
            <w:tcW w:w="8189" w:type="dxa"/>
            <w:shd w:val="clear" w:color="auto" w:fill="auto"/>
            <w:tcMar>
              <w:top w:w="15" w:type="dxa"/>
              <w:left w:w="15" w:type="dxa"/>
              <w:right w:w="15" w:type="dxa"/>
            </w:tcMar>
            <w:vAlign w:val="center"/>
          </w:tcPr>
          <w:p>
            <w:pPr>
              <w:widowControl/>
              <w:spacing w:line="240" w:lineRule="auto"/>
              <w:textAlignment w:val="center"/>
              <w:rPr>
                <w:rStyle w:val="28"/>
                <w:rFonts w:hint="eastAsia" w:ascii="宋体" w:hAnsi="宋体" w:eastAsia="宋体" w:cs="宋体"/>
                <w:color w:val="auto"/>
                <w:sz w:val="22"/>
                <w:szCs w:val="22"/>
                <w:highlight w:val="none"/>
                <w:lang w:val="en-US" w:eastAsia="zh-CN"/>
              </w:rPr>
            </w:pPr>
            <w:r>
              <w:rPr>
                <w:rStyle w:val="28"/>
                <w:rFonts w:hint="eastAsia" w:ascii="宋体" w:hAnsi="宋体" w:eastAsia="宋体" w:cs="宋体"/>
                <w:color w:val="auto"/>
                <w:sz w:val="22"/>
                <w:szCs w:val="22"/>
                <w:highlight w:val="none"/>
                <w:lang w:val="en-US" w:eastAsia="zh-CN"/>
              </w:rPr>
              <w:t>根据拟派施工小组成员（除项目负责人外）各专业的技术负责人（需提供专业职称）、施工员、质量员、安全员、</w:t>
            </w:r>
            <w:r>
              <w:rPr>
                <w:rFonts w:hint="eastAsia" w:ascii="宋体" w:hAnsi="宋体" w:eastAsia="宋体" w:cs="宋体"/>
                <w:color w:val="auto"/>
                <w:sz w:val="22"/>
                <w:szCs w:val="22"/>
                <w:highlight w:val="none"/>
              </w:rPr>
              <w:t>焊接与热切割、油漆工、</w:t>
            </w:r>
            <w:r>
              <w:rPr>
                <w:rFonts w:hint="eastAsia" w:ascii="宋体" w:hAnsi="宋体" w:eastAsia="宋体" w:cs="宋体"/>
                <w:color w:val="auto"/>
                <w:sz w:val="22"/>
                <w:szCs w:val="22"/>
                <w:highlight w:val="none"/>
                <w:lang w:val="en-US" w:eastAsia="zh-CN"/>
              </w:rPr>
              <w:t>低压电工、</w:t>
            </w:r>
            <w:r>
              <w:rPr>
                <w:rFonts w:hint="eastAsia" w:ascii="宋体" w:hAnsi="宋体" w:eastAsia="宋体" w:cs="宋体"/>
                <w:color w:val="auto"/>
                <w:sz w:val="22"/>
                <w:szCs w:val="22"/>
                <w:highlight w:val="none"/>
                <w:lang w:eastAsia="zh-CN"/>
              </w:rPr>
              <w:t>高处安装作业相关</w:t>
            </w:r>
            <w:r>
              <w:rPr>
                <w:rFonts w:hint="eastAsia" w:ascii="宋体" w:hAnsi="宋体" w:eastAsia="宋体" w:cs="宋体"/>
                <w:color w:val="auto"/>
                <w:sz w:val="22"/>
                <w:szCs w:val="22"/>
                <w:highlight w:val="none"/>
                <w:lang w:val="en-US" w:eastAsia="zh-CN"/>
              </w:rPr>
              <w:t>证书，每持有</w:t>
            </w:r>
            <w:r>
              <w:rPr>
                <w:rStyle w:val="28"/>
                <w:rFonts w:hint="eastAsia" w:ascii="宋体" w:hAnsi="宋体" w:eastAsia="宋体" w:cs="宋体"/>
                <w:color w:val="auto"/>
                <w:sz w:val="22"/>
                <w:szCs w:val="22"/>
                <w:highlight w:val="none"/>
                <w:lang w:val="en-US" w:eastAsia="zh-CN"/>
              </w:rPr>
              <w:t>一本得1分，最高不超过6分</w:t>
            </w:r>
          </w:p>
          <w:p>
            <w:pPr>
              <w:pStyle w:val="29"/>
              <w:spacing w:line="240" w:lineRule="auto"/>
              <w:ind w:firstLine="0" w:firstLineChars="0"/>
              <w:rPr>
                <w:rFonts w:hint="eastAsia" w:ascii="宋体" w:hAnsi="宋体" w:eastAsia="宋体" w:cs="宋体"/>
                <w:sz w:val="22"/>
                <w:szCs w:val="22"/>
              </w:rPr>
            </w:pPr>
            <w:r>
              <w:rPr>
                <w:rFonts w:hint="eastAsia" w:ascii="宋体" w:hAnsi="宋体" w:eastAsia="宋体" w:cs="宋体"/>
                <w:kern w:val="0"/>
                <w:sz w:val="22"/>
                <w:szCs w:val="22"/>
                <w:lang w:eastAsia="zh-CN"/>
              </w:rPr>
              <w:t>备注：</w:t>
            </w:r>
            <w:r>
              <w:rPr>
                <w:rFonts w:hint="eastAsia" w:ascii="宋体" w:hAnsi="宋体" w:eastAsia="宋体" w:cs="宋体"/>
                <w:kern w:val="0"/>
                <w:sz w:val="22"/>
                <w:szCs w:val="22"/>
              </w:rPr>
              <w:t>提供人员</w:t>
            </w:r>
            <w:r>
              <w:rPr>
                <w:rFonts w:hint="eastAsia" w:ascii="宋体" w:hAnsi="宋体" w:eastAsia="宋体" w:cs="宋体"/>
                <w:kern w:val="0"/>
                <w:sz w:val="22"/>
                <w:szCs w:val="22"/>
                <w:lang w:eastAsia="zh-CN"/>
              </w:rPr>
              <w:t>证书</w:t>
            </w:r>
            <w:r>
              <w:rPr>
                <w:rFonts w:hint="eastAsia" w:ascii="宋体" w:hAnsi="宋体" w:eastAsia="宋体" w:cs="宋体"/>
                <w:kern w:val="0"/>
                <w:sz w:val="22"/>
                <w:szCs w:val="22"/>
              </w:rPr>
              <w:t>和</w:t>
            </w:r>
            <w:r>
              <w:rPr>
                <w:rFonts w:hint="eastAsia" w:ascii="宋体" w:hAnsi="宋体" w:eastAsia="宋体" w:cs="宋体"/>
                <w:kern w:val="0"/>
                <w:sz w:val="22"/>
                <w:szCs w:val="22"/>
                <w:lang w:eastAsia="zh-CN"/>
              </w:rPr>
              <w:t>本单位近</w:t>
            </w:r>
            <w:r>
              <w:rPr>
                <w:rFonts w:hint="eastAsia" w:ascii="宋体" w:hAnsi="宋体" w:cs="宋体"/>
                <w:kern w:val="0"/>
                <w:sz w:val="22"/>
                <w:szCs w:val="22"/>
                <w:lang w:val="en-US" w:eastAsia="zh-CN"/>
              </w:rPr>
              <w:t>三</w:t>
            </w:r>
            <w:r>
              <w:rPr>
                <w:rFonts w:hint="eastAsia" w:ascii="宋体" w:hAnsi="宋体" w:eastAsia="宋体" w:cs="宋体"/>
                <w:kern w:val="0"/>
                <w:sz w:val="22"/>
                <w:szCs w:val="22"/>
                <w:lang w:eastAsia="zh-CN"/>
              </w:rPr>
              <w:t>个月的</w:t>
            </w:r>
            <w:r>
              <w:rPr>
                <w:rFonts w:hint="eastAsia" w:ascii="宋体" w:hAnsi="宋体" w:eastAsia="宋体" w:cs="宋体"/>
                <w:kern w:val="0"/>
                <w:sz w:val="22"/>
                <w:szCs w:val="22"/>
              </w:rPr>
              <w:t>社保缴纳证明</w:t>
            </w:r>
            <w:r>
              <w:rPr>
                <w:rFonts w:hint="eastAsia" w:ascii="宋体" w:hAnsi="宋体" w:eastAsia="宋体" w:cs="宋体"/>
                <w:kern w:val="0"/>
                <w:sz w:val="22"/>
                <w:szCs w:val="22"/>
                <w:lang w:eastAsia="zh-CN"/>
              </w:rPr>
              <w:t>；</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1409" w:type="dxa"/>
            <w:shd w:val="clear" w:color="auto" w:fill="auto"/>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lang w:val="en-US" w:eastAsia="zh-CN"/>
              </w:rPr>
            </w:pPr>
            <w:bookmarkStart w:id="8" w:name="OLE_LINK5" w:colFirst="0" w:colLast="3"/>
            <w:r>
              <w:rPr>
                <w:rFonts w:hint="eastAsia" w:ascii="宋体" w:hAnsi="宋体" w:cs="宋体"/>
                <w:kern w:val="0"/>
                <w:sz w:val="22"/>
                <w:szCs w:val="22"/>
                <w:lang w:val="en-US" w:eastAsia="zh-CN"/>
              </w:rPr>
              <w:t>4</w:t>
            </w:r>
          </w:p>
        </w:tc>
        <w:tc>
          <w:tcPr>
            <w:tcW w:w="4530" w:type="dxa"/>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highlight w:val="none"/>
              </w:rPr>
            </w:pPr>
            <w:r>
              <w:rPr>
                <w:rFonts w:hint="eastAsia" w:ascii="新宋体" w:hAnsi="新宋体" w:eastAsia="新宋体" w:cs="新宋体"/>
                <w:sz w:val="22"/>
                <w:szCs w:val="22"/>
                <w:highlight w:val="none"/>
              </w:rPr>
              <w:t>制造工艺水平</w:t>
            </w: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3分</w:t>
            </w:r>
          </w:p>
        </w:tc>
        <w:tc>
          <w:tcPr>
            <w:tcW w:w="8189" w:type="dxa"/>
            <w:shd w:val="clear" w:color="auto" w:fill="auto"/>
            <w:tcMar>
              <w:top w:w="15" w:type="dxa"/>
              <w:left w:w="15" w:type="dxa"/>
              <w:right w:w="15" w:type="dxa"/>
            </w:tcMar>
            <w:vAlign w:val="center"/>
          </w:tcPr>
          <w:p>
            <w:pPr>
              <w:widowControl/>
              <w:spacing w:line="240" w:lineRule="auto"/>
              <w:textAlignment w:val="center"/>
              <w:rPr>
                <w:rFonts w:hint="eastAsia" w:ascii="宋体" w:hAnsi="宋体" w:eastAsia="宋体" w:cs="宋体"/>
                <w:sz w:val="22"/>
                <w:highlight w:val="none"/>
              </w:rPr>
            </w:pPr>
            <w:r>
              <w:rPr>
                <w:rFonts w:hint="eastAsia" w:ascii="新宋体" w:hAnsi="新宋体" w:eastAsia="新宋体" w:cs="新宋体"/>
                <w:sz w:val="22"/>
                <w:szCs w:val="22"/>
                <w:highlight w:val="none"/>
              </w:rPr>
              <w:t>投标人的制造工艺水平是否先进，包括生产设备、生产流水线、制作工序、质量检验与检测等情况进行综合比较打分</w:t>
            </w:r>
            <w:r>
              <w:rPr>
                <w:rFonts w:hint="eastAsia" w:ascii="新宋体" w:hAnsi="新宋体" w:eastAsia="新宋体" w:cs="新宋体"/>
                <w:kern w:val="0"/>
                <w:sz w:val="22"/>
                <w:szCs w:val="22"/>
                <w:highlight w:val="none"/>
                <w:lang w:bidi="ar"/>
              </w:rPr>
              <w:t>（0-</w:t>
            </w:r>
            <w:r>
              <w:rPr>
                <w:rFonts w:hint="eastAsia" w:ascii="新宋体" w:hAnsi="新宋体" w:eastAsia="新宋体" w:cs="新宋体"/>
                <w:kern w:val="0"/>
                <w:sz w:val="22"/>
                <w:szCs w:val="22"/>
                <w:highlight w:val="none"/>
                <w:lang w:val="en-US" w:eastAsia="zh-CN" w:bidi="ar"/>
              </w:rPr>
              <w:t>3</w:t>
            </w:r>
            <w:r>
              <w:rPr>
                <w:rFonts w:hint="eastAsia" w:ascii="新宋体" w:hAnsi="新宋体" w:eastAsia="新宋体" w:cs="新宋体"/>
                <w:kern w:val="0"/>
                <w:sz w:val="22"/>
                <w:szCs w:val="22"/>
                <w:highlight w:val="none"/>
                <w:lang w:bidi="ar"/>
              </w:rPr>
              <w:t>分）。</w:t>
            </w:r>
          </w:p>
        </w:tc>
      </w:tr>
      <w:bookmarkEnd w:id="7"/>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1409" w:type="dxa"/>
            <w:vMerge w:val="restart"/>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5</w:t>
            </w:r>
          </w:p>
        </w:tc>
        <w:tc>
          <w:tcPr>
            <w:tcW w:w="4530" w:type="dxa"/>
            <w:vMerge w:val="restart"/>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售后服务</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rPr>
              <w:t>4</w:t>
            </w:r>
            <w:r>
              <w:rPr>
                <w:rFonts w:hint="eastAsia" w:ascii="宋体" w:hAnsi="宋体" w:eastAsia="宋体" w:cs="宋体"/>
                <w:kern w:val="0"/>
                <w:sz w:val="22"/>
                <w:szCs w:val="22"/>
              </w:rPr>
              <w:t>分</w:t>
            </w:r>
          </w:p>
        </w:tc>
        <w:tc>
          <w:tcPr>
            <w:tcW w:w="8189" w:type="dxa"/>
            <w:tcMar>
              <w:top w:w="15" w:type="dxa"/>
              <w:left w:w="15" w:type="dxa"/>
              <w:right w:w="15" w:type="dxa"/>
            </w:tcMar>
            <w:vAlign w:val="center"/>
          </w:tcPr>
          <w:p>
            <w:pPr>
              <w:adjustRightInd/>
              <w:snapToGrid/>
              <w:spacing w:line="240" w:lineRule="auto"/>
              <w:rPr>
                <w:rFonts w:hint="eastAsia" w:ascii="宋体" w:hAnsi="宋体" w:eastAsia="宋体" w:cs="宋体"/>
                <w:sz w:val="22"/>
              </w:rPr>
            </w:pPr>
            <w:r>
              <w:rPr>
                <w:rFonts w:hint="eastAsia" w:ascii="宋体" w:hAnsi="宋体" w:eastAsia="宋体" w:cs="宋体"/>
                <w:sz w:val="22"/>
              </w:rPr>
              <w:t>承诺有质量问题或采购人不满意的产品如数退换的得2分。</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rPr>
              <w:t>本项目内所有更换配件基础免费保修</w:t>
            </w:r>
            <w:r>
              <w:rPr>
                <w:rFonts w:hint="eastAsia" w:ascii="宋体" w:hAnsi="宋体" w:eastAsia="宋体" w:cs="宋体"/>
                <w:sz w:val="22"/>
                <w:lang w:val="en-US" w:eastAsia="zh-CN"/>
              </w:rPr>
              <w:t>3</w:t>
            </w:r>
            <w:r>
              <w:rPr>
                <w:rFonts w:hint="eastAsia" w:ascii="宋体" w:hAnsi="宋体" w:eastAsia="宋体" w:cs="宋体"/>
                <w:sz w:val="22"/>
              </w:rPr>
              <w:t>年，每增加</w:t>
            </w:r>
            <w:r>
              <w:rPr>
                <w:rFonts w:hint="eastAsia" w:ascii="宋体" w:hAnsi="宋体" w:eastAsia="宋体" w:cs="宋体"/>
                <w:sz w:val="22"/>
                <w:lang w:val="en-US" w:eastAsia="zh-CN"/>
              </w:rPr>
              <w:t>0.5</w:t>
            </w:r>
            <w:r>
              <w:rPr>
                <w:rFonts w:hint="eastAsia" w:ascii="宋体" w:hAnsi="宋体" w:eastAsia="宋体" w:cs="宋体"/>
                <w:sz w:val="22"/>
              </w:rPr>
              <w:t>年得</w:t>
            </w:r>
            <w:r>
              <w:rPr>
                <w:rFonts w:hint="eastAsia" w:ascii="宋体" w:hAnsi="宋体" w:eastAsia="宋体" w:cs="宋体"/>
                <w:sz w:val="22"/>
                <w:lang w:val="en-US" w:eastAsia="zh-CN"/>
              </w:rPr>
              <w:t>1</w:t>
            </w:r>
            <w:r>
              <w:rPr>
                <w:rFonts w:hint="eastAsia" w:ascii="宋体" w:hAnsi="宋体" w:eastAsia="宋体" w:cs="宋体"/>
                <w:sz w:val="22"/>
              </w:rPr>
              <w:t>分</w:t>
            </w:r>
            <w:r>
              <w:rPr>
                <w:rFonts w:hint="eastAsia" w:ascii="宋体" w:hAnsi="宋体" w:eastAsia="宋体" w:cs="宋体"/>
                <w:sz w:val="22"/>
                <w:lang w:eastAsia="zh-CN"/>
              </w:rPr>
              <w:t>，最高</w:t>
            </w:r>
            <w:r>
              <w:rPr>
                <w:rFonts w:hint="eastAsia" w:ascii="宋体" w:hAnsi="宋体" w:eastAsia="宋体" w:cs="宋体"/>
                <w:sz w:val="22"/>
                <w:lang w:val="en-US" w:eastAsia="zh-CN"/>
              </w:rPr>
              <w:t>2分</w:t>
            </w:r>
            <w:r>
              <w:rPr>
                <w:rFonts w:hint="eastAsia"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1409" w:type="dxa"/>
            <w:vMerge w:val="continue"/>
            <w:tcMar>
              <w:top w:w="15" w:type="dxa"/>
              <w:left w:w="15" w:type="dxa"/>
              <w:right w:w="15" w:type="dxa"/>
            </w:tcMar>
            <w:vAlign w:val="center"/>
          </w:tcPr>
          <w:p>
            <w:pPr>
              <w:spacing w:line="460" w:lineRule="exact"/>
              <w:jc w:val="center"/>
              <w:rPr>
                <w:rFonts w:hint="eastAsia" w:ascii="宋体" w:hAnsi="宋体" w:eastAsia="宋体" w:cs="宋体"/>
                <w:sz w:val="22"/>
                <w:szCs w:val="22"/>
              </w:rPr>
            </w:pPr>
          </w:p>
        </w:tc>
        <w:tc>
          <w:tcPr>
            <w:tcW w:w="4530" w:type="dxa"/>
            <w:vMerge w:val="continue"/>
            <w:tcMar>
              <w:top w:w="15" w:type="dxa"/>
              <w:left w:w="15" w:type="dxa"/>
              <w:right w:w="15" w:type="dxa"/>
            </w:tcMar>
            <w:vAlign w:val="center"/>
          </w:tcPr>
          <w:p>
            <w:pPr>
              <w:spacing w:line="240" w:lineRule="auto"/>
              <w:jc w:val="center"/>
              <w:rPr>
                <w:rFonts w:hint="eastAsia" w:ascii="宋体" w:hAnsi="宋体" w:eastAsia="宋体" w:cs="宋体"/>
                <w:sz w:val="22"/>
                <w:szCs w:val="22"/>
              </w:rPr>
            </w:pP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cs="宋体"/>
                <w:kern w:val="0"/>
                <w:sz w:val="22"/>
                <w:szCs w:val="22"/>
                <w:lang w:val="en-US" w:eastAsia="zh-CN"/>
              </w:rPr>
              <w:t>2</w:t>
            </w:r>
            <w:r>
              <w:rPr>
                <w:rFonts w:hint="eastAsia" w:ascii="宋体" w:hAnsi="宋体" w:eastAsia="宋体" w:cs="宋体"/>
                <w:kern w:val="0"/>
                <w:sz w:val="22"/>
                <w:szCs w:val="22"/>
              </w:rPr>
              <w:t>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根据服务网点情况：</w:t>
            </w:r>
            <w:r>
              <w:rPr>
                <w:rFonts w:hint="eastAsia" w:ascii="宋体" w:hAnsi="宋体" w:eastAsia="宋体" w:cs="宋体"/>
                <w:sz w:val="22"/>
                <w:szCs w:val="22"/>
                <w:lang w:eastAsia="zh-CN"/>
              </w:rPr>
              <w:t>根据投标人的实际</w:t>
            </w:r>
            <w:r>
              <w:rPr>
                <w:rFonts w:hint="eastAsia" w:ascii="宋体" w:hAnsi="宋体" w:eastAsia="宋体" w:cs="宋体"/>
                <w:sz w:val="22"/>
                <w:szCs w:val="22"/>
              </w:rPr>
              <w:t>服务网点的地理位置，与招标人的距离，以便应急时</w:t>
            </w:r>
            <w:r>
              <w:rPr>
                <w:rFonts w:hint="eastAsia" w:ascii="宋体" w:hAnsi="宋体" w:eastAsia="宋体" w:cs="宋体"/>
                <w:sz w:val="22"/>
                <w:szCs w:val="22"/>
                <w:lang w:eastAsia="zh-CN"/>
              </w:rPr>
              <w:t>售后</w:t>
            </w:r>
            <w:r>
              <w:rPr>
                <w:rFonts w:hint="eastAsia" w:ascii="宋体" w:hAnsi="宋体" w:eastAsia="宋体" w:cs="宋体"/>
                <w:sz w:val="22"/>
                <w:szCs w:val="22"/>
              </w:rPr>
              <w:t>或维护。</w:t>
            </w:r>
          </w:p>
          <w:p>
            <w:pPr>
              <w:rPr>
                <w:rFonts w:hint="eastAsia" w:ascii="宋体" w:hAnsi="宋体" w:eastAsia="宋体" w:cs="宋体"/>
                <w:sz w:val="22"/>
              </w:rPr>
            </w:pPr>
            <w:r>
              <w:rPr>
                <w:rFonts w:hint="eastAsia" w:ascii="宋体" w:hAnsi="宋体" w:eastAsia="宋体" w:cs="宋体"/>
                <w:sz w:val="22"/>
              </w:rPr>
              <w:t>在接到临时紧急通知后能按要求时间送到的承诺：承诺</w:t>
            </w:r>
            <w:r>
              <w:rPr>
                <w:rFonts w:hint="eastAsia" w:ascii="宋体" w:hAnsi="宋体" w:eastAsia="宋体" w:cs="宋体"/>
                <w:sz w:val="22"/>
                <w:lang w:val="en-US" w:eastAsia="zh-CN"/>
              </w:rPr>
              <w:t>1</w:t>
            </w:r>
            <w:r>
              <w:rPr>
                <w:rFonts w:hint="eastAsia" w:ascii="宋体" w:hAnsi="宋体" w:eastAsia="宋体" w:cs="宋体"/>
                <w:sz w:val="22"/>
              </w:rPr>
              <w:t>0分钟到达的得</w:t>
            </w:r>
            <w:r>
              <w:rPr>
                <w:rFonts w:hint="eastAsia" w:ascii="宋体" w:hAnsi="宋体" w:cs="宋体"/>
                <w:sz w:val="22"/>
                <w:lang w:val="en-US" w:eastAsia="zh-CN"/>
              </w:rPr>
              <w:t>2</w:t>
            </w:r>
            <w:r>
              <w:rPr>
                <w:rFonts w:hint="eastAsia" w:ascii="宋体" w:hAnsi="宋体" w:eastAsia="宋体" w:cs="宋体"/>
                <w:sz w:val="22"/>
              </w:rPr>
              <w:t>分，承诺</w:t>
            </w:r>
            <w:r>
              <w:rPr>
                <w:rFonts w:hint="eastAsia" w:ascii="宋体" w:hAnsi="宋体" w:eastAsia="宋体" w:cs="宋体"/>
                <w:sz w:val="22"/>
                <w:lang w:val="en-US" w:eastAsia="zh-CN"/>
              </w:rPr>
              <w:t>3</w:t>
            </w:r>
            <w:r>
              <w:rPr>
                <w:rFonts w:hint="eastAsia" w:ascii="宋体" w:hAnsi="宋体" w:eastAsia="宋体" w:cs="宋体"/>
                <w:sz w:val="22"/>
              </w:rPr>
              <w:t>0分的得</w:t>
            </w:r>
            <w:r>
              <w:rPr>
                <w:rFonts w:hint="eastAsia" w:ascii="宋体" w:hAnsi="宋体" w:cs="宋体"/>
                <w:sz w:val="22"/>
                <w:lang w:val="en-US" w:eastAsia="zh-CN"/>
              </w:rPr>
              <w:t>1</w:t>
            </w:r>
            <w:r>
              <w:rPr>
                <w:rFonts w:hint="eastAsia" w:ascii="宋体" w:hAnsi="宋体" w:eastAsia="宋体" w:cs="宋体"/>
                <w:sz w:val="22"/>
              </w:rPr>
              <w:t>分，承诺60分钟到达的得</w:t>
            </w:r>
            <w:r>
              <w:rPr>
                <w:rFonts w:hint="eastAsia" w:ascii="宋体" w:hAnsi="宋体" w:cs="宋体"/>
                <w:sz w:val="22"/>
                <w:lang w:val="en-US" w:eastAsia="zh-CN"/>
              </w:rPr>
              <w:t>0.5</w:t>
            </w:r>
            <w:r>
              <w:rPr>
                <w:rFonts w:hint="eastAsia" w:ascii="宋体" w:hAnsi="宋体" w:eastAsia="宋体" w:cs="宋体"/>
                <w:sz w:val="22"/>
              </w:rPr>
              <w:t>分，1小时后不得分。</w:t>
            </w:r>
          </w:p>
          <w:p>
            <w:pPr>
              <w:pStyle w:val="29"/>
              <w:spacing w:line="240" w:lineRule="auto"/>
              <w:ind w:firstLine="0" w:firstLineChars="0"/>
              <w:rPr>
                <w:rFonts w:hint="eastAsia" w:ascii="宋体" w:hAnsi="宋体" w:eastAsia="宋体" w:cs="宋体"/>
                <w:sz w:val="22"/>
                <w:szCs w:val="22"/>
              </w:rPr>
            </w:pPr>
            <w:r>
              <w:rPr>
                <w:rFonts w:hint="eastAsia" w:ascii="宋体" w:hAnsi="宋体" w:eastAsia="宋体" w:cs="宋体"/>
                <w:sz w:val="22"/>
              </w:rPr>
              <w:t>注：根据离采购人服务网点的实际响应时间进行承诺，提供百度、高德等导航截图（需符合所承诺时间），实际时间无法响应的距离，承诺为无效。无截图不得分。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1409"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6</w:t>
            </w: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其他承诺</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3分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kern w:val="0"/>
                <w:sz w:val="22"/>
                <w:szCs w:val="22"/>
              </w:rPr>
              <w:t>根据投标人提供的其他特色服务措施及优惠情况综合评分（3-0分）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1409"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7</w:t>
            </w: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eastAsia="zh-CN"/>
              </w:rPr>
              <w:t>类似</w:t>
            </w:r>
            <w:r>
              <w:rPr>
                <w:rFonts w:hint="eastAsia" w:ascii="宋体" w:hAnsi="宋体" w:eastAsia="宋体" w:cs="宋体"/>
                <w:kern w:val="0"/>
                <w:sz w:val="22"/>
                <w:szCs w:val="22"/>
              </w:rPr>
              <w:t>业绩</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rPr>
              <w:t>3</w:t>
            </w:r>
            <w:r>
              <w:rPr>
                <w:rFonts w:hint="eastAsia" w:ascii="宋体" w:hAnsi="宋体" w:eastAsia="宋体" w:cs="宋体"/>
                <w:kern w:val="0"/>
                <w:sz w:val="22"/>
                <w:szCs w:val="22"/>
              </w:rPr>
              <w:t>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lang w:val="zh-CN"/>
              </w:rPr>
              <w:t>投标人</w:t>
            </w:r>
            <w:r>
              <w:rPr>
                <w:rFonts w:hint="eastAsia" w:ascii="宋体" w:hAnsi="宋体" w:eastAsia="宋体" w:cs="宋体"/>
                <w:sz w:val="22"/>
                <w:szCs w:val="22"/>
              </w:rPr>
              <w:t>需具有自20</w:t>
            </w:r>
            <w:r>
              <w:rPr>
                <w:rFonts w:hint="eastAsia" w:ascii="宋体" w:hAnsi="宋体" w:eastAsia="宋体" w:cs="宋体"/>
                <w:sz w:val="22"/>
                <w:szCs w:val="22"/>
                <w:lang w:val="en-US" w:eastAsia="zh-CN"/>
              </w:rPr>
              <w:t>21</w:t>
            </w:r>
            <w:r>
              <w:rPr>
                <w:rFonts w:hint="eastAsia" w:ascii="宋体" w:hAnsi="宋体" w:eastAsia="宋体" w:cs="宋体"/>
                <w:sz w:val="22"/>
                <w:szCs w:val="22"/>
              </w:rPr>
              <w:t>年1月1日以来</w:t>
            </w:r>
            <w:r>
              <w:rPr>
                <w:rFonts w:hint="eastAsia" w:ascii="宋体" w:hAnsi="宋体" w:eastAsia="宋体" w:cs="宋体"/>
                <w:sz w:val="22"/>
                <w:szCs w:val="22"/>
                <w:lang w:val="zh-CN"/>
              </w:rPr>
              <w:t>承担过已完工类似发光字标识项目业绩，</w:t>
            </w:r>
            <w:r>
              <w:rPr>
                <w:rFonts w:hint="eastAsia" w:ascii="宋体" w:hAnsi="宋体" w:eastAsia="宋体" w:cs="宋体"/>
                <w:sz w:val="22"/>
                <w:szCs w:val="22"/>
              </w:rPr>
              <w:t>每提供一个得</w:t>
            </w:r>
            <w:r>
              <w:rPr>
                <w:rFonts w:hint="eastAsia" w:ascii="宋体" w:hAnsi="宋体" w:eastAsia="宋体" w:cs="宋体"/>
                <w:sz w:val="22"/>
                <w:szCs w:val="22"/>
                <w:lang w:val="en-US" w:eastAsia="zh-CN"/>
              </w:rPr>
              <w:t>1</w:t>
            </w:r>
            <w:r>
              <w:rPr>
                <w:rFonts w:hint="eastAsia" w:ascii="宋体" w:hAnsi="宋体" w:eastAsia="宋体" w:cs="宋体"/>
                <w:sz w:val="22"/>
                <w:szCs w:val="22"/>
              </w:rPr>
              <w:t>分，最高得</w:t>
            </w:r>
            <w:r>
              <w:rPr>
                <w:rFonts w:hint="eastAsia" w:ascii="宋体" w:hAnsi="宋体" w:eastAsia="宋体" w:cs="宋体"/>
                <w:sz w:val="22"/>
                <w:szCs w:val="22"/>
                <w:lang w:val="en-US" w:eastAsia="zh-CN"/>
              </w:rPr>
              <w:t>3</w:t>
            </w:r>
            <w:r>
              <w:rPr>
                <w:rFonts w:hint="eastAsia" w:ascii="宋体" w:hAnsi="宋体" w:eastAsia="宋体" w:cs="宋体"/>
                <w:sz w:val="22"/>
                <w:szCs w:val="22"/>
              </w:rPr>
              <w:t>分。</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(提供</w:t>
            </w:r>
            <w:r>
              <w:rPr>
                <w:rFonts w:hint="eastAsia" w:ascii="宋体" w:hAnsi="宋体" w:cs="宋体"/>
                <w:sz w:val="22"/>
                <w:szCs w:val="22"/>
                <w:lang w:val="en-US" w:eastAsia="zh-CN"/>
              </w:rPr>
              <w:t>合同</w:t>
            </w:r>
            <w:r>
              <w:rPr>
                <w:rFonts w:hint="eastAsia" w:ascii="宋体" w:hAnsi="宋体" w:eastAsia="宋体" w:cs="宋体"/>
                <w:sz w:val="22"/>
                <w:szCs w:val="22"/>
              </w:rPr>
              <w:t>复印件</w:t>
            </w:r>
            <w:r>
              <w:rPr>
                <w:rFonts w:hint="eastAsia" w:ascii="宋体" w:hAnsi="宋体" w:cs="宋体"/>
                <w:sz w:val="22"/>
                <w:szCs w:val="22"/>
                <w:lang w:val="en-US" w:eastAsia="zh-CN"/>
              </w:rPr>
              <w:t>并</w:t>
            </w:r>
            <w:r>
              <w:rPr>
                <w:rFonts w:hint="eastAsia" w:ascii="宋体" w:hAnsi="宋体" w:eastAsia="宋体" w:cs="宋体"/>
                <w:sz w:val="22"/>
                <w:szCs w:val="22"/>
              </w:rPr>
              <w:t>加盖公章，原件备查</w:t>
            </w:r>
            <w:r>
              <w:rPr>
                <w:rFonts w:hint="eastAsia" w:ascii="宋体" w:hAnsi="宋体" w:cs="宋体"/>
                <w:sz w:val="22"/>
                <w:szCs w:val="22"/>
                <w:lang w:eastAsia="zh-CN"/>
              </w:rPr>
              <w:t>，</w:t>
            </w:r>
            <w:r>
              <w:rPr>
                <w:rFonts w:hint="eastAsia" w:ascii="宋体" w:hAnsi="宋体" w:cs="宋体"/>
                <w:sz w:val="22"/>
                <w:szCs w:val="22"/>
                <w:lang w:val="en-US" w:eastAsia="zh-CN"/>
              </w:rPr>
              <w:t>与同一采购人签订的多份合同视为1个业绩</w:t>
            </w:r>
            <w:r>
              <w:rPr>
                <w:rFonts w:hint="eastAsia" w:ascii="宋体" w:hAnsi="宋体" w:eastAsia="宋体" w:cs="宋体"/>
                <w:sz w:val="22"/>
                <w:szCs w:val="22"/>
              </w:rPr>
              <w:t>)</w:t>
            </w:r>
          </w:p>
        </w:tc>
      </w:tr>
    </w:tbl>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pStyle w:val="3"/>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pStyle w:val="3"/>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pStyle w:val="3"/>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pStyle w:val="2"/>
        <w:rPr>
          <w:rFonts w:hint="eastAsia" w:eastAsia="宋体"/>
          <w:lang w:eastAsia="zh-CN"/>
        </w:rPr>
      </w:pPr>
    </w:p>
    <w:p>
      <w:pPr>
        <w:numPr>
          <w:ilvl w:val="0"/>
          <w:numId w:val="0"/>
        </w:numPr>
        <w:rPr>
          <w:rFonts w:hint="eastAsia" w:ascii="宋体" w:hAnsi="宋体" w:cs="宋体"/>
          <w:b/>
          <w:bCs/>
          <w:sz w:val="22"/>
          <w:szCs w:val="22"/>
          <w:lang w:val="en-US" w:eastAsia="zh-CN"/>
        </w:rPr>
      </w:pPr>
    </w:p>
    <w:p>
      <w:pPr>
        <w:numPr>
          <w:ilvl w:val="0"/>
          <w:numId w:val="0"/>
        </w:numPr>
        <w:rPr>
          <w:rFonts w:hint="eastAsia" w:ascii="宋体" w:hAnsi="宋体" w:cs="宋体"/>
          <w:b/>
          <w:bCs/>
          <w:sz w:val="22"/>
          <w:szCs w:val="22"/>
          <w:lang w:val="en-US" w:eastAsia="zh-CN"/>
        </w:rPr>
      </w:pPr>
    </w:p>
    <w:p>
      <w:pPr>
        <w:pStyle w:val="2"/>
        <w:rPr>
          <w:rFonts w:hint="eastAsia"/>
          <w:lang w:val="en-US" w:eastAsia="zh-CN"/>
        </w:rPr>
      </w:pPr>
    </w:p>
    <w:p>
      <w:pPr>
        <w:numPr>
          <w:ilvl w:val="0"/>
          <w:numId w:val="0"/>
        </w:numPr>
        <w:rPr>
          <w:rFonts w:hint="eastAsia" w:ascii="宋体" w:hAnsi="宋体" w:cs="宋体"/>
          <w:b/>
          <w:bCs/>
          <w:sz w:val="22"/>
          <w:szCs w:val="22"/>
          <w:lang w:val="en-US" w:eastAsia="zh-CN"/>
        </w:rPr>
      </w:pPr>
    </w:p>
    <w:p>
      <w:pPr>
        <w:numPr>
          <w:ilvl w:val="0"/>
          <w:numId w:val="0"/>
        </w:numPr>
        <w:rPr>
          <w:rFonts w:hint="eastAsia" w:ascii="宋体" w:hAnsi="宋体" w:cs="宋体"/>
          <w:b/>
          <w:bCs/>
          <w:sz w:val="22"/>
          <w:szCs w:val="22"/>
          <w:lang w:val="en-US" w:eastAsia="zh-CN"/>
        </w:rPr>
      </w:pPr>
    </w:p>
    <w:p>
      <w:pPr>
        <w:numPr>
          <w:ilvl w:val="0"/>
          <w:numId w:val="0"/>
        </w:numPr>
        <w:rPr>
          <w:rFonts w:hint="eastAsia" w:ascii="宋体" w:hAnsi="宋体" w:eastAsia="宋体" w:cs="宋体"/>
          <w:b/>
          <w:bCs/>
          <w:sz w:val="22"/>
          <w:szCs w:val="22"/>
        </w:rPr>
      </w:pPr>
      <w:r>
        <w:rPr>
          <w:rFonts w:hint="eastAsia" w:ascii="宋体" w:hAnsi="宋体" w:cs="宋体"/>
          <w:b/>
          <w:bCs/>
          <w:sz w:val="22"/>
          <w:szCs w:val="22"/>
          <w:lang w:val="en-US" w:eastAsia="zh-CN"/>
        </w:rPr>
        <w:t>2、</w:t>
      </w:r>
      <w:r>
        <w:rPr>
          <w:rFonts w:hint="eastAsia" w:ascii="宋体" w:hAnsi="宋体" w:eastAsia="宋体" w:cs="宋体"/>
          <w:b/>
          <w:bCs/>
          <w:sz w:val="22"/>
          <w:szCs w:val="22"/>
          <w:lang w:val="en-US" w:eastAsia="zh-CN"/>
        </w:rPr>
        <w:t>价格</w:t>
      </w:r>
      <w:r>
        <w:rPr>
          <w:rFonts w:hint="eastAsia" w:ascii="宋体" w:hAnsi="宋体" w:eastAsia="宋体" w:cs="宋体"/>
          <w:b/>
          <w:bCs/>
          <w:sz w:val="22"/>
          <w:szCs w:val="22"/>
        </w:rPr>
        <w:t>评分：</w:t>
      </w:r>
      <w:r>
        <w:rPr>
          <w:rFonts w:hint="eastAsia" w:ascii="宋体" w:hAnsi="宋体" w:eastAsia="宋体" w:cs="宋体"/>
          <w:b/>
          <w:bCs/>
          <w:sz w:val="22"/>
          <w:szCs w:val="22"/>
          <w:lang w:val="en-US" w:eastAsia="zh-CN"/>
        </w:rPr>
        <w:t>满分</w:t>
      </w:r>
      <w:r>
        <w:rPr>
          <w:rFonts w:hint="eastAsia" w:ascii="宋体" w:hAnsi="宋体" w:cs="宋体"/>
          <w:b/>
          <w:bCs/>
          <w:sz w:val="22"/>
          <w:szCs w:val="22"/>
          <w:lang w:val="en-US" w:eastAsia="zh-CN"/>
        </w:rPr>
        <w:t>3</w:t>
      </w:r>
      <w:r>
        <w:rPr>
          <w:rFonts w:hint="eastAsia" w:ascii="宋体" w:hAnsi="宋体" w:eastAsia="宋体" w:cs="宋体"/>
          <w:b/>
          <w:bCs/>
          <w:sz w:val="22"/>
          <w:szCs w:val="22"/>
          <w:lang w:val="en-US" w:eastAsia="zh-CN"/>
        </w:rPr>
        <w:t>0</w:t>
      </w:r>
      <w:r>
        <w:rPr>
          <w:rFonts w:hint="eastAsia" w:ascii="宋体" w:hAnsi="宋体" w:eastAsia="宋体" w:cs="宋体"/>
          <w:b/>
          <w:bCs/>
          <w:sz w:val="22"/>
          <w:szCs w:val="22"/>
        </w:rPr>
        <w:t>分</w:t>
      </w: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9" w:name="_Toc8618"/>
      <w:bookmarkStart w:id="10" w:name="_Toc11964"/>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一</w:t>
      </w:r>
      <w:r>
        <w:rPr>
          <w:rFonts w:hint="eastAsia" w:ascii="宋体" w:hAnsi="宋体" w:cs="宋体"/>
          <w:b/>
          <w:color w:val="auto"/>
          <w:sz w:val="28"/>
          <w:szCs w:val="28"/>
          <w:highlight w:val="none"/>
          <w:lang w:val="zh-CN"/>
        </w:rPr>
        <w:t>）</w:t>
      </w:r>
      <w:r>
        <w:rPr>
          <w:rFonts w:hint="eastAsia" w:ascii="宋体" w:hAnsi="宋体" w:eastAsia="宋体" w:cs="宋体"/>
          <w:b/>
          <w:color w:val="auto"/>
          <w:sz w:val="28"/>
          <w:szCs w:val="28"/>
          <w:highlight w:val="none"/>
          <w:lang w:val="zh-CN"/>
        </w:rPr>
        <w:t>报价一览表</w:t>
      </w:r>
      <w:bookmarkEnd w:id="9"/>
      <w:bookmarkEnd w:id="10"/>
    </w:p>
    <w:p>
      <w:pPr>
        <w:spacing w:line="360" w:lineRule="auto"/>
        <w:rPr>
          <w:rFonts w:hint="eastAsia" w:ascii="宋体" w:hAnsi="宋体" w:eastAsia="宋体" w:cs="宋体"/>
          <w:b w:val="0"/>
          <w:bCs w:val="0"/>
          <w:color w:val="auto"/>
          <w:sz w:val="22"/>
          <w:szCs w:val="18"/>
          <w:highlight w:val="none"/>
        </w:rPr>
      </w:pPr>
      <w:r>
        <w:rPr>
          <w:rFonts w:hint="eastAsia" w:ascii="宋体" w:hAnsi="宋体" w:eastAsia="宋体" w:cs="宋体"/>
          <w:b w:val="0"/>
          <w:bCs w:val="0"/>
          <w:color w:val="auto"/>
          <w:sz w:val="24"/>
          <w:szCs w:val="24"/>
          <w:highlight w:val="none"/>
        </w:rPr>
        <w:t>项目名称：</w:t>
      </w:r>
      <w:r>
        <w:rPr>
          <w:rFonts w:hint="eastAsia" w:ascii="宋体" w:hAnsi="宋体" w:eastAsia="宋体" w:cs="宋体"/>
          <w:b w:val="0"/>
          <w:bCs w:val="0"/>
          <w:color w:val="auto"/>
          <w:sz w:val="24"/>
          <w:szCs w:val="24"/>
          <w:highlight w:val="none"/>
          <w:lang w:val="en-US" w:eastAsia="zh-Hans"/>
        </w:rPr>
        <w:t>温州市中医院楼顶字、外围灯箱等标识制作</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2"/>
          <w:szCs w:val="18"/>
          <w:highlight w:val="none"/>
        </w:rPr>
        <w:t xml:space="preserve">                            </w:t>
      </w:r>
    </w:p>
    <w:tbl>
      <w:tblPr>
        <w:tblStyle w:val="15"/>
        <w:tblW w:w="15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5445"/>
        <w:gridCol w:w="5625"/>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629"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5445"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bCs/>
                <w:color w:val="auto"/>
                <w:sz w:val="22"/>
                <w:szCs w:val="22"/>
                <w:highlight w:val="none"/>
              </w:rPr>
              <w:t>项目名称</w:t>
            </w:r>
          </w:p>
        </w:tc>
        <w:tc>
          <w:tcPr>
            <w:tcW w:w="5625" w:type="dxa"/>
            <w:noWrap w:val="0"/>
            <w:vAlign w:val="center"/>
          </w:tcPr>
          <w:p>
            <w:pPr>
              <w:spacing w:line="380" w:lineRule="exact"/>
              <w:jc w:val="center"/>
              <w:rPr>
                <w:rFonts w:hint="eastAsia" w:ascii="宋体" w:hAnsi="宋体" w:eastAsia="宋体" w:cs="宋体"/>
                <w:color w:val="auto"/>
                <w:sz w:val="22"/>
                <w:highlight w:val="none"/>
                <w:lang w:eastAsia="zh-CN"/>
              </w:rPr>
            </w:pPr>
            <w:r>
              <w:rPr>
                <w:rFonts w:hint="eastAsia" w:ascii="宋体" w:hAnsi="宋体" w:eastAsia="宋体" w:cs="宋体"/>
                <w:bCs/>
                <w:color w:val="auto"/>
                <w:sz w:val="22"/>
                <w:szCs w:val="22"/>
                <w:highlight w:val="none"/>
              </w:rPr>
              <w:t>报价</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人民币元</w:t>
            </w:r>
            <w:r>
              <w:rPr>
                <w:rFonts w:hint="eastAsia" w:ascii="宋体" w:hAnsi="宋体" w:eastAsia="宋体" w:cs="宋体"/>
                <w:bCs/>
                <w:color w:val="auto"/>
                <w:sz w:val="22"/>
                <w:szCs w:val="22"/>
                <w:highlight w:val="none"/>
                <w:lang w:eastAsia="zh-CN"/>
              </w:rPr>
              <w:t>）</w:t>
            </w:r>
          </w:p>
        </w:tc>
        <w:tc>
          <w:tcPr>
            <w:tcW w:w="2589"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629" w:type="dxa"/>
            <w:vMerge w:val="restart"/>
            <w:noWrap w:val="0"/>
            <w:vAlign w:val="center"/>
          </w:tcPr>
          <w:p>
            <w:pPr>
              <w:spacing w:line="38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w:t>
            </w:r>
          </w:p>
        </w:tc>
        <w:tc>
          <w:tcPr>
            <w:tcW w:w="5445" w:type="dxa"/>
            <w:vMerge w:val="restart"/>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温州市中医院楼顶字、外围灯箱等标识制作</w:t>
            </w:r>
          </w:p>
        </w:tc>
        <w:tc>
          <w:tcPr>
            <w:tcW w:w="5625"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2589"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629"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544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5625"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2589" w:type="dxa"/>
            <w:vMerge w:val="continue"/>
            <w:noWrap w:val="0"/>
            <w:vAlign w:val="center"/>
          </w:tcPr>
          <w:p>
            <w:pPr>
              <w:spacing w:line="380" w:lineRule="exact"/>
              <w:jc w:val="center"/>
              <w:rPr>
                <w:rFonts w:hint="eastAsia" w:ascii="宋体" w:hAnsi="宋体" w:eastAsia="宋体" w:cs="宋体"/>
                <w:color w:val="auto"/>
                <w:sz w:val="22"/>
                <w:highlight w:val="none"/>
              </w:rPr>
            </w:pPr>
          </w:p>
        </w:tc>
      </w:tr>
    </w:tbl>
    <w:p>
      <w:pPr>
        <w:spacing w:line="450" w:lineRule="exact"/>
        <w:ind w:firstLine="541" w:firstLineChars="245"/>
        <w:rPr>
          <w:rFonts w:hint="eastAsia" w:ascii="宋体" w:hAnsi="宋体" w:eastAsia="宋体" w:cs="宋体"/>
          <w:b/>
          <w:color w:val="auto"/>
          <w:sz w:val="22"/>
          <w:highlight w:val="none"/>
        </w:rPr>
      </w:pPr>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2"/>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w:t>
      </w:r>
    </w:p>
    <w:p>
      <w:pPr>
        <w:tabs>
          <w:tab w:val="left" w:pos="774"/>
        </w:tabs>
        <w:autoSpaceDE w:val="0"/>
        <w:autoSpaceDN w:val="0"/>
        <w:spacing w:before="240" w:line="276" w:lineRule="auto"/>
        <w:ind w:left="774" w:hanging="576"/>
        <w:jc w:val="center"/>
        <w:outlineLvl w:val="2"/>
        <w:rPr>
          <w:rFonts w:hint="eastAsia" w:ascii="宋体" w:hAnsi="宋体" w:cs="宋体"/>
          <w:b/>
          <w:color w:val="auto"/>
          <w:sz w:val="28"/>
          <w:szCs w:val="28"/>
          <w:highlight w:val="none"/>
          <w:lang w:val="zh-CN"/>
        </w:rPr>
      </w:pP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分项报价</w:t>
      </w:r>
      <w:r>
        <w:rPr>
          <w:rFonts w:hint="eastAsia" w:ascii="宋体" w:hAnsi="宋体" w:eastAsia="宋体" w:cs="宋体"/>
          <w:b/>
          <w:color w:val="auto"/>
          <w:sz w:val="28"/>
          <w:szCs w:val="28"/>
          <w:highlight w:val="none"/>
          <w:lang w:val="zh-CN"/>
        </w:rPr>
        <w:t>表</w:t>
      </w:r>
    </w:p>
    <w:tbl>
      <w:tblPr>
        <w:tblStyle w:val="15"/>
        <w:tblW w:w="144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9"/>
        <w:gridCol w:w="1860"/>
        <w:gridCol w:w="1666"/>
        <w:gridCol w:w="1185"/>
        <w:gridCol w:w="1396"/>
        <w:gridCol w:w="1410"/>
        <w:gridCol w:w="1395"/>
        <w:gridCol w:w="2160"/>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采购内容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位置</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工艺</w:t>
            </w:r>
          </w:p>
        </w:tc>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单字参考尺寸（m）</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单价（元）</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景山院区楼顶字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温州市中医院景山院区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不锈钢扣边UV发光字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6" w:hRule="atLeast"/>
        </w:trPr>
        <w:tc>
          <w:tcPr>
            <w:tcW w:w="87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六虹桥院区楼顶字、楼顶LOGO</w:t>
            </w:r>
          </w:p>
        </w:tc>
        <w:tc>
          <w:tcPr>
            <w:tcW w:w="166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温州市中医院六虹桥院区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不锈钢扣边UV发光LOGO</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8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不锈钢扣边UV发光字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六虹桥院区外围灯箱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温州市中医院六虹桥院区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软膜灯箱</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19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总计（元）</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2"/>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eastAsia" w:ascii="宋体" w:hAnsi="宋体" w:eastAsia="宋体" w:cs="宋体"/>
          <w:color w:val="auto"/>
          <w:sz w:val="22"/>
          <w:szCs w:val="22"/>
          <w:highlight w:val="none"/>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rPr>
      </w:pPr>
      <w:r>
        <w:rPr>
          <w:rFonts w:hint="eastAsia" w:ascii="宋体" w:hAnsi="宋体" w:eastAsia="宋体" w:cs="宋体"/>
          <w:color w:val="auto"/>
          <w:sz w:val="22"/>
          <w:szCs w:val="22"/>
          <w:highlight w:val="none"/>
        </w:rPr>
        <w:t xml:space="preserve">   日  期：   </w:t>
      </w:r>
    </w:p>
    <w:p>
      <w:pPr>
        <w:adjustRightInd w:val="0"/>
        <w:snapToGrid w:val="0"/>
        <w:spacing w:line="360" w:lineRule="auto"/>
        <w:jc w:val="left"/>
        <w:rPr>
          <w:rFonts w:hint="eastAsia" w:ascii="宋体" w:hAnsi="宋体"/>
          <w:color w:val="000000"/>
          <w:szCs w:val="21"/>
        </w:rPr>
      </w:pPr>
    </w:p>
    <w:sectPr>
      <w:pgSz w:w="16838" w:h="11906" w:orient="landscape"/>
      <w:pgMar w:top="669" w:right="850" w:bottom="669"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7E4AB2"/>
    <w:multiLevelType w:val="singleLevel"/>
    <w:tmpl w:val="C67E4AB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k4ZjUyNmI5ZWM0NTQwMmI0OWNkNmNiZDhjNj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26B0298"/>
    <w:rsid w:val="03F44E33"/>
    <w:rsid w:val="0EF80781"/>
    <w:rsid w:val="0F427144"/>
    <w:rsid w:val="0F9C6A6C"/>
    <w:rsid w:val="1124087B"/>
    <w:rsid w:val="1367269B"/>
    <w:rsid w:val="154327F2"/>
    <w:rsid w:val="15F0193F"/>
    <w:rsid w:val="16586A57"/>
    <w:rsid w:val="1AAC3B0A"/>
    <w:rsid w:val="1DD0413A"/>
    <w:rsid w:val="1FA37E2C"/>
    <w:rsid w:val="203F5CE6"/>
    <w:rsid w:val="215E5325"/>
    <w:rsid w:val="24FC68BD"/>
    <w:rsid w:val="253F05F7"/>
    <w:rsid w:val="26614AE7"/>
    <w:rsid w:val="287E18E0"/>
    <w:rsid w:val="2B9D1E83"/>
    <w:rsid w:val="2C0B329E"/>
    <w:rsid w:val="2DA52879"/>
    <w:rsid w:val="2EE23DA1"/>
    <w:rsid w:val="304676BA"/>
    <w:rsid w:val="32EA3F63"/>
    <w:rsid w:val="32EC217B"/>
    <w:rsid w:val="33786CEC"/>
    <w:rsid w:val="33F15215"/>
    <w:rsid w:val="38620F4A"/>
    <w:rsid w:val="39072D82"/>
    <w:rsid w:val="39105B0F"/>
    <w:rsid w:val="3AA307AA"/>
    <w:rsid w:val="3D4A148F"/>
    <w:rsid w:val="3E3C64D5"/>
    <w:rsid w:val="3EBF27E8"/>
    <w:rsid w:val="442D7AA8"/>
    <w:rsid w:val="45911E05"/>
    <w:rsid w:val="4BB26B7D"/>
    <w:rsid w:val="50250266"/>
    <w:rsid w:val="53303AC0"/>
    <w:rsid w:val="55401DC6"/>
    <w:rsid w:val="571862A3"/>
    <w:rsid w:val="57493508"/>
    <w:rsid w:val="57A36574"/>
    <w:rsid w:val="58D72375"/>
    <w:rsid w:val="59F74833"/>
    <w:rsid w:val="5DAF6DF6"/>
    <w:rsid w:val="63750765"/>
    <w:rsid w:val="645912D4"/>
    <w:rsid w:val="66440B4B"/>
    <w:rsid w:val="6B1E16E2"/>
    <w:rsid w:val="724D0AFE"/>
    <w:rsid w:val="72E83474"/>
    <w:rsid w:val="72F62F44"/>
    <w:rsid w:val="746537B8"/>
    <w:rsid w:val="78362761"/>
    <w:rsid w:val="79F966D5"/>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autoRedefine/>
    <w:qFormat/>
    <w:uiPriority w:val="0"/>
    <w:pPr>
      <w:keepNext/>
      <w:keepLines/>
      <w:spacing w:line="540" w:lineRule="atLeast"/>
      <w:outlineLvl w:val="3"/>
    </w:pPr>
    <w:rPr>
      <w:sz w:val="28"/>
      <w:szCs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ind w:firstLine="420"/>
    </w:pPr>
    <w:rPr>
      <w:szCs w:val="20"/>
    </w:rPr>
  </w:style>
  <w:style w:type="paragraph" w:styleId="6">
    <w:name w:val="Body Text"/>
    <w:basedOn w:val="1"/>
    <w:next w:val="7"/>
    <w:autoRedefine/>
    <w:qFormat/>
    <w:uiPriority w:val="0"/>
    <w:pPr>
      <w:spacing w:after="120" w:afterLines="0"/>
    </w:pPr>
  </w:style>
  <w:style w:type="paragraph" w:styleId="7">
    <w:name w:val="Body Text First Indent"/>
    <w:basedOn w:val="6"/>
    <w:autoRedefine/>
    <w:semiHidden/>
    <w:unhideWhenUsed/>
    <w:qFormat/>
    <w:uiPriority w:val="99"/>
    <w:pPr>
      <w:ind w:firstLine="420" w:firstLineChars="100"/>
    </w:pPr>
    <w:rPr>
      <w:rFonts w:asciiTheme="minorHAnsi" w:hAnsiTheme="minorHAnsi" w:eastAsiaTheme="minorEastAsia" w:cstheme="minorBidi"/>
      <w:szCs w:val="22"/>
    </w:rPr>
  </w:style>
  <w:style w:type="paragraph" w:styleId="8">
    <w:name w:val="Body Text Indent"/>
    <w:basedOn w:val="1"/>
    <w:autoRedefine/>
    <w:qFormat/>
    <w:uiPriority w:val="0"/>
    <w:pPr>
      <w:ind w:left="480" w:hanging="480" w:hangingChars="200"/>
    </w:pPr>
    <w:rPr>
      <w:rFonts w:ascii="Times New Roman" w:hAnsi="Times New Roman" w:eastAsia="宋体" w:cs="Times New Roman"/>
      <w:sz w:val="24"/>
      <w:szCs w:val="24"/>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endnote text"/>
    <w:basedOn w:val="1"/>
    <w:autoRedefine/>
    <w:unhideWhenUsed/>
    <w:qFormat/>
    <w:uiPriority w:val="99"/>
    <w:pPr>
      <w:snapToGrid w:val="0"/>
      <w:jc w:val="left"/>
    </w:pPr>
    <w:rPr>
      <w:lang w:val="zh-CN"/>
    </w:rPr>
  </w:style>
  <w:style w:type="paragraph" w:styleId="11">
    <w:name w:val="footer"/>
    <w:basedOn w:val="1"/>
    <w:link w:val="22"/>
    <w:autoRedefine/>
    <w:qFormat/>
    <w:uiPriority w:val="0"/>
    <w:pPr>
      <w:tabs>
        <w:tab w:val="center" w:pos="4153"/>
        <w:tab w:val="right" w:pos="8306"/>
      </w:tabs>
      <w:snapToGrid w:val="0"/>
      <w:jc w:val="left"/>
    </w:pPr>
    <w:rPr>
      <w:sz w:val="18"/>
      <w:szCs w:val="18"/>
    </w:rPr>
  </w:style>
  <w:style w:type="paragraph" w:styleId="12">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Body Text First Indent 2"/>
    <w:basedOn w:val="8"/>
    <w:autoRedefine/>
    <w:semiHidden/>
    <w:unhideWhenUsed/>
    <w:qFormat/>
    <w:uiPriority w:val="99"/>
    <w:pPr>
      <w:ind w:firstLine="420" w:firstLineChars="200"/>
    </w:pPr>
  </w:style>
  <w:style w:type="table" w:styleId="16">
    <w:name w:val="Table Grid"/>
    <w:basedOn w:val="15"/>
    <w:autoRedefine/>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BodyText1I"/>
    <w:basedOn w:val="19"/>
    <w:autoRedefine/>
    <w:qFormat/>
    <w:uiPriority w:val="0"/>
    <w:pPr>
      <w:ind w:firstLine="420" w:firstLineChars="100"/>
    </w:pPr>
  </w:style>
  <w:style w:type="paragraph" w:customStyle="1" w:styleId="19">
    <w:name w:val="BodyText"/>
    <w:basedOn w:val="1"/>
    <w:autoRedefine/>
    <w:qFormat/>
    <w:uiPriority w:val="0"/>
    <w:pPr>
      <w:spacing w:after="120"/>
    </w:pPr>
  </w:style>
  <w:style w:type="paragraph" w:customStyle="1" w:styleId="20">
    <w:name w:val="表格文字"/>
    <w:basedOn w:val="1"/>
    <w:next w:val="6"/>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1">
    <w:name w:val="页眉 Char"/>
    <w:basedOn w:val="17"/>
    <w:link w:val="12"/>
    <w:autoRedefine/>
    <w:qFormat/>
    <w:uiPriority w:val="0"/>
    <w:rPr>
      <w:kern w:val="2"/>
      <w:sz w:val="18"/>
      <w:szCs w:val="18"/>
    </w:rPr>
  </w:style>
  <w:style w:type="character" w:customStyle="1" w:styleId="22">
    <w:name w:val="页脚 Char"/>
    <w:basedOn w:val="17"/>
    <w:link w:val="11"/>
    <w:autoRedefine/>
    <w:qFormat/>
    <w:uiPriority w:val="0"/>
    <w:rPr>
      <w:kern w:val="2"/>
      <w:sz w:val="18"/>
      <w:szCs w:val="18"/>
    </w:rPr>
  </w:style>
  <w:style w:type="paragraph" w:styleId="23">
    <w:name w:val="List Paragraph"/>
    <w:basedOn w:val="1"/>
    <w:autoRedefine/>
    <w:qFormat/>
    <w:uiPriority w:val="0"/>
    <w:pPr>
      <w:ind w:firstLine="420" w:firstLineChars="200"/>
    </w:pPr>
    <w:rPr>
      <w:rFonts w:ascii="Calibri" w:hAnsi="Calibri"/>
      <w:szCs w:val="22"/>
    </w:rPr>
  </w:style>
  <w:style w:type="paragraph" w:customStyle="1" w:styleId="24">
    <w:name w:val="列出段落1"/>
    <w:basedOn w:val="1"/>
    <w:autoRedefine/>
    <w:qFormat/>
    <w:uiPriority w:val="0"/>
    <w:pPr>
      <w:widowControl/>
      <w:spacing w:after="160" w:line="360" w:lineRule="auto"/>
      <w:ind w:left="720"/>
      <w:contextualSpacing/>
      <w:jc w:val="left"/>
    </w:pPr>
    <w:rPr>
      <w:szCs w:val="22"/>
    </w:rPr>
  </w:style>
  <w:style w:type="table" w:customStyle="1" w:styleId="25">
    <w:name w:val="网格型1"/>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6">
    <w:name w:val="font11"/>
    <w:basedOn w:val="17"/>
    <w:autoRedefine/>
    <w:qFormat/>
    <w:uiPriority w:val="0"/>
    <w:rPr>
      <w:rFonts w:hint="eastAsia" w:ascii="宋体" w:hAnsi="宋体" w:eastAsia="宋体" w:cs="宋体"/>
      <w:color w:val="000000"/>
      <w:sz w:val="40"/>
      <w:szCs w:val="40"/>
      <w:u w:val="none"/>
    </w:rPr>
  </w:style>
  <w:style w:type="character" w:customStyle="1" w:styleId="27">
    <w:name w:val="font01"/>
    <w:basedOn w:val="17"/>
    <w:autoRedefine/>
    <w:qFormat/>
    <w:uiPriority w:val="0"/>
    <w:rPr>
      <w:rFonts w:hint="eastAsia" w:ascii="宋体" w:hAnsi="宋体" w:eastAsia="宋体" w:cs="宋体"/>
      <w:color w:val="000000"/>
      <w:sz w:val="22"/>
      <w:szCs w:val="22"/>
      <w:u w:val="none"/>
    </w:rPr>
  </w:style>
  <w:style w:type="character" w:customStyle="1" w:styleId="28">
    <w:name w:val="页脚 字符1"/>
    <w:autoRedefine/>
    <w:qFormat/>
    <w:uiPriority w:val="0"/>
    <w:rPr>
      <w:sz w:val="18"/>
      <w:szCs w:val="18"/>
    </w:rPr>
  </w:style>
  <w:style w:type="paragraph" w:customStyle="1" w:styleId="29">
    <w:name w:val="_Style 3"/>
    <w:basedOn w:val="1"/>
    <w:autoRedefine/>
    <w:qFormat/>
    <w:uiPriority w:val="34"/>
    <w:pPr>
      <w:spacing w:line="360" w:lineRule="auto"/>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5730</Words>
  <Characters>5891</Characters>
  <Lines>17</Lines>
  <Paragraphs>4</Paragraphs>
  <TotalTime>29</TotalTime>
  <ScaleCrop>false</ScaleCrop>
  <LinksUpToDate>false</LinksUpToDate>
  <CharactersWithSpaces>5954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市渔业应急处置指挥中心</cp:lastModifiedBy>
  <dcterms:modified xsi:type="dcterms:W3CDTF">2024-09-12T00:11:37Z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06A45390F06C47229B8DF66114E6B377_13</vt:lpwstr>
  </property>
</Properties>
</file>