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keepNext w:val="0"/>
        <w:keepLines w:val="0"/>
        <w:pageBreakBefore w:val="0"/>
        <w:widowControl w:val="0"/>
        <w:numPr>
          <w:ilvl w:val="0"/>
          <w:numId w:val="0"/>
        </w:numPr>
        <w:kinsoku/>
        <w:wordWrap/>
        <w:overflowPunct/>
        <w:topLinePunct w:val="0"/>
        <w:bidi w:val="0"/>
        <w:snapToGrid/>
        <w:spacing w:line="360" w:lineRule="auto"/>
        <w:ind w:firstLine="1084" w:firstLineChars="300"/>
        <w:textAlignment w:val="auto"/>
        <w:rPr>
          <w:rFonts w:hint="eastAsia" w:ascii="宋体" w:hAnsi="宋体" w:eastAsia="宋体" w:cs="宋体"/>
          <w:b/>
          <w:bCs/>
          <w:color w:val="000000"/>
          <w:sz w:val="36"/>
          <w:szCs w:val="36"/>
          <w:lang w:val="en-US" w:eastAsia="zh-CN"/>
        </w:rPr>
      </w:pPr>
      <w:bookmarkStart w:id="0" w:name="_Toc451522337"/>
      <w:r>
        <w:rPr>
          <w:rFonts w:hint="eastAsia" w:ascii="宋体" w:hAnsi="宋体" w:eastAsia="宋体" w:cs="宋体"/>
          <w:b/>
          <w:bCs/>
          <w:color w:val="000000"/>
          <w:sz w:val="36"/>
          <w:szCs w:val="36"/>
          <w:lang w:val="en-US" w:eastAsia="zh-CN"/>
        </w:rPr>
        <w:t>温州市中医院</w:t>
      </w:r>
      <w:r>
        <w:rPr>
          <w:rFonts w:hint="eastAsia" w:ascii="宋体" w:hAnsi="宋体" w:eastAsia="宋体" w:cs="宋体"/>
          <w:b/>
          <w:bCs/>
          <w:sz w:val="36"/>
          <w:szCs w:val="36"/>
          <w:lang w:val="en-US" w:eastAsia="zh-CN"/>
        </w:rPr>
        <w:t>急诊留观接口改造服务</w:t>
      </w:r>
      <w:r>
        <w:rPr>
          <w:rFonts w:hint="eastAsia" w:ascii="宋体" w:hAnsi="宋体" w:eastAsia="宋体" w:cs="宋体"/>
          <w:b/>
          <w:bCs/>
          <w:color w:val="000000"/>
          <w:sz w:val="36"/>
          <w:szCs w:val="36"/>
        </w:rPr>
        <w:t>采购</w:t>
      </w:r>
      <w:bookmarkEnd w:id="0"/>
      <w:r>
        <w:rPr>
          <w:rFonts w:hint="eastAsia" w:ascii="宋体" w:hAnsi="宋体" w:eastAsia="宋体" w:cs="宋体"/>
          <w:b/>
          <w:bCs/>
          <w:color w:val="000000"/>
          <w:sz w:val="36"/>
          <w:szCs w:val="36"/>
          <w:lang w:val="en-US" w:eastAsia="zh-CN"/>
        </w:rPr>
        <w:t>文件</w:t>
      </w:r>
    </w:p>
    <w:p>
      <w:pPr>
        <w:numPr>
          <w:ilvl w:val="0"/>
          <w:numId w:val="0"/>
        </w:numPr>
        <w:spacing w:line="300" w:lineRule="atLeast"/>
        <w:ind w:firstLine="562" w:firstLineChars="200"/>
        <w:rPr>
          <w:rFonts w:hint="eastAsia"/>
          <w:b/>
          <w:bCs/>
          <w:sz w:val="28"/>
          <w:szCs w:val="28"/>
          <w:lang w:val="en-US" w:eastAsia="zh-CN"/>
        </w:rPr>
      </w:pPr>
    </w:p>
    <w:p>
      <w:pPr>
        <w:numPr>
          <w:ilvl w:val="0"/>
          <w:numId w:val="0"/>
        </w:numPr>
        <w:spacing w:line="300" w:lineRule="atLeast"/>
        <w:rPr>
          <w:rFonts w:hint="default" w:ascii="宋体" w:hAnsi="宋体" w:eastAsia="宋体" w:cs="宋体"/>
          <w:b w:val="0"/>
          <w:bCs w:val="0"/>
          <w:color w:val="FF0000"/>
          <w:sz w:val="24"/>
          <w:szCs w:val="24"/>
          <w:lang w:val="en-US" w:eastAsia="zh-CN"/>
        </w:rPr>
      </w:pPr>
      <w:r>
        <w:rPr>
          <w:rFonts w:hint="eastAsia"/>
          <w:b/>
          <w:bCs/>
          <w:sz w:val="28"/>
          <w:szCs w:val="28"/>
          <w:lang w:val="en-US" w:eastAsia="zh-CN"/>
        </w:rPr>
        <w:t>一、项目名称</w:t>
      </w:r>
      <w:r>
        <w:rPr>
          <w:rFonts w:hint="eastAsia"/>
          <w:sz w:val="24"/>
          <w:szCs w:val="24"/>
        </w:rPr>
        <w:t>：</w:t>
      </w:r>
      <w:r>
        <w:rPr>
          <w:rFonts w:hint="eastAsia" w:ascii="宋体" w:hAnsi="宋体" w:eastAsia="宋体" w:cs="宋体"/>
          <w:b w:val="0"/>
          <w:bCs w:val="0"/>
          <w:sz w:val="24"/>
          <w:szCs w:val="24"/>
          <w:lang w:val="en-US" w:eastAsia="zh-Hans"/>
        </w:rPr>
        <w:t>温州市中医院</w:t>
      </w:r>
      <w:r>
        <w:rPr>
          <w:rFonts w:hint="eastAsia"/>
          <w:color w:val="auto"/>
          <w:sz w:val="24"/>
          <w:szCs w:val="24"/>
          <w:highlight w:val="none"/>
          <w:lang w:val="en-US" w:eastAsia="zh-CN"/>
        </w:rPr>
        <w:t>急诊留观接口改造服务</w:t>
      </w:r>
    </w:p>
    <w:p>
      <w:pPr>
        <w:spacing w:line="360" w:lineRule="auto"/>
        <w:rPr>
          <w:rFonts w:hint="default"/>
          <w:sz w:val="24"/>
          <w:szCs w:val="24"/>
          <w:lang w:val="en-US"/>
        </w:rPr>
      </w:pPr>
      <w:r>
        <w:rPr>
          <w:rFonts w:hint="eastAsia"/>
          <w:b/>
          <w:bCs/>
          <w:sz w:val="28"/>
          <w:szCs w:val="28"/>
          <w:lang w:val="en-US" w:eastAsia="zh-CN"/>
        </w:rPr>
        <w:t>二、采购方式：</w:t>
      </w:r>
      <w:r>
        <w:rPr>
          <w:rFonts w:hint="eastAsia"/>
          <w:sz w:val="24"/>
          <w:szCs w:val="24"/>
          <w:lang w:val="en-US" w:eastAsia="zh-CN"/>
        </w:rPr>
        <w:t>公开遴选（非政府采购）</w:t>
      </w:r>
    </w:p>
    <w:p>
      <w:pPr>
        <w:spacing w:line="360" w:lineRule="auto"/>
        <w:rPr>
          <w:rFonts w:hint="eastAsia" w:ascii="宋体" w:hAnsi="宋体" w:eastAsia="宋体" w:cs="宋体"/>
          <w:sz w:val="24"/>
          <w:szCs w:val="24"/>
          <w:lang w:eastAsia="zh-CN"/>
        </w:rPr>
      </w:pPr>
      <w:r>
        <w:rPr>
          <w:rFonts w:hint="eastAsia"/>
          <w:b/>
          <w:bCs/>
          <w:sz w:val="28"/>
          <w:szCs w:val="28"/>
          <w:lang w:val="en-US" w:eastAsia="zh-CN"/>
        </w:rPr>
        <w:t>三、</w:t>
      </w:r>
      <w:r>
        <w:rPr>
          <w:rFonts w:hint="eastAsia"/>
          <w:b/>
          <w:bCs/>
          <w:sz w:val="28"/>
          <w:szCs w:val="28"/>
        </w:rPr>
        <w:t>预算</w:t>
      </w:r>
      <w:r>
        <w:rPr>
          <w:rFonts w:hint="eastAsia"/>
          <w:b/>
          <w:bCs/>
          <w:sz w:val="28"/>
          <w:szCs w:val="28"/>
          <w:lang w:val="en-US" w:eastAsia="zh-CN"/>
        </w:rPr>
        <w:t>金额</w:t>
      </w:r>
      <w:r>
        <w:rPr>
          <w:rFonts w:hint="eastAsia"/>
          <w:b/>
          <w:bCs/>
          <w:sz w:val="28"/>
          <w:szCs w:val="28"/>
        </w:rPr>
        <w:t>：</w:t>
      </w:r>
      <w:r>
        <w:rPr>
          <w:rFonts w:hint="eastAsia" w:ascii="宋体" w:hAnsi="宋体" w:cs="宋体"/>
          <w:b w:val="0"/>
          <w:bCs w:val="0"/>
          <w:sz w:val="24"/>
          <w:szCs w:val="24"/>
          <w:lang w:val="en-US" w:eastAsia="zh-CN"/>
        </w:rPr>
        <w:t>8</w:t>
      </w:r>
      <w:r>
        <w:rPr>
          <w:rFonts w:hint="eastAsia" w:ascii="宋体" w:hAnsi="宋体" w:eastAsia="宋体" w:cs="宋体"/>
          <w:b w:val="0"/>
          <w:bCs w:val="0"/>
          <w:sz w:val="24"/>
          <w:szCs w:val="24"/>
          <w:lang w:val="en-US" w:eastAsia="zh-CN"/>
        </w:rPr>
        <w:t>000</w:t>
      </w:r>
      <w:r>
        <w:rPr>
          <w:rFonts w:hint="eastAsia" w:ascii="宋体" w:hAnsi="宋体" w:cs="宋体"/>
          <w:b w:val="0"/>
          <w:bCs w:val="0"/>
          <w:sz w:val="24"/>
          <w:szCs w:val="24"/>
          <w:lang w:val="en-US" w:eastAsia="zh-CN"/>
        </w:rPr>
        <w:t>0</w:t>
      </w:r>
      <w:r>
        <w:rPr>
          <w:rFonts w:hint="eastAsia" w:ascii="宋体" w:hAnsi="宋体" w:eastAsia="宋体" w:cs="宋体"/>
          <w:sz w:val="24"/>
          <w:szCs w:val="24"/>
        </w:rPr>
        <w:t>元</w:t>
      </w:r>
    </w:p>
    <w:p>
      <w:pPr>
        <w:spacing w:line="360" w:lineRule="auto"/>
        <w:rPr>
          <w:rFonts w:hint="eastAsia"/>
          <w:b/>
          <w:bCs/>
          <w:sz w:val="28"/>
          <w:szCs w:val="28"/>
          <w:lang w:val="en-US" w:eastAsia="zh-CN"/>
        </w:rPr>
      </w:pPr>
      <w:r>
        <w:rPr>
          <w:rFonts w:hint="eastAsia"/>
          <w:b/>
          <w:bCs/>
          <w:sz w:val="28"/>
          <w:szCs w:val="28"/>
          <w:lang w:val="en-US" w:eastAsia="zh-CN"/>
        </w:rPr>
        <w:t>四</w:t>
      </w:r>
      <w:r>
        <w:rPr>
          <w:rFonts w:hint="eastAsia"/>
          <w:b/>
          <w:bCs/>
          <w:sz w:val="28"/>
          <w:szCs w:val="28"/>
        </w:rPr>
        <w:t>、招标技术要求</w:t>
      </w:r>
    </w:p>
    <w:p>
      <w:pPr>
        <w:pStyle w:val="27"/>
        <w:keepNext w:val="0"/>
        <w:keepLines w:val="0"/>
        <w:pageBreakBefore w:val="0"/>
        <w:widowControl w:val="0"/>
        <w:numPr>
          <w:ilvl w:val="0"/>
          <w:numId w:val="0"/>
        </w:numPr>
        <w:kinsoku/>
        <w:wordWrap/>
        <w:overflowPunct/>
        <w:topLinePunct w:val="0"/>
        <w:bidi w:val="0"/>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rPr>
        <w:t>（一）</w:t>
      </w:r>
      <w:r>
        <w:rPr>
          <w:rFonts w:hint="eastAsia" w:ascii="宋体" w:hAnsi="宋体" w:eastAsia="宋体" w:cs="宋体"/>
          <w:sz w:val="24"/>
          <w:szCs w:val="24"/>
          <w:lang w:val="en-US" w:eastAsia="zh-CN"/>
        </w:rPr>
        <w:t>格式约定</w:t>
      </w:r>
    </w:p>
    <w:p>
      <w:pPr>
        <w:pStyle w:val="2"/>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基于医院统一管理的需要，</w:t>
      </w:r>
      <w:r>
        <w:rPr>
          <w:rFonts w:hint="eastAsia" w:ascii="宋体" w:hAnsi="宋体" w:eastAsia="宋体" w:cs="宋体"/>
          <w:sz w:val="24"/>
          <w:szCs w:val="24"/>
          <w:lang w:val="en-US" w:eastAsia="zh-CN"/>
        </w:rPr>
        <w:t>优化升级改造医院急诊留观接口和异地血透住院接口。</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val="en-US" w:eastAsia="zh-CN"/>
        </w:rPr>
        <w:t>改造</w:t>
      </w:r>
      <w:r>
        <w:rPr>
          <w:rFonts w:hint="eastAsia" w:ascii="宋体" w:hAnsi="宋体" w:eastAsia="宋体" w:cs="宋体"/>
          <w:b/>
          <w:bCs/>
          <w:sz w:val="24"/>
          <w:szCs w:val="24"/>
        </w:rPr>
        <w:t>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住院收费系统：入院登记、转换性质、注销住院记录、患者账卡、出院结算等和医保有关的操作，针对特殊的患者进行医保门诊急诊、急诊留观、门诊血透特病流程处理，不走原先的住院医保流程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病区护士站系统：患者账卡、出院证、出院结算等和医保有关的操作，针对特殊的患者进行医保门诊急诊、急诊留观、门诊血透特病流程处理，不走原先的住院医保流程</w:t>
      </w:r>
    </w:p>
    <w:p>
      <w:pPr>
        <w:spacing w:line="360" w:lineRule="auto"/>
        <w:ind w:firstLine="482" w:firstLineChars="200"/>
        <w:rPr>
          <w:rFonts w:hint="eastAsia" w:eastAsia="宋体"/>
          <w:b/>
          <w:bCs/>
          <w:sz w:val="24"/>
          <w:szCs w:val="24"/>
          <w:lang w:val="en-US" w:eastAsia="zh-CN"/>
        </w:rPr>
      </w:pPr>
      <w:r>
        <w:rPr>
          <w:rFonts w:hint="eastAsia"/>
          <w:b/>
          <w:bCs/>
          <w:sz w:val="24"/>
          <w:szCs w:val="24"/>
          <w:lang w:eastAsia="zh-CN"/>
        </w:rPr>
        <w:t>（</w:t>
      </w:r>
      <w:r>
        <w:rPr>
          <w:rFonts w:hint="eastAsia"/>
          <w:b/>
          <w:bCs/>
          <w:sz w:val="24"/>
          <w:szCs w:val="24"/>
        </w:rPr>
        <w:t>三）</w:t>
      </w:r>
      <w:r>
        <w:rPr>
          <w:rFonts w:hint="eastAsia"/>
          <w:b/>
          <w:bCs/>
          <w:sz w:val="24"/>
          <w:szCs w:val="24"/>
          <w:lang w:val="en-US" w:eastAsia="zh-CN"/>
        </w:rPr>
        <w:t>采购需求</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支持和医院现有系统无缝链接，不改变急诊医生和护士的操作。</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出院结算时，能够让护士选择留观病人的结算方式（急诊结算还是急诊留观结算）</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现有病人支持普通入院登记和急诊入院登记相互转换</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支持住院患者账卡打开显示急诊住院病人实时账户信息</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急诊留观病人入院和普通病人入院操作相同</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支持急诊留观病人住院撤销操作</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支持急诊留观病人发票打印同普通病人一致</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支持异地血透病人门诊结算流程</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支持医生护士出院证时可以进行出院类型选择</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支持急诊病人电子票据上传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spacing w:line="360" w:lineRule="auto"/>
        <w:rPr>
          <w:rFonts w:hint="eastAsia" w:ascii="宋体" w:hAnsi="宋体" w:eastAsia="宋体" w:cs="宋体"/>
          <w:sz w:val="24"/>
          <w:szCs w:val="24"/>
          <w:lang w:val="en-US" w:eastAsia="zh-CN"/>
        </w:rPr>
      </w:pPr>
      <w:r>
        <w:rPr>
          <w:rFonts w:hint="eastAsia" w:ascii="宋体" w:hAnsi="宋体" w:cs="宋体"/>
          <w:b/>
          <w:bCs/>
          <w:sz w:val="24"/>
          <w:szCs w:val="24"/>
        </w:rPr>
        <w:t>（</w:t>
      </w:r>
      <w:r>
        <w:rPr>
          <w:rFonts w:hint="eastAsia"/>
          <w:b/>
          <w:bCs/>
          <w:sz w:val="24"/>
          <w:szCs w:val="24"/>
        </w:rPr>
        <w:t>注：内容不仅限于以上，根据实际调整。</w:t>
      </w:r>
      <w:r>
        <w:rPr>
          <w:rFonts w:hint="eastAsia"/>
          <w:b/>
          <w:bCs/>
          <w:sz w:val="24"/>
          <w:szCs w:val="24"/>
          <w:lang w:eastAsia="zh-CN"/>
        </w:rPr>
        <w:t>）</w:t>
      </w:r>
    </w:p>
    <w:p>
      <w:pPr>
        <w:spacing w:line="360" w:lineRule="auto"/>
        <w:rPr>
          <w:b/>
          <w:bCs/>
          <w:sz w:val="28"/>
          <w:szCs w:val="28"/>
        </w:rPr>
      </w:pPr>
      <w:r>
        <w:rPr>
          <w:rFonts w:hint="eastAsia"/>
          <w:b/>
          <w:bCs/>
          <w:sz w:val="28"/>
          <w:szCs w:val="28"/>
          <w:lang w:val="en-US" w:eastAsia="zh-CN"/>
        </w:rPr>
        <w:t>五</w:t>
      </w:r>
      <w:r>
        <w:rPr>
          <w:rFonts w:hint="eastAsia"/>
          <w:b/>
          <w:bCs/>
          <w:sz w:val="28"/>
          <w:szCs w:val="28"/>
        </w:rPr>
        <w:t>、商务要求</w:t>
      </w:r>
    </w:p>
    <w:p>
      <w:pPr>
        <w:spacing w:line="360" w:lineRule="auto"/>
        <w:ind w:firstLine="482" w:firstLineChars="200"/>
        <w:rPr>
          <w:rFonts w:hint="eastAsia" w:ascii="宋体" w:hAnsi="宋体" w:cs="宋体"/>
          <w:b/>
          <w:bCs/>
          <w:sz w:val="24"/>
        </w:rPr>
      </w:pPr>
      <w:r>
        <w:rPr>
          <w:rFonts w:hint="eastAsia" w:ascii="宋体" w:hAnsi="宋体" w:cs="宋体"/>
          <w:b/>
          <w:bCs/>
          <w:sz w:val="24"/>
        </w:rPr>
        <w:t>（一）项目建设要求</w:t>
      </w:r>
    </w:p>
    <w:p>
      <w:pPr>
        <w:spacing w:line="360" w:lineRule="auto"/>
        <w:ind w:firstLine="480" w:firstLineChars="200"/>
        <w:rPr>
          <w:rFonts w:hint="eastAsia" w:ascii="宋体" w:hAnsi="宋体" w:cs="宋体"/>
          <w:sz w:val="24"/>
        </w:rPr>
      </w:pPr>
      <w:r>
        <w:rPr>
          <w:rFonts w:hint="eastAsia" w:ascii="宋体" w:hAnsi="宋体" w:cs="宋体"/>
          <w:sz w:val="24"/>
        </w:rPr>
        <w:t>1、项目实施进度要求：合同签订后，中标人需在3个月内完成项目的建设并通过采购人验收、交付采购人使用。</w:t>
      </w:r>
    </w:p>
    <w:p>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2、质保期：不少于1年，自项目验收合格后计。</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、项目培训要求：</w:t>
      </w:r>
    </w:p>
    <w:p>
      <w:pPr>
        <w:spacing w:line="360" w:lineRule="auto"/>
        <w:ind w:firstLine="480" w:firstLineChars="200"/>
        <w:rPr>
          <w:rFonts w:hint="eastAsia" w:ascii="宋体" w:hAnsi="宋体" w:cs="宋体"/>
          <w:sz w:val="24"/>
        </w:rPr>
      </w:pPr>
      <w:r>
        <w:rPr>
          <w:rFonts w:hint="eastAsia" w:ascii="宋体" w:hAnsi="宋体" w:cs="宋体"/>
          <w:sz w:val="24"/>
        </w:rPr>
        <w:t>投标人须提出详细的项目培训计划，具体如下：</w:t>
      </w:r>
    </w:p>
    <w:p>
      <w:pPr>
        <w:spacing w:line="360" w:lineRule="auto"/>
        <w:ind w:firstLine="480" w:firstLineChars="200"/>
        <w:rPr>
          <w:rFonts w:hint="eastAsia" w:ascii="宋体" w:hAnsi="宋体" w:cs="宋体"/>
          <w:sz w:val="24"/>
        </w:rPr>
      </w:pPr>
      <w:r>
        <w:rPr>
          <w:rFonts w:hint="eastAsia" w:ascii="宋体" w:hAnsi="宋体" w:cs="宋体"/>
          <w:sz w:val="24"/>
        </w:rPr>
        <w:t>（1）对系统使用人员、系统运行维护管理人员等不同对象的培训计划；</w:t>
      </w:r>
    </w:p>
    <w:p>
      <w:pPr>
        <w:spacing w:line="360" w:lineRule="auto"/>
        <w:ind w:firstLine="480" w:firstLineChars="200"/>
        <w:rPr>
          <w:rFonts w:hint="eastAsia" w:ascii="宋体" w:hAnsi="宋体" w:cs="宋体"/>
          <w:sz w:val="24"/>
        </w:rPr>
      </w:pPr>
      <w:r>
        <w:rPr>
          <w:rFonts w:hint="eastAsia" w:ascii="宋体" w:hAnsi="宋体" w:cs="宋体"/>
          <w:sz w:val="24"/>
        </w:rPr>
        <w:t>（2）培训课程安排、培训方式及时间，地点场所由采购人提供；</w:t>
      </w:r>
    </w:p>
    <w:p>
      <w:pPr>
        <w:spacing w:line="360" w:lineRule="auto"/>
        <w:ind w:firstLine="480" w:firstLineChars="200"/>
        <w:rPr>
          <w:rFonts w:hint="eastAsia" w:ascii="宋体" w:hAnsi="宋体" w:cs="宋体"/>
          <w:sz w:val="24"/>
        </w:rPr>
      </w:pPr>
      <w:r>
        <w:rPr>
          <w:rFonts w:hint="eastAsia" w:ascii="宋体" w:hAnsi="宋体" w:cs="宋体"/>
          <w:sz w:val="24"/>
        </w:rPr>
        <w:t>（3）提供系统操作培训</w:t>
      </w:r>
    </w:p>
    <w:p>
      <w:pPr>
        <w:spacing w:line="360" w:lineRule="auto"/>
        <w:ind w:firstLine="480" w:firstLineChars="200"/>
        <w:rPr>
          <w:rFonts w:hint="eastAsia" w:ascii="宋体" w:hAnsi="宋体" w:cs="宋体"/>
          <w:sz w:val="24"/>
        </w:rPr>
      </w:pPr>
      <w:r>
        <w:rPr>
          <w:rFonts w:hint="eastAsia" w:ascii="宋体" w:hAnsi="宋体" w:cs="宋体"/>
          <w:sz w:val="24"/>
        </w:rPr>
        <w:t>（4）提供系统日常维护系统培训：主要面向医院信息管理技术人员（至少2名）进行培训，使其具备独立进行系统日常维护、故障的诊断与处理等方面的培训。</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、项目验收要求：</w:t>
      </w:r>
    </w:p>
    <w:p>
      <w:pPr>
        <w:spacing w:line="360" w:lineRule="auto"/>
        <w:ind w:firstLine="480" w:firstLineChars="200"/>
        <w:rPr>
          <w:rFonts w:hint="eastAsia" w:ascii="宋体" w:hAnsi="宋体" w:cs="宋体"/>
          <w:sz w:val="24"/>
        </w:rPr>
      </w:pPr>
      <w:r>
        <w:rPr>
          <w:rFonts w:hint="eastAsia" w:ascii="宋体" w:hAnsi="宋体" w:cs="宋体"/>
          <w:sz w:val="24"/>
        </w:rPr>
        <w:t>项目的工作内容及成果文档的提交应覆盖以下内容，电子文档是成果不可分割的部分。</w:t>
      </w:r>
    </w:p>
    <w:p>
      <w:pPr>
        <w:spacing w:line="360" w:lineRule="auto"/>
        <w:ind w:firstLine="480" w:firstLineChars="200"/>
        <w:rPr>
          <w:rFonts w:hint="eastAsia" w:ascii="宋体" w:hAnsi="宋体" w:cs="宋体"/>
          <w:sz w:val="24"/>
        </w:rPr>
      </w:pPr>
      <w:r>
        <w:rPr>
          <w:rFonts w:hint="eastAsia" w:ascii="宋体" w:hAnsi="宋体" w:cs="宋体"/>
          <w:sz w:val="24"/>
        </w:rPr>
        <w:t>（1）系统的体系架构及描述；</w:t>
      </w:r>
    </w:p>
    <w:p>
      <w:pPr>
        <w:spacing w:line="360" w:lineRule="auto"/>
        <w:ind w:firstLine="480" w:firstLineChars="200"/>
        <w:rPr>
          <w:rFonts w:hint="eastAsia" w:ascii="宋体" w:hAnsi="宋体" w:cs="宋体"/>
          <w:sz w:val="24"/>
        </w:rPr>
      </w:pPr>
      <w:r>
        <w:rPr>
          <w:rFonts w:hint="eastAsia" w:ascii="宋体" w:hAnsi="宋体" w:cs="宋体"/>
          <w:sz w:val="24"/>
        </w:rPr>
        <w:t>（2）提供的其它技术手册，包括：</w:t>
      </w:r>
    </w:p>
    <w:p>
      <w:pPr>
        <w:spacing w:line="360" w:lineRule="auto"/>
        <w:ind w:firstLine="480" w:firstLineChars="200"/>
        <w:rPr>
          <w:rFonts w:hint="eastAsia" w:ascii="宋体" w:hAnsi="宋体" w:cs="宋体"/>
          <w:sz w:val="24"/>
        </w:rPr>
      </w:pPr>
      <w:r>
        <w:rPr>
          <w:rFonts w:hint="eastAsia" w:ascii="宋体" w:hAnsi="宋体" w:cs="宋体"/>
          <w:sz w:val="24"/>
        </w:rPr>
        <w:t>1）需求分析报告（含软件功能需求与数据要求）；</w:t>
      </w:r>
    </w:p>
    <w:p>
      <w:pPr>
        <w:spacing w:line="360" w:lineRule="auto"/>
        <w:ind w:firstLine="480" w:firstLineChars="200"/>
        <w:rPr>
          <w:rFonts w:hint="eastAsia" w:ascii="宋体" w:hAnsi="宋体" w:cs="宋体"/>
          <w:sz w:val="24"/>
        </w:rPr>
      </w:pPr>
      <w:r>
        <w:rPr>
          <w:rFonts w:hint="eastAsia" w:ascii="宋体" w:hAnsi="宋体" w:cs="宋体"/>
          <w:sz w:val="24"/>
        </w:rPr>
        <w:t>2）系统实施确认书；</w:t>
      </w:r>
    </w:p>
    <w:p>
      <w:pPr>
        <w:spacing w:line="360" w:lineRule="auto"/>
        <w:ind w:firstLine="480" w:firstLineChars="200"/>
        <w:rPr>
          <w:rFonts w:hint="eastAsia" w:ascii="宋体" w:hAnsi="宋体" w:cs="宋体"/>
          <w:sz w:val="24"/>
        </w:rPr>
      </w:pPr>
      <w:r>
        <w:rPr>
          <w:rFonts w:hint="eastAsia" w:ascii="宋体" w:hAnsi="宋体" w:cs="宋体"/>
          <w:sz w:val="24"/>
        </w:rPr>
        <w:t>3）培训资料；</w:t>
      </w:r>
    </w:p>
    <w:p>
      <w:pPr>
        <w:spacing w:line="360" w:lineRule="auto"/>
        <w:ind w:firstLine="480" w:firstLineChars="200"/>
        <w:rPr>
          <w:rFonts w:hint="eastAsia" w:ascii="宋体" w:hAnsi="宋体" w:cs="宋体"/>
          <w:sz w:val="24"/>
        </w:rPr>
      </w:pPr>
      <w:r>
        <w:rPr>
          <w:rFonts w:hint="eastAsia" w:ascii="宋体" w:hAnsi="宋体" w:cs="宋体"/>
          <w:sz w:val="24"/>
        </w:rPr>
        <w:t>4）安装维护手册；</w:t>
      </w:r>
    </w:p>
    <w:p>
      <w:pPr>
        <w:spacing w:line="360" w:lineRule="auto"/>
        <w:ind w:firstLine="480" w:firstLineChars="200"/>
        <w:rPr>
          <w:rFonts w:hint="eastAsia" w:ascii="宋体" w:hAnsi="宋体" w:cs="宋体"/>
          <w:sz w:val="24"/>
        </w:rPr>
      </w:pPr>
      <w:r>
        <w:rPr>
          <w:rFonts w:hint="eastAsia" w:ascii="宋体" w:hAnsi="宋体" w:cs="宋体"/>
          <w:sz w:val="24"/>
        </w:rPr>
        <w:t>5）使用操作手册；</w:t>
      </w:r>
    </w:p>
    <w:p>
      <w:pPr>
        <w:spacing w:line="360" w:lineRule="auto"/>
        <w:ind w:firstLine="480" w:firstLineChars="200"/>
        <w:rPr>
          <w:rFonts w:hint="eastAsia" w:ascii="宋体" w:hAnsi="宋体" w:cs="宋体"/>
          <w:sz w:val="24"/>
        </w:rPr>
      </w:pPr>
      <w:r>
        <w:rPr>
          <w:rFonts w:hint="eastAsia" w:ascii="宋体" w:hAnsi="宋体" w:cs="宋体"/>
          <w:sz w:val="24"/>
        </w:rPr>
        <w:t xml:space="preserve">6）项目验收报告。 </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、项目售后服务要求：</w:t>
      </w:r>
    </w:p>
    <w:p>
      <w:pPr>
        <w:spacing w:line="360" w:lineRule="auto"/>
        <w:ind w:firstLine="480" w:firstLineChars="200"/>
        <w:rPr>
          <w:rFonts w:hint="eastAsia" w:ascii="宋体" w:hAnsi="宋体" w:cs="宋体"/>
          <w:sz w:val="24"/>
        </w:rPr>
      </w:pPr>
      <w:r>
        <w:rPr>
          <w:rFonts w:hint="eastAsia" w:ascii="宋体" w:hAnsi="宋体" w:cs="宋体"/>
          <w:sz w:val="24"/>
        </w:rPr>
        <w:t>（1）投标人必须根据本次招标文件所制定的目标和范围，提出相应的售后服务方案。</w:t>
      </w:r>
    </w:p>
    <w:p>
      <w:pPr>
        <w:spacing w:line="360" w:lineRule="auto"/>
        <w:ind w:firstLine="480" w:firstLineChars="200"/>
        <w:rPr>
          <w:rFonts w:hint="eastAsia" w:ascii="宋体" w:hAnsi="宋体" w:cs="宋体"/>
          <w:sz w:val="24"/>
        </w:rPr>
      </w:pPr>
      <w:r>
        <w:rPr>
          <w:rFonts w:hint="eastAsia" w:ascii="宋体" w:hAnsi="宋体" w:cs="宋体"/>
          <w:sz w:val="24"/>
        </w:rPr>
        <w:t>（2）为了保证本次项目顺利成功，要求投标人承诺项目验收后提供7*24小时售后技术服务，提供上门维护、升级服务，对故障即时响应，24小时以内解决问题所采取的措施。包括免费升级、功能完善、故障排除、性能调优、技术咨询等。</w:t>
      </w:r>
    </w:p>
    <w:p>
      <w:pPr>
        <w:spacing w:line="360" w:lineRule="auto"/>
        <w:ind w:firstLine="480" w:firstLineChars="200"/>
        <w:rPr>
          <w:rFonts w:hint="eastAsia" w:ascii="宋体" w:hAnsi="宋体" w:cs="宋体"/>
          <w:sz w:val="24"/>
        </w:rPr>
      </w:pPr>
      <w:r>
        <w:rPr>
          <w:rFonts w:hint="eastAsia" w:ascii="宋体" w:hAnsi="宋体" w:cs="宋体"/>
          <w:sz w:val="24"/>
        </w:rPr>
        <w:t>（3）投标人须保证所提供产品具有合法的版权或使用权，本项目采购的产品，如在本项目范围内使用过程中出现版权或使用权纠纷，应由中标人负责，采购人和采购机构不承担任何责任。</w:t>
      </w:r>
    </w:p>
    <w:p>
      <w:pPr>
        <w:spacing w:line="360" w:lineRule="auto"/>
        <w:ind w:firstLine="480" w:firstLineChars="200"/>
        <w:rPr>
          <w:rFonts w:hint="eastAsia" w:ascii="宋体" w:hAnsi="宋体" w:cs="宋体"/>
          <w:sz w:val="24"/>
        </w:rPr>
      </w:pPr>
      <w:r>
        <w:rPr>
          <w:rFonts w:hint="eastAsia" w:ascii="宋体" w:hAnsi="宋体" w:cs="宋体"/>
          <w:sz w:val="24"/>
        </w:rPr>
        <w:t>（4）投标人应为用户提供系统培训，使其能对系统熟练的操作和日常的维护以及能对一般系统故障进行处置。</w:t>
      </w:r>
    </w:p>
    <w:p>
      <w:pPr>
        <w:spacing w:line="360" w:lineRule="auto"/>
        <w:ind w:firstLine="482" w:firstLineChars="200"/>
        <w:rPr>
          <w:rFonts w:hint="eastAsia" w:ascii="宋体" w:hAnsi="宋体" w:cs="宋体"/>
          <w:b/>
          <w:bCs/>
          <w:sz w:val="24"/>
        </w:rPr>
      </w:pPr>
      <w:r>
        <w:rPr>
          <w:rFonts w:hint="eastAsia" w:ascii="宋体" w:hAnsi="宋体" w:cs="宋体"/>
          <w:b/>
          <w:bCs/>
          <w:sz w:val="24"/>
        </w:rPr>
        <w:t>（二）报价要求</w:t>
      </w:r>
    </w:p>
    <w:p>
      <w:pPr>
        <w:spacing w:line="360" w:lineRule="auto"/>
        <w:ind w:firstLine="480" w:firstLineChars="200"/>
        <w:rPr>
          <w:rFonts w:hint="eastAsia" w:ascii="宋体" w:hAnsi="宋体" w:cs="宋体"/>
          <w:sz w:val="24"/>
        </w:rPr>
      </w:pPr>
      <w:r>
        <w:rPr>
          <w:rFonts w:hint="eastAsia" w:ascii="宋体" w:hAnsi="宋体" w:cs="宋体"/>
          <w:sz w:val="24"/>
        </w:rPr>
        <w:t>本次采购范围涉及上述系统完整稳定运行所需的所有软件、授权、工具、备品备件、消耗品、资料及人工服务等，上述内容所需的所有费用均必须计入本次投标报价。除招标文件已明确不在本次采购范围内的项目外，有关费用如未单独分项报价且投标文件偏离表中无明确偏离的，未单独分项报价的内容视为满足招标文件要求且已经平均分摊计入其他分项报价。</w:t>
      </w:r>
    </w:p>
    <w:p>
      <w:pPr>
        <w:spacing w:line="360" w:lineRule="auto"/>
        <w:ind w:firstLine="482" w:firstLineChars="200"/>
        <w:rPr>
          <w:rFonts w:hint="eastAsia" w:ascii="宋体" w:hAnsi="宋体" w:cs="宋体"/>
          <w:b/>
          <w:bCs/>
          <w:sz w:val="24"/>
        </w:rPr>
      </w:pPr>
      <w:r>
        <w:rPr>
          <w:rFonts w:hint="eastAsia" w:ascii="宋体" w:hAnsi="宋体" w:cs="宋体"/>
          <w:b/>
          <w:bCs/>
          <w:sz w:val="24"/>
        </w:rPr>
        <w:t>（三）付款方式</w:t>
      </w:r>
    </w:p>
    <w:p>
      <w:pPr>
        <w:spacing w:line="360" w:lineRule="auto"/>
        <w:ind w:firstLine="480" w:firstLineChars="200"/>
        <w:rPr>
          <w:rFonts w:hint="eastAsia" w:ascii="宋体" w:hAnsi="宋体" w:cs="宋体"/>
          <w:sz w:val="24"/>
        </w:rPr>
      </w:pPr>
      <w:r>
        <w:rPr>
          <w:rFonts w:hint="eastAsia" w:ascii="宋体" w:hAnsi="宋体" w:cs="宋体"/>
          <w:sz w:val="24"/>
        </w:rPr>
        <w:t>合同签订实施后，根据项目实施情况进行验收，于验收合格并收到发票后，在三个月内一次性支付相应的款项。</w:t>
      </w:r>
    </w:p>
    <w:p>
      <w:pPr>
        <w:pStyle w:val="2"/>
        <w:rPr>
          <w:rFonts w:hint="eastAsia"/>
          <w:lang w:val="en-US" w:eastAsia="zh-CN"/>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kern w:val="2"/>
          <w:sz w:val="28"/>
          <w:szCs w:val="28"/>
          <w:lang w:val="en-US" w:eastAsia="zh-CN" w:bidi="ar-SA"/>
        </w:rPr>
        <w:t>六</w:t>
      </w:r>
      <w:r>
        <w:rPr>
          <w:rFonts w:hint="eastAsia" w:ascii="宋体" w:hAnsi="宋体" w:eastAsia="宋体" w:cs="黑体"/>
          <w:b/>
          <w:bCs/>
          <w:kern w:val="2"/>
          <w:sz w:val="28"/>
          <w:szCs w:val="28"/>
          <w:lang w:val="en-US" w:eastAsia="zh-CN" w:bidi="ar-SA"/>
        </w:rPr>
        <w:t>、</w:t>
      </w:r>
      <w:r>
        <w:rPr>
          <w:rFonts w:hint="eastAsia" w:ascii="宋体" w:hAnsi="宋体" w:eastAsia="宋体" w:cs="黑体"/>
          <w:b/>
          <w:bCs/>
          <w:sz w:val="28"/>
          <w:szCs w:val="28"/>
          <w:lang w:val="en-US" w:eastAsia="zh-CN"/>
        </w:rPr>
        <w:t>定标方法</w:t>
      </w:r>
    </w:p>
    <w:p>
      <w:pPr>
        <w:pStyle w:val="5"/>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1、确定中标候选人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pPr>
        <w:pStyle w:val="5"/>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2、确定中标人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eastAsia="宋体" w:cs="宋体"/>
          <w:sz w:val="24"/>
          <w:szCs w:val="24"/>
          <w:lang w:val="en-US" w:eastAsia="zh-CN"/>
        </w:rPr>
        <w:t>招标</w:t>
      </w:r>
      <w:r>
        <w:rPr>
          <w:rFonts w:hint="eastAsia" w:ascii="宋体" w:hAnsi="宋体" w:eastAsia="宋体" w:cs="宋体"/>
          <w:sz w:val="24"/>
          <w:szCs w:val="24"/>
        </w:rPr>
        <w:t>。</w:t>
      </w:r>
    </w:p>
    <w:p>
      <w:pPr>
        <w:pStyle w:val="5"/>
        <w:numPr>
          <w:ilvl w:val="0"/>
          <w:numId w:val="0"/>
        </w:num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r>
        <w:rPr>
          <w:rFonts w:hint="eastAsia" w:ascii="宋体" w:hAnsi="宋体" w:eastAsia="宋体" w:cs="宋体"/>
          <w:sz w:val="24"/>
          <w:szCs w:val="24"/>
          <w:lang w:val="en-US" w:eastAsia="zh-CN"/>
        </w:rPr>
        <w:t>采购</w:t>
      </w:r>
      <w:r>
        <w:rPr>
          <w:rFonts w:hint="eastAsia" w:ascii="宋体" w:hAnsi="宋体" w:eastAsia="宋体" w:cs="宋体"/>
          <w:sz w:val="24"/>
          <w:szCs w:val="24"/>
        </w:rPr>
        <w:t>人向中标人发出中标通知书。</w:t>
      </w:r>
    </w:p>
    <w:p>
      <w:pPr>
        <w:rPr>
          <w:rFonts w:hint="eastAsia"/>
          <w:lang w:eastAsia="zh-CN"/>
        </w:rPr>
      </w:pPr>
    </w:p>
    <w:p>
      <w:pPr>
        <w:numPr>
          <w:ilvl w:val="0"/>
          <w:numId w:val="0"/>
        </w:numPr>
        <w:rPr>
          <w:rFonts w:hint="eastAsia"/>
          <w:b/>
          <w:bCs/>
          <w:sz w:val="28"/>
          <w:szCs w:val="28"/>
        </w:rPr>
      </w:pPr>
      <w:r>
        <w:rPr>
          <w:rFonts w:hint="eastAsia"/>
          <w:b/>
          <w:bCs/>
          <w:sz w:val="28"/>
          <w:szCs w:val="28"/>
          <w:lang w:val="en-US" w:eastAsia="zh-CN"/>
        </w:rPr>
        <w:t>七</w:t>
      </w:r>
      <w:r>
        <w:rPr>
          <w:rFonts w:hint="eastAsia"/>
          <w:b/>
          <w:bCs/>
          <w:sz w:val="28"/>
          <w:szCs w:val="28"/>
        </w:rPr>
        <w:t>、评分细则</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7</w:t>
      </w:r>
      <w:r>
        <w:rPr>
          <w:rFonts w:hint="eastAsia" w:ascii="宋体" w:hAnsi="宋体" w:eastAsia="宋体" w:cs="宋体"/>
          <w:sz w:val="24"/>
          <w:szCs w:val="24"/>
        </w:rPr>
        <w:t>0分)（权值</w:t>
      </w:r>
      <w:r>
        <w:rPr>
          <w:rFonts w:hint="eastAsia" w:ascii="宋体" w:hAnsi="宋体" w:cs="宋体"/>
          <w:sz w:val="24"/>
          <w:szCs w:val="24"/>
          <w:lang w:val="en-US" w:eastAsia="zh-CN"/>
        </w:rPr>
        <w:t>7</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3</w:t>
      </w:r>
      <w:r>
        <w:rPr>
          <w:rFonts w:hint="eastAsia" w:ascii="宋体" w:hAnsi="宋体" w:eastAsia="宋体" w:cs="宋体"/>
          <w:sz w:val="24"/>
          <w:szCs w:val="24"/>
        </w:rPr>
        <w:t>0分（权值</w:t>
      </w:r>
      <w:r>
        <w:rPr>
          <w:rFonts w:hint="eastAsia" w:ascii="宋体" w:hAnsi="宋体" w:cs="宋体"/>
          <w:sz w:val="24"/>
          <w:szCs w:val="24"/>
          <w:lang w:val="en-US" w:eastAsia="zh-CN"/>
        </w:rPr>
        <w:t>3</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3</w:t>
      </w:r>
      <w:r>
        <w:rPr>
          <w:rFonts w:hint="eastAsia" w:ascii="宋体" w:hAnsi="宋体" w:eastAsia="宋体" w:cs="宋体"/>
          <w:sz w:val="24"/>
          <w:szCs w:val="24"/>
        </w:rPr>
        <w:t>0分；</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pPr>
        <w:pStyle w:val="5"/>
        <w:rPr>
          <w:rFonts w:hint="eastAsia"/>
          <w:lang w:val="en-US" w:eastAsia="zh-CN"/>
        </w:rPr>
      </w:pPr>
    </w:p>
    <w:p>
      <w:pPr>
        <w:rPr>
          <w:rFonts w:hint="eastAsia"/>
          <w:lang w:val="en-US" w:eastAsia="zh-CN"/>
        </w:rPr>
      </w:pPr>
    </w:p>
    <w:p>
      <w:pPr>
        <w:pStyle w:val="17"/>
        <w:rPr>
          <w:rFonts w:hint="eastAsia"/>
          <w:lang w:val="en-US" w:eastAsia="zh-CN"/>
        </w:rPr>
      </w:pPr>
    </w:p>
    <w:p>
      <w:pPr>
        <w:pStyle w:val="3"/>
        <w:spacing w:line="360" w:lineRule="auto"/>
        <w:rPr>
          <w:rFonts w:hint="default" w:eastAsia="宋体"/>
          <w:sz w:val="28"/>
          <w:szCs w:val="28"/>
          <w:lang w:val="en-US" w:eastAsia="zh-CN"/>
        </w:rPr>
      </w:pPr>
      <w:r>
        <w:rPr>
          <w:rFonts w:hint="eastAsia"/>
          <w:sz w:val="28"/>
          <w:szCs w:val="28"/>
          <w:lang w:val="en-US" w:eastAsia="zh-CN"/>
        </w:rPr>
        <w:t>八、附件</w:t>
      </w:r>
    </w:p>
    <w:p>
      <w:pPr>
        <w:spacing w:line="360" w:lineRule="auto"/>
        <w:rPr>
          <w:rFonts w:hint="eastAsia" w:ascii="宋体" w:hAnsi="宋体"/>
          <w:b/>
          <w:sz w:val="24"/>
          <w:szCs w:val="24"/>
        </w:rPr>
      </w:pPr>
      <w:r>
        <w:rPr>
          <w:rFonts w:hint="eastAsia" w:ascii="宋体" w:hAnsi="宋体"/>
          <w:b/>
          <w:sz w:val="24"/>
          <w:szCs w:val="24"/>
          <w:lang w:val="en-US" w:eastAsia="zh-CN"/>
        </w:rPr>
        <w:t>1、</w:t>
      </w:r>
      <w:r>
        <w:rPr>
          <w:rFonts w:hint="eastAsia" w:ascii="宋体" w:hAnsi="宋体"/>
          <w:b/>
          <w:sz w:val="24"/>
          <w:szCs w:val="24"/>
        </w:rPr>
        <w:t>技术</w:t>
      </w:r>
      <w:r>
        <w:rPr>
          <w:rFonts w:hint="eastAsia" w:ascii="宋体" w:hAnsi="宋体"/>
          <w:b/>
          <w:sz w:val="24"/>
          <w:szCs w:val="24"/>
          <w:lang w:val="en-US" w:eastAsia="zh-CN"/>
        </w:rPr>
        <w:t>评分：满分7</w:t>
      </w:r>
      <w:r>
        <w:rPr>
          <w:rFonts w:hint="eastAsia" w:ascii="宋体" w:hAnsi="宋体"/>
          <w:b/>
          <w:sz w:val="24"/>
          <w:szCs w:val="24"/>
        </w:rPr>
        <w:t>0分</w:t>
      </w:r>
    </w:p>
    <w:tbl>
      <w:tblPr>
        <w:tblStyle w:val="14"/>
        <w:tblW w:w="9901" w:type="dxa"/>
        <w:jc w:val="center"/>
        <w:tblLayout w:type="autofit"/>
        <w:tblCellMar>
          <w:top w:w="0" w:type="dxa"/>
          <w:left w:w="108" w:type="dxa"/>
          <w:bottom w:w="0" w:type="dxa"/>
          <w:right w:w="108" w:type="dxa"/>
        </w:tblCellMar>
      </w:tblPr>
      <w:tblGrid>
        <w:gridCol w:w="791"/>
        <w:gridCol w:w="1377"/>
        <w:gridCol w:w="791"/>
        <w:gridCol w:w="6942"/>
      </w:tblGrid>
      <w:tr>
        <w:tblPrEx>
          <w:tblCellMar>
            <w:top w:w="0" w:type="dxa"/>
            <w:left w:w="108" w:type="dxa"/>
            <w:bottom w:w="0" w:type="dxa"/>
            <w:right w:w="108" w:type="dxa"/>
          </w:tblCellMar>
        </w:tblPrEx>
        <w:trPr>
          <w:trHeight w:val="0" w:hRule="atLeast"/>
          <w:jc w:val="center"/>
        </w:trPr>
        <w:tc>
          <w:tcPr>
            <w:tcW w:w="791"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序号</w:t>
            </w:r>
          </w:p>
        </w:tc>
        <w:tc>
          <w:tcPr>
            <w:tcW w:w="1377"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评审内容</w:t>
            </w:r>
          </w:p>
        </w:tc>
        <w:tc>
          <w:tcPr>
            <w:tcW w:w="791"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分值</w:t>
            </w:r>
          </w:p>
        </w:tc>
        <w:tc>
          <w:tcPr>
            <w:tcW w:w="6942" w:type="dxa"/>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评分范围</w:t>
            </w:r>
          </w:p>
        </w:tc>
      </w:tr>
      <w:tr>
        <w:tblPrEx>
          <w:tblCellMar>
            <w:top w:w="0" w:type="dxa"/>
            <w:left w:w="108" w:type="dxa"/>
            <w:bottom w:w="0" w:type="dxa"/>
            <w:right w:w="108" w:type="dxa"/>
          </w:tblCellMar>
        </w:tblPrEx>
        <w:trPr>
          <w:trHeight w:val="0" w:hRule="atLeast"/>
          <w:jc w:val="center"/>
        </w:trPr>
        <w:tc>
          <w:tcPr>
            <w:tcW w:w="79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1</w:t>
            </w:r>
          </w:p>
        </w:tc>
        <w:tc>
          <w:tcPr>
            <w:tcW w:w="137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业绩</w:t>
            </w: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投标人具有</w:t>
            </w:r>
            <w:r>
              <w:rPr>
                <w:rFonts w:hint="eastAsia" w:ascii="新宋体" w:hAnsi="新宋体" w:eastAsia="新宋体" w:cs="新宋体"/>
                <w:color w:val="auto"/>
                <w:kern w:val="0"/>
                <w:sz w:val="22"/>
                <w:szCs w:val="22"/>
                <w:highlight w:val="none"/>
                <w:lang w:val="en-US" w:eastAsia="zh-CN"/>
              </w:rPr>
              <w:t>2021年1月1日起类似项目</w:t>
            </w:r>
            <w:r>
              <w:rPr>
                <w:rFonts w:hint="eastAsia" w:ascii="新宋体" w:hAnsi="新宋体" w:eastAsia="新宋体" w:cs="新宋体"/>
                <w:color w:val="auto"/>
                <w:kern w:val="0"/>
                <w:sz w:val="22"/>
                <w:szCs w:val="22"/>
                <w:highlight w:val="none"/>
              </w:rPr>
              <w:t>案例的每提供一个得1分，最高3分。（投标文件中须提供合同复印件加盖公章，合同中需体现项目内容）</w:t>
            </w:r>
          </w:p>
        </w:tc>
      </w:tr>
      <w:tr>
        <w:tblPrEx>
          <w:tblCellMar>
            <w:top w:w="0" w:type="dxa"/>
            <w:left w:w="108" w:type="dxa"/>
            <w:bottom w:w="0" w:type="dxa"/>
            <w:right w:w="108" w:type="dxa"/>
          </w:tblCellMar>
        </w:tblPrEx>
        <w:trPr>
          <w:trHeight w:val="0" w:hRule="atLeast"/>
          <w:jc w:val="center"/>
        </w:trPr>
        <w:tc>
          <w:tcPr>
            <w:tcW w:w="79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2</w:t>
            </w:r>
          </w:p>
        </w:tc>
        <w:tc>
          <w:tcPr>
            <w:tcW w:w="137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投标人</w:t>
            </w:r>
            <w:r>
              <w:rPr>
                <w:rFonts w:hint="eastAsia" w:ascii="新宋体" w:hAnsi="新宋体" w:eastAsia="新宋体" w:cs="新宋体"/>
                <w:color w:val="auto"/>
                <w:kern w:val="0"/>
                <w:sz w:val="22"/>
                <w:szCs w:val="22"/>
                <w:highlight w:val="none"/>
                <w:lang w:val="en-US" w:eastAsia="zh-CN"/>
              </w:rPr>
              <w:t>综合情况</w:t>
            </w: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投标人具有ISO9001、ISO14001、ISO20000、ISO27001、ISO45001认证，且认证范围为数字医疗或医疗卫生的，满足一项得1分，最高得5分。须提供有效的认证证书复印件，否则不得分。</w:t>
            </w:r>
          </w:p>
        </w:tc>
      </w:tr>
      <w:tr>
        <w:tblPrEx>
          <w:tblCellMar>
            <w:top w:w="0" w:type="dxa"/>
            <w:left w:w="108" w:type="dxa"/>
            <w:bottom w:w="0" w:type="dxa"/>
            <w:right w:w="108" w:type="dxa"/>
          </w:tblCellMar>
        </w:tblPrEx>
        <w:trPr>
          <w:trHeight w:val="0" w:hRule="atLeast"/>
          <w:jc w:val="center"/>
        </w:trPr>
        <w:tc>
          <w:tcPr>
            <w:tcW w:w="79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3</w:t>
            </w:r>
          </w:p>
        </w:tc>
        <w:tc>
          <w:tcPr>
            <w:tcW w:w="137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投标人在区域卫生信息系统领域的全面性比较</w:t>
            </w: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2</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人具有区域医疗协同等软件产品著作权证书，能够兼容至少一种国产数据库管理系统（神通、达梦、人大金仓等）。满足得2分。（证书软件名称可略有不同，但关键内容和功能需一致。须提供证书复印件及产品兼容认证证书，不提供不得分）</w:t>
            </w:r>
          </w:p>
        </w:tc>
      </w:tr>
      <w:tr>
        <w:tblPrEx>
          <w:tblCellMar>
            <w:top w:w="0" w:type="dxa"/>
            <w:left w:w="108" w:type="dxa"/>
            <w:bottom w:w="0" w:type="dxa"/>
            <w:right w:w="108" w:type="dxa"/>
          </w:tblCellMar>
        </w:tblPrEx>
        <w:trPr>
          <w:trHeight w:val="0" w:hRule="atLeast"/>
          <w:jc w:val="center"/>
        </w:trPr>
        <w:tc>
          <w:tcPr>
            <w:tcW w:w="791" w:type="dxa"/>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4</w:t>
            </w:r>
          </w:p>
        </w:tc>
        <w:tc>
          <w:tcPr>
            <w:tcW w:w="1377" w:type="dxa"/>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对项目理解程度</w:t>
            </w: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根据投标人对</w:t>
            </w:r>
            <w:r>
              <w:rPr>
                <w:rFonts w:hint="eastAsia" w:ascii="新宋体" w:hAnsi="新宋体" w:eastAsia="新宋体" w:cs="新宋体"/>
                <w:color w:val="auto"/>
                <w:kern w:val="0"/>
                <w:sz w:val="22"/>
                <w:szCs w:val="22"/>
                <w:highlight w:val="none"/>
                <w:lang w:eastAsia="zh-CN"/>
              </w:rPr>
              <w:t>温州市中医院</w:t>
            </w:r>
            <w:r>
              <w:rPr>
                <w:rFonts w:hint="eastAsia" w:ascii="新宋体" w:hAnsi="新宋体" w:eastAsia="新宋体" w:cs="新宋体"/>
                <w:color w:val="auto"/>
                <w:kern w:val="0"/>
                <w:sz w:val="22"/>
                <w:szCs w:val="22"/>
                <w:highlight w:val="none"/>
              </w:rPr>
              <w:t>信息化现状的理解程度、对</w:t>
            </w:r>
            <w:r>
              <w:rPr>
                <w:rFonts w:hint="eastAsia" w:ascii="新宋体" w:hAnsi="新宋体" w:eastAsia="新宋体" w:cs="新宋体"/>
                <w:color w:val="auto"/>
                <w:kern w:val="0"/>
                <w:sz w:val="22"/>
                <w:szCs w:val="22"/>
                <w:highlight w:val="none"/>
                <w:lang w:eastAsia="zh-CN"/>
              </w:rPr>
              <w:t>温州市中医院</w:t>
            </w:r>
            <w:r>
              <w:rPr>
                <w:rFonts w:hint="eastAsia" w:ascii="新宋体" w:hAnsi="新宋体" w:eastAsia="新宋体" w:cs="新宋体"/>
                <w:color w:val="auto"/>
                <w:kern w:val="0"/>
                <w:sz w:val="22"/>
                <w:szCs w:val="22"/>
                <w:highlight w:val="none"/>
              </w:rPr>
              <w:t>整体信息化建设与本项目建设相结合的理解程度。投标人在针对本项目进行充分调研的基础上，能提出业务现状并提出符合实际信息化问题总结，提出符合用户方实际应用需求的整体解决方案，方案设计具有一定的标准性、适用性、可扩展性和安全性等进行综合评议0-</w:t>
            </w: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分</w:t>
            </w:r>
            <w:r>
              <w:rPr>
                <w:rFonts w:hint="eastAsia" w:ascii="新宋体" w:hAnsi="新宋体" w:eastAsia="新宋体" w:cs="新宋体"/>
                <w:color w:val="auto"/>
                <w:kern w:val="0"/>
                <w:sz w:val="22"/>
                <w:szCs w:val="22"/>
                <w:highlight w:val="none"/>
                <w:lang w:eastAsia="zh-CN"/>
              </w:rPr>
              <w:t>。</w:t>
            </w:r>
          </w:p>
        </w:tc>
      </w:tr>
      <w:tr>
        <w:tblPrEx>
          <w:tblCellMar>
            <w:top w:w="0" w:type="dxa"/>
            <w:left w:w="108" w:type="dxa"/>
            <w:bottom w:w="0" w:type="dxa"/>
            <w:right w:w="108" w:type="dxa"/>
          </w:tblCellMar>
        </w:tblPrEx>
        <w:trPr>
          <w:trHeight w:val="0" w:hRule="atLeast"/>
          <w:jc w:val="center"/>
        </w:trPr>
        <w:tc>
          <w:tcPr>
            <w:tcW w:w="791" w:type="dxa"/>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5</w:t>
            </w:r>
          </w:p>
        </w:tc>
        <w:tc>
          <w:tcPr>
            <w:tcW w:w="1377" w:type="dxa"/>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投标方案的科学性、完整性、适配性</w:t>
            </w: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6</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方案满足项目建设原则，包括方案的科学性、先进性、可行性和扩展性；方案科学合理、安全严密，具有一定的前瞻性，有独到的优势。</w:t>
            </w:r>
            <w:r>
              <w:rPr>
                <w:rFonts w:hint="eastAsia" w:ascii="新宋体" w:hAnsi="新宋体" w:eastAsia="新宋体" w:cs="新宋体"/>
                <w:color w:val="auto"/>
                <w:kern w:val="0"/>
                <w:sz w:val="22"/>
                <w:szCs w:val="22"/>
                <w:highlight w:val="none"/>
                <w:lang w:val="en-US" w:eastAsia="zh-CN"/>
              </w:rPr>
              <w:t>0-2分</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投标技术方案设计合理，且方案具备可行性，与</w:t>
            </w:r>
            <w:r>
              <w:rPr>
                <w:rFonts w:hint="eastAsia" w:ascii="新宋体" w:hAnsi="新宋体" w:eastAsia="新宋体" w:cs="新宋体"/>
                <w:color w:val="auto"/>
                <w:kern w:val="0"/>
                <w:sz w:val="22"/>
                <w:szCs w:val="22"/>
                <w:highlight w:val="none"/>
                <w:lang w:eastAsia="zh-CN"/>
              </w:rPr>
              <w:t>温州市中医院</w:t>
            </w:r>
            <w:r>
              <w:rPr>
                <w:rFonts w:hint="eastAsia" w:ascii="新宋体" w:hAnsi="新宋体" w:eastAsia="新宋体" w:cs="新宋体"/>
                <w:color w:val="auto"/>
                <w:kern w:val="0"/>
                <w:sz w:val="22"/>
                <w:szCs w:val="22"/>
                <w:highlight w:val="none"/>
              </w:rPr>
              <w:t>的日常业务需求相符。</w:t>
            </w:r>
            <w:r>
              <w:rPr>
                <w:rFonts w:hint="eastAsia" w:ascii="新宋体" w:hAnsi="新宋体" w:eastAsia="新宋体" w:cs="新宋体"/>
                <w:color w:val="auto"/>
                <w:kern w:val="0"/>
                <w:sz w:val="22"/>
                <w:szCs w:val="22"/>
                <w:highlight w:val="none"/>
                <w:lang w:val="en-US" w:eastAsia="zh-CN"/>
              </w:rPr>
              <w:t>0-2分</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对项目建设思路、原则、特点、技术要求的理解情况，方案在确保阶段性任务实现的同时，统筹考虑了总体目标的实现。</w:t>
            </w:r>
            <w:r>
              <w:rPr>
                <w:rFonts w:hint="eastAsia" w:ascii="新宋体" w:hAnsi="新宋体" w:eastAsia="新宋体" w:cs="新宋体"/>
                <w:color w:val="auto"/>
                <w:kern w:val="0"/>
                <w:sz w:val="22"/>
                <w:szCs w:val="22"/>
                <w:highlight w:val="none"/>
                <w:lang w:val="en-US" w:eastAsia="zh-CN"/>
              </w:rPr>
              <w:t>0-2分</w:t>
            </w:r>
          </w:p>
        </w:tc>
      </w:tr>
      <w:tr>
        <w:tblPrEx>
          <w:tblCellMar>
            <w:top w:w="0" w:type="dxa"/>
            <w:left w:w="108" w:type="dxa"/>
            <w:bottom w:w="0" w:type="dxa"/>
            <w:right w:w="108" w:type="dxa"/>
          </w:tblCellMar>
        </w:tblPrEx>
        <w:trPr>
          <w:trHeight w:val="0" w:hRule="atLeast"/>
          <w:jc w:val="center"/>
        </w:trPr>
        <w:tc>
          <w:tcPr>
            <w:tcW w:w="79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6</w:t>
            </w:r>
          </w:p>
        </w:tc>
        <w:tc>
          <w:tcPr>
            <w:tcW w:w="137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系统功能响应</w:t>
            </w: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20</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由评委会根据投标人的投标文件对“采购需求描述”中提出的技术要求及参数响应情况进行打分，每负偏离一项扣2分，满分20分</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扣完为止。</w:t>
            </w:r>
          </w:p>
        </w:tc>
      </w:tr>
      <w:tr>
        <w:tblPrEx>
          <w:tblCellMar>
            <w:top w:w="0" w:type="dxa"/>
            <w:left w:w="108" w:type="dxa"/>
            <w:bottom w:w="0" w:type="dxa"/>
            <w:right w:w="108" w:type="dxa"/>
          </w:tblCellMar>
        </w:tblPrEx>
        <w:trPr>
          <w:trHeight w:val="0" w:hRule="atLeast"/>
          <w:jc w:val="center"/>
        </w:trPr>
        <w:tc>
          <w:tcPr>
            <w:tcW w:w="79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7</w:t>
            </w:r>
          </w:p>
        </w:tc>
        <w:tc>
          <w:tcPr>
            <w:tcW w:w="137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安全保障方案</w:t>
            </w: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4</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系统安全性设计思路清晰、安全体系架构设计合理，对系统的应用安全、隐私保护方面提出了切实可行的措施和解决方案</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0-4</w:t>
            </w:r>
            <w:r>
              <w:rPr>
                <w:rFonts w:hint="eastAsia" w:ascii="新宋体" w:hAnsi="新宋体" w:eastAsia="新宋体" w:cs="新宋体"/>
                <w:color w:val="auto"/>
                <w:kern w:val="0"/>
                <w:sz w:val="22"/>
                <w:szCs w:val="22"/>
                <w:highlight w:val="none"/>
              </w:rPr>
              <w:t>分</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w:t>
            </w:r>
          </w:p>
        </w:tc>
      </w:tr>
      <w:tr>
        <w:tblPrEx>
          <w:tblCellMar>
            <w:top w:w="0" w:type="dxa"/>
            <w:left w:w="108" w:type="dxa"/>
            <w:bottom w:w="0" w:type="dxa"/>
            <w:right w:w="108" w:type="dxa"/>
          </w:tblCellMar>
        </w:tblPrEx>
        <w:trPr>
          <w:trHeight w:val="0" w:hRule="atLeast"/>
          <w:jc w:val="center"/>
        </w:trPr>
        <w:tc>
          <w:tcPr>
            <w:tcW w:w="79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8</w:t>
            </w:r>
          </w:p>
        </w:tc>
        <w:tc>
          <w:tcPr>
            <w:tcW w:w="137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项目实施方案</w:t>
            </w: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根据投标人具有完备的项目组织、项目实施规范和项目管理制度、项目组织实施方案的科学性、合理性、规范性和可操作性、质量保证措施和测试方案、进度保证措施有效可行，</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0-</w:t>
            </w:r>
            <w:r>
              <w:rPr>
                <w:rFonts w:hint="eastAsia" w:ascii="新宋体" w:hAnsi="新宋体" w:eastAsia="新宋体" w:cs="新宋体"/>
                <w:color w:val="auto"/>
                <w:kern w:val="0"/>
                <w:sz w:val="22"/>
                <w:szCs w:val="22"/>
                <w:highlight w:val="none"/>
              </w:rPr>
              <w:t>5分</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w:t>
            </w:r>
          </w:p>
        </w:tc>
      </w:tr>
      <w:tr>
        <w:tblPrEx>
          <w:tblCellMar>
            <w:top w:w="0" w:type="dxa"/>
            <w:left w:w="108" w:type="dxa"/>
            <w:bottom w:w="0" w:type="dxa"/>
            <w:right w:w="108" w:type="dxa"/>
          </w:tblCellMar>
        </w:tblPrEx>
        <w:trPr>
          <w:trHeight w:val="875" w:hRule="atLeast"/>
          <w:jc w:val="center"/>
        </w:trPr>
        <w:tc>
          <w:tcPr>
            <w:tcW w:w="791" w:type="dxa"/>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9</w:t>
            </w:r>
          </w:p>
        </w:tc>
        <w:tc>
          <w:tcPr>
            <w:tcW w:w="1377" w:type="dxa"/>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项目实施小组</w:t>
            </w:r>
          </w:p>
        </w:tc>
        <w:tc>
          <w:tcPr>
            <w:tcW w:w="791" w:type="dxa"/>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5</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项目经理具有以下条件：</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①具有信息系统项目管理师证书</w:t>
            </w:r>
            <w:r>
              <w:rPr>
                <w:rFonts w:hint="eastAsia" w:ascii="新宋体" w:hAnsi="新宋体" w:eastAsia="新宋体" w:cs="新宋体"/>
                <w:color w:val="auto"/>
                <w:kern w:val="0"/>
                <w:sz w:val="22"/>
                <w:szCs w:val="22"/>
                <w:highlight w:val="none"/>
                <w:lang w:val="en-US" w:eastAsia="zh-CN"/>
              </w:rPr>
              <w:t>的</w:t>
            </w:r>
            <w:r>
              <w:rPr>
                <w:rFonts w:hint="eastAsia" w:ascii="新宋体" w:hAnsi="新宋体" w:eastAsia="新宋体" w:cs="新宋体"/>
                <w:color w:val="auto"/>
                <w:kern w:val="0"/>
                <w:sz w:val="22"/>
                <w:szCs w:val="22"/>
                <w:highlight w:val="none"/>
              </w:rPr>
              <w:t>得</w:t>
            </w: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分，未提供证书不得分；</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②具有医疗卫生信息化项目实施经验得2分，未提供用户证明不得分。</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（投标文件中提供人员证书、用户证明（或合同，合同中需体现项目经理名字）、社保缴纳证明材料复印件并加盖投标人公章）</w:t>
            </w:r>
          </w:p>
        </w:tc>
      </w:tr>
      <w:tr>
        <w:tblPrEx>
          <w:tblCellMar>
            <w:top w:w="0" w:type="dxa"/>
            <w:left w:w="108" w:type="dxa"/>
            <w:bottom w:w="0" w:type="dxa"/>
            <w:right w:w="108" w:type="dxa"/>
          </w:tblCellMar>
        </w:tblPrEx>
        <w:trPr>
          <w:trHeight w:val="2556" w:hRule="atLeast"/>
          <w:jc w:val="center"/>
        </w:trPr>
        <w:tc>
          <w:tcPr>
            <w:tcW w:w="791"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p>
        </w:tc>
        <w:tc>
          <w:tcPr>
            <w:tcW w:w="137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rPr>
            </w:pPr>
          </w:p>
        </w:tc>
        <w:tc>
          <w:tcPr>
            <w:tcW w:w="791" w:type="dxa"/>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6</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项目实施小组其他实施人员结构合理，具有以下认证证书：</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①具有系统分析师证书、系统架构设计师证书，每提供一个证书得1分，最多得2分；</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②具有软件设计师证书、网络工程师证书、数据库系统工程师、软件评测师证书，每提供一个证书得1分，最多得4分。</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（投标文件中提供人员证书、社保缴纳证明材料复印件并加盖投标人公章，证书应当为不同人员的，一人多证的仅按一证计算。）</w:t>
            </w:r>
          </w:p>
        </w:tc>
      </w:tr>
      <w:tr>
        <w:tblPrEx>
          <w:tblCellMar>
            <w:top w:w="0" w:type="dxa"/>
            <w:left w:w="108" w:type="dxa"/>
            <w:bottom w:w="0" w:type="dxa"/>
            <w:right w:w="108" w:type="dxa"/>
          </w:tblCellMar>
        </w:tblPrEx>
        <w:trPr>
          <w:trHeight w:val="0" w:hRule="atLeast"/>
          <w:jc w:val="center"/>
        </w:trPr>
        <w:tc>
          <w:tcPr>
            <w:tcW w:w="79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10</w:t>
            </w:r>
          </w:p>
        </w:tc>
        <w:tc>
          <w:tcPr>
            <w:tcW w:w="137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应急方案</w:t>
            </w: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投标人应根据可能发生的故障问题，提供有效可行的系统应急方案，以保障系统正常稳定运行，</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0-</w:t>
            </w:r>
            <w:r>
              <w:rPr>
                <w:rFonts w:hint="eastAsia" w:ascii="新宋体" w:hAnsi="新宋体" w:eastAsia="新宋体" w:cs="新宋体"/>
                <w:color w:val="auto"/>
                <w:kern w:val="0"/>
                <w:sz w:val="22"/>
                <w:szCs w:val="22"/>
                <w:highlight w:val="none"/>
              </w:rPr>
              <w:t>3分</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w:t>
            </w:r>
          </w:p>
        </w:tc>
      </w:tr>
      <w:tr>
        <w:tblPrEx>
          <w:tblCellMar>
            <w:top w:w="0" w:type="dxa"/>
            <w:left w:w="108" w:type="dxa"/>
            <w:bottom w:w="0" w:type="dxa"/>
            <w:right w:w="108" w:type="dxa"/>
          </w:tblCellMar>
        </w:tblPrEx>
        <w:trPr>
          <w:trHeight w:val="0" w:hRule="atLeast"/>
          <w:jc w:val="center"/>
        </w:trPr>
        <w:tc>
          <w:tcPr>
            <w:tcW w:w="791" w:type="dxa"/>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11</w:t>
            </w:r>
          </w:p>
        </w:tc>
        <w:tc>
          <w:tcPr>
            <w:tcW w:w="1377" w:type="dxa"/>
            <w:vMerge w:val="restart"/>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服务保障</w:t>
            </w: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人能够确保项目售后服务质量，提供的售后服务方案、售后服务承诺的可行性、完整性以及服务承诺落实的保障措施，维护期内外的后续技术支持和维护能力情况；具有对各种故障和特别要求的快速解决能力，</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0-</w:t>
            </w:r>
            <w:r>
              <w:rPr>
                <w:rFonts w:hint="eastAsia" w:ascii="新宋体" w:hAnsi="新宋体" w:eastAsia="新宋体" w:cs="新宋体"/>
                <w:color w:val="auto"/>
                <w:kern w:val="0"/>
                <w:sz w:val="22"/>
                <w:szCs w:val="22"/>
                <w:highlight w:val="none"/>
              </w:rPr>
              <w:t>3分</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w:t>
            </w:r>
          </w:p>
        </w:tc>
      </w:tr>
      <w:tr>
        <w:tblPrEx>
          <w:tblCellMar>
            <w:top w:w="0" w:type="dxa"/>
            <w:left w:w="108" w:type="dxa"/>
            <w:bottom w:w="0" w:type="dxa"/>
            <w:right w:w="108" w:type="dxa"/>
          </w:tblCellMar>
        </w:tblPrEx>
        <w:trPr>
          <w:trHeight w:val="0" w:hRule="atLeast"/>
          <w:jc w:val="center"/>
        </w:trPr>
        <w:tc>
          <w:tcPr>
            <w:tcW w:w="791"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p>
        </w:tc>
        <w:tc>
          <w:tcPr>
            <w:tcW w:w="1377" w:type="dxa"/>
            <w:vMerge w:val="continue"/>
            <w:tcBorders>
              <w:top w:val="nil"/>
              <w:left w:val="single" w:color="auto" w:sz="8" w:space="0"/>
              <w:bottom w:val="single" w:color="000000"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rPr>
            </w:pP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投标人具有信息技术服务运行维护标准符合性证书（ITSS）成熟度等级2级或以上认证，满足得2分。（须提供证书复印件，不提供不得分）</w:t>
            </w:r>
          </w:p>
        </w:tc>
      </w:tr>
      <w:tr>
        <w:tblPrEx>
          <w:tblCellMar>
            <w:top w:w="0" w:type="dxa"/>
            <w:left w:w="108" w:type="dxa"/>
            <w:bottom w:w="0" w:type="dxa"/>
            <w:right w:w="108" w:type="dxa"/>
          </w:tblCellMar>
        </w:tblPrEx>
        <w:trPr>
          <w:trHeight w:val="0" w:hRule="atLeast"/>
          <w:jc w:val="center"/>
        </w:trPr>
        <w:tc>
          <w:tcPr>
            <w:tcW w:w="791"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12</w:t>
            </w:r>
          </w:p>
        </w:tc>
        <w:tc>
          <w:tcPr>
            <w:tcW w:w="1377"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培训方案</w:t>
            </w:r>
          </w:p>
        </w:tc>
        <w:tc>
          <w:tcPr>
            <w:tcW w:w="791"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w:t>
            </w:r>
          </w:p>
        </w:tc>
        <w:tc>
          <w:tcPr>
            <w:tcW w:w="6942"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投标人提出的培训方案、测试方案完整、合理、可行，</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0-</w:t>
            </w:r>
            <w:r>
              <w:rPr>
                <w:rFonts w:hint="eastAsia" w:ascii="新宋体" w:hAnsi="新宋体" w:eastAsia="新宋体" w:cs="新宋体"/>
                <w:color w:val="auto"/>
                <w:kern w:val="0"/>
                <w:sz w:val="22"/>
                <w:szCs w:val="22"/>
                <w:highlight w:val="none"/>
              </w:rPr>
              <w:t>3分</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w:t>
            </w:r>
          </w:p>
        </w:tc>
      </w:tr>
    </w:tbl>
    <w:p/>
    <w:p>
      <w:pPr>
        <w:rPr>
          <w:rFonts w:hint="eastAsia" w:ascii="宋体" w:hAnsi="宋体" w:eastAsia="宋体" w:cs="宋体"/>
          <w:b/>
          <w:bCs/>
          <w:sz w:val="22"/>
          <w:szCs w:val="22"/>
        </w:rPr>
      </w:pPr>
    </w:p>
    <w:p>
      <w:pPr>
        <w:pStyle w:val="17"/>
        <w:rPr>
          <w:rFonts w:hint="eastAsia" w:ascii="宋体" w:hAnsi="宋体" w:eastAsia="宋体" w:cs="宋体"/>
          <w:b/>
          <w:bCs/>
          <w:sz w:val="22"/>
          <w:szCs w:val="22"/>
          <w:lang w:eastAsia="zh-CN"/>
        </w:rPr>
      </w:pPr>
    </w:p>
    <w:p>
      <w:pPr>
        <w:pStyle w:val="17"/>
        <w:rPr>
          <w:rFonts w:hint="eastAsia"/>
          <w:lang w:eastAsia="zh-CN"/>
        </w:rPr>
      </w:pPr>
    </w:p>
    <w:p>
      <w:pPr>
        <w:numPr>
          <w:ilvl w:val="0"/>
          <w:numId w:val="3"/>
        </w:numPr>
        <w:rPr>
          <w:rFonts w:hint="eastAsia" w:ascii="宋体" w:hAnsi="宋体" w:eastAsia="宋体" w:cs="宋体"/>
          <w:b/>
          <w:bCs/>
          <w:sz w:val="22"/>
          <w:szCs w:val="22"/>
        </w:rPr>
      </w:pPr>
      <w:r>
        <w:rPr>
          <w:rFonts w:hint="eastAsia" w:ascii="宋体" w:hAnsi="宋体" w:eastAsia="宋体" w:cs="宋体"/>
          <w:b/>
          <w:bCs/>
          <w:sz w:val="22"/>
          <w:szCs w:val="22"/>
          <w:lang w:val="en-US" w:eastAsia="zh-CN"/>
        </w:rPr>
        <w:t>价格</w:t>
      </w:r>
      <w:r>
        <w:rPr>
          <w:rFonts w:hint="eastAsia" w:ascii="宋体" w:hAnsi="宋体" w:eastAsia="宋体" w:cs="宋体"/>
          <w:b/>
          <w:bCs/>
          <w:sz w:val="22"/>
          <w:szCs w:val="22"/>
        </w:rPr>
        <w:t>评分：</w:t>
      </w:r>
      <w:r>
        <w:rPr>
          <w:rFonts w:hint="eastAsia" w:ascii="宋体" w:hAnsi="宋体" w:eastAsia="宋体" w:cs="宋体"/>
          <w:b/>
          <w:bCs/>
          <w:sz w:val="22"/>
          <w:szCs w:val="22"/>
          <w:lang w:val="en-US" w:eastAsia="zh-CN"/>
        </w:rPr>
        <w:t>满分</w:t>
      </w:r>
      <w:r>
        <w:rPr>
          <w:rFonts w:hint="eastAsia" w:ascii="宋体" w:hAnsi="宋体" w:cs="宋体"/>
          <w:b/>
          <w:bCs/>
          <w:sz w:val="22"/>
          <w:szCs w:val="22"/>
          <w:lang w:val="en-US" w:eastAsia="zh-CN"/>
        </w:rPr>
        <w:t>3</w:t>
      </w:r>
      <w:r>
        <w:rPr>
          <w:rFonts w:hint="eastAsia" w:ascii="宋体" w:hAnsi="宋体" w:eastAsia="宋体" w:cs="宋体"/>
          <w:b/>
          <w:bCs/>
          <w:sz w:val="22"/>
          <w:szCs w:val="22"/>
          <w:lang w:val="en-US" w:eastAsia="zh-CN"/>
        </w:rPr>
        <w:t>0</w:t>
      </w:r>
      <w:r>
        <w:rPr>
          <w:rFonts w:hint="eastAsia" w:ascii="宋体" w:hAnsi="宋体" w:eastAsia="宋体" w:cs="宋体"/>
          <w:b/>
          <w:bCs/>
          <w:sz w:val="22"/>
          <w:szCs w:val="22"/>
        </w:rPr>
        <w:t>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1" w:name="_Toc8618"/>
      <w:bookmarkStart w:id="2" w:name="_Toc11964"/>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一</w:t>
      </w:r>
      <w:r>
        <w:rPr>
          <w:rFonts w:hint="eastAsia" w:ascii="宋体" w:hAnsi="宋体" w:cs="宋体"/>
          <w:b/>
          <w:color w:val="auto"/>
          <w:sz w:val="28"/>
          <w:szCs w:val="28"/>
          <w:highlight w:val="none"/>
          <w:lang w:val="zh-CN"/>
        </w:rPr>
        <w:t>）</w:t>
      </w:r>
      <w:r>
        <w:rPr>
          <w:rFonts w:hint="eastAsia" w:ascii="宋体" w:hAnsi="宋体" w:eastAsia="宋体" w:cs="宋体"/>
          <w:b/>
          <w:color w:val="auto"/>
          <w:sz w:val="28"/>
          <w:szCs w:val="28"/>
          <w:highlight w:val="none"/>
          <w:lang w:val="zh-CN"/>
        </w:rPr>
        <w:t>报价一览表</w:t>
      </w:r>
      <w:bookmarkEnd w:id="1"/>
      <w:bookmarkEnd w:id="2"/>
    </w:p>
    <w:p>
      <w:pPr>
        <w:spacing w:line="360" w:lineRule="auto"/>
        <w:rPr>
          <w:rFonts w:hint="eastAsia" w:ascii="宋体" w:hAnsi="宋体" w:eastAsia="宋体" w:cs="宋体"/>
          <w:b w:val="0"/>
          <w:bCs w:val="0"/>
          <w:color w:val="auto"/>
          <w:sz w:val="22"/>
          <w:szCs w:val="18"/>
          <w:highlight w:val="none"/>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val="en-US" w:eastAsia="zh-Hans"/>
        </w:rPr>
        <w:t>温州市中医院</w:t>
      </w:r>
      <w:r>
        <w:rPr>
          <w:rFonts w:hint="eastAsia"/>
          <w:b w:val="0"/>
          <w:bCs w:val="0"/>
          <w:color w:val="auto"/>
          <w:sz w:val="24"/>
          <w:szCs w:val="24"/>
          <w:highlight w:val="none"/>
          <w:lang w:val="en-US" w:eastAsia="zh-CN"/>
        </w:rPr>
        <w:t>急诊留观接口改造服务</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2"/>
          <w:szCs w:val="18"/>
          <w:highlight w:val="none"/>
        </w:rPr>
        <w:t xml:space="preserve">                            </w:t>
      </w:r>
    </w:p>
    <w:tbl>
      <w:tblPr>
        <w:tblStyle w:val="14"/>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2770"/>
        <w:gridCol w:w="3875"/>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35" w:type="dxa"/>
            <w:noWrap/>
            <w:vAlign w:val="center"/>
          </w:tcPr>
          <w:p>
            <w:pPr>
              <w:spacing w:line="360" w:lineRule="auto"/>
              <w:jc w:val="center"/>
              <w:rPr>
                <w:rFonts w:ascii="宋体" w:hAnsi="宋体" w:cs="宋体"/>
                <w:sz w:val="24"/>
              </w:rPr>
            </w:pPr>
            <w:r>
              <w:rPr>
                <w:rFonts w:hint="eastAsia" w:ascii="宋体" w:hAnsi="宋体" w:cs="宋体"/>
                <w:sz w:val="24"/>
              </w:rPr>
              <w:t>序号</w:t>
            </w:r>
          </w:p>
        </w:tc>
        <w:tc>
          <w:tcPr>
            <w:tcW w:w="2770" w:type="dxa"/>
            <w:noWrap/>
            <w:vAlign w:val="center"/>
          </w:tcPr>
          <w:p>
            <w:pPr>
              <w:spacing w:line="360" w:lineRule="auto"/>
              <w:jc w:val="center"/>
              <w:rPr>
                <w:rFonts w:ascii="宋体" w:hAnsi="宋体" w:cs="宋体"/>
                <w:sz w:val="24"/>
              </w:rPr>
            </w:pPr>
            <w:r>
              <w:rPr>
                <w:rFonts w:hint="eastAsia" w:ascii="宋体" w:hAnsi="宋体" w:cs="宋体"/>
                <w:bCs/>
                <w:sz w:val="24"/>
              </w:rPr>
              <w:t>项目名称</w:t>
            </w:r>
          </w:p>
        </w:tc>
        <w:tc>
          <w:tcPr>
            <w:tcW w:w="3875" w:type="dxa"/>
            <w:noWrap/>
            <w:vAlign w:val="center"/>
          </w:tcPr>
          <w:p>
            <w:pPr>
              <w:spacing w:line="360" w:lineRule="auto"/>
              <w:jc w:val="center"/>
              <w:rPr>
                <w:rFonts w:ascii="宋体" w:hAnsi="宋体" w:cs="宋体"/>
                <w:sz w:val="24"/>
              </w:rPr>
            </w:pPr>
            <w:r>
              <w:rPr>
                <w:rFonts w:hint="eastAsia" w:ascii="宋体" w:hAnsi="宋体" w:cs="宋体"/>
                <w:bCs/>
                <w:sz w:val="24"/>
              </w:rPr>
              <w:t>报价（人民币元）</w:t>
            </w:r>
          </w:p>
        </w:tc>
        <w:tc>
          <w:tcPr>
            <w:tcW w:w="1747" w:type="dxa"/>
            <w:noWrap/>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35" w:type="dxa"/>
            <w:vMerge w:val="restart"/>
            <w:noWrap/>
            <w:vAlign w:val="center"/>
          </w:tcPr>
          <w:p>
            <w:pPr>
              <w:spacing w:line="360" w:lineRule="auto"/>
              <w:jc w:val="center"/>
              <w:rPr>
                <w:rFonts w:ascii="宋体" w:hAnsi="宋体" w:cs="宋体"/>
                <w:sz w:val="22"/>
              </w:rPr>
            </w:pPr>
            <w:r>
              <w:rPr>
                <w:rFonts w:hint="eastAsia" w:ascii="宋体" w:hAnsi="宋体" w:cs="宋体"/>
                <w:sz w:val="22"/>
              </w:rPr>
              <w:t>1</w:t>
            </w:r>
          </w:p>
        </w:tc>
        <w:tc>
          <w:tcPr>
            <w:tcW w:w="2770" w:type="dxa"/>
            <w:vMerge w:val="restart"/>
            <w:noWrap/>
            <w:vAlign w:val="center"/>
          </w:tcPr>
          <w:p>
            <w:pPr>
              <w:spacing w:line="360" w:lineRule="auto"/>
              <w:jc w:val="center"/>
              <w:rPr>
                <w:rFonts w:ascii="宋体" w:hAnsi="宋体" w:cs="宋体"/>
                <w:sz w:val="22"/>
              </w:rPr>
            </w:pPr>
            <w:r>
              <w:rPr>
                <w:rFonts w:hint="eastAsia"/>
                <w:b w:val="0"/>
                <w:bCs w:val="0"/>
                <w:color w:val="auto"/>
                <w:sz w:val="24"/>
                <w:szCs w:val="24"/>
                <w:highlight w:val="none"/>
                <w:lang w:val="en-US" w:eastAsia="zh-CN"/>
              </w:rPr>
              <w:t>急诊留观接口改造服务</w:t>
            </w:r>
            <w:r>
              <w:rPr>
                <w:rFonts w:hint="eastAsia" w:ascii="宋体" w:hAnsi="宋体" w:eastAsia="宋体" w:cs="宋体"/>
                <w:b w:val="0"/>
                <w:bCs w:val="0"/>
                <w:color w:val="auto"/>
                <w:sz w:val="24"/>
                <w:szCs w:val="24"/>
                <w:highlight w:val="none"/>
              </w:rPr>
              <w:t xml:space="preserve">  </w:t>
            </w:r>
          </w:p>
        </w:tc>
        <w:tc>
          <w:tcPr>
            <w:tcW w:w="3875" w:type="dxa"/>
            <w:noWrap/>
            <w:vAlign w:val="center"/>
          </w:tcPr>
          <w:p>
            <w:pPr>
              <w:spacing w:line="360" w:lineRule="auto"/>
              <w:rPr>
                <w:rFonts w:ascii="宋体" w:hAnsi="宋体" w:cs="宋体"/>
                <w:sz w:val="22"/>
              </w:rPr>
            </w:pPr>
            <w:r>
              <w:rPr>
                <w:rFonts w:hint="eastAsia" w:ascii="宋体" w:hAnsi="宋体" w:cs="宋体"/>
                <w:sz w:val="22"/>
              </w:rPr>
              <w:t>大写：</w:t>
            </w:r>
          </w:p>
        </w:tc>
        <w:tc>
          <w:tcPr>
            <w:tcW w:w="1747" w:type="dxa"/>
            <w:vMerge w:val="restart"/>
            <w:noWrap/>
            <w:vAlign w:val="center"/>
          </w:tcPr>
          <w:p>
            <w:pPr>
              <w:spacing w:line="360" w:lineRule="auto"/>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535" w:type="dxa"/>
            <w:vMerge w:val="continue"/>
            <w:noWrap/>
            <w:vAlign w:val="center"/>
          </w:tcPr>
          <w:p>
            <w:pPr>
              <w:spacing w:line="360" w:lineRule="auto"/>
              <w:jc w:val="center"/>
              <w:rPr>
                <w:rFonts w:ascii="宋体" w:hAnsi="宋体" w:cs="宋体"/>
                <w:sz w:val="22"/>
              </w:rPr>
            </w:pPr>
          </w:p>
        </w:tc>
        <w:tc>
          <w:tcPr>
            <w:tcW w:w="2770" w:type="dxa"/>
            <w:vMerge w:val="continue"/>
            <w:noWrap/>
            <w:vAlign w:val="center"/>
          </w:tcPr>
          <w:p>
            <w:pPr>
              <w:spacing w:line="360" w:lineRule="auto"/>
              <w:jc w:val="center"/>
              <w:rPr>
                <w:rFonts w:ascii="宋体" w:hAnsi="宋体" w:cs="宋体"/>
                <w:sz w:val="22"/>
              </w:rPr>
            </w:pPr>
          </w:p>
        </w:tc>
        <w:tc>
          <w:tcPr>
            <w:tcW w:w="3875" w:type="dxa"/>
            <w:noWrap/>
            <w:vAlign w:val="center"/>
          </w:tcPr>
          <w:p>
            <w:pPr>
              <w:spacing w:line="360" w:lineRule="auto"/>
              <w:rPr>
                <w:rFonts w:ascii="宋体" w:hAnsi="宋体" w:cs="宋体"/>
                <w:sz w:val="22"/>
              </w:rPr>
            </w:pPr>
            <w:r>
              <w:rPr>
                <w:rFonts w:hint="eastAsia" w:ascii="宋体" w:hAnsi="宋体" w:cs="宋体"/>
                <w:sz w:val="22"/>
              </w:rPr>
              <w:t>小写：</w:t>
            </w:r>
          </w:p>
        </w:tc>
        <w:tc>
          <w:tcPr>
            <w:tcW w:w="1747" w:type="dxa"/>
            <w:vMerge w:val="continue"/>
            <w:noWrap/>
            <w:vAlign w:val="center"/>
          </w:tcPr>
          <w:p>
            <w:pPr>
              <w:spacing w:line="360" w:lineRule="auto"/>
              <w:jc w:val="center"/>
              <w:rPr>
                <w:rFonts w:ascii="宋体" w:hAnsi="宋体" w:cs="宋体"/>
                <w:sz w:val="22"/>
              </w:rPr>
            </w:pPr>
          </w:p>
        </w:tc>
      </w:tr>
    </w:tbl>
    <w:p>
      <w:pPr>
        <w:spacing w:line="450" w:lineRule="exact"/>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3"/>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3"/>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pStyle w:val="3"/>
        <w:rPr>
          <w:rFonts w:hint="eastAsia"/>
        </w:rPr>
      </w:pPr>
    </w:p>
    <w:p>
      <w:pPr>
        <w:adjustRightInd w:val="0"/>
        <w:snapToGrid w:val="0"/>
        <w:spacing w:line="360" w:lineRule="auto"/>
        <w:jc w:val="left"/>
        <w:rPr>
          <w:rFonts w:hint="eastAsia" w:ascii="宋体" w:hAnsi="宋体"/>
          <w:color w:val="000000"/>
          <w:szCs w:val="21"/>
        </w:rPr>
      </w:pPr>
    </w:p>
    <w:p>
      <w:pPr>
        <w:pStyle w:val="17"/>
        <w:rPr>
          <w:rFonts w:hint="eastAsia" w:ascii="宋体" w:hAnsi="宋体"/>
          <w:color w:val="000000"/>
          <w:szCs w:val="21"/>
        </w:rPr>
      </w:pP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3" w:name="_GoBack"/>
      <w:bookmarkEnd w:id="3"/>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分项报价</w:t>
      </w:r>
      <w:r>
        <w:rPr>
          <w:rFonts w:hint="eastAsia" w:ascii="宋体" w:hAnsi="宋体" w:eastAsia="宋体" w:cs="宋体"/>
          <w:b/>
          <w:color w:val="auto"/>
          <w:sz w:val="28"/>
          <w:szCs w:val="28"/>
          <w:highlight w:val="none"/>
          <w:lang w:val="zh-CN"/>
        </w:rPr>
        <w:t>表</w:t>
      </w:r>
    </w:p>
    <w:p>
      <w:pPr>
        <w:spacing w:line="240" w:lineRule="auto"/>
        <w:rPr>
          <w:rFonts w:hint="eastAsia" w:ascii="宋体" w:hAnsi="宋体" w:eastAsia="宋体" w:cs="宋体"/>
          <w:b/>
          <w:color w:val="auto"/>
          <w:sz w:val="22"/>
          <w:highlight w:val="none"/>
        </w:rPr>
      </w:pPr>
    </w:p>
    <w:tbl>
      <w:tblPr>
        <w:tblStyle w:val="14"/>
        <w:tblW w:w="9360" w:type="dxa"/>
        <w:tblInd w:w="115" w:type="dxa"/>
        <w:tblLayout w:type="fixed"/>
        <w:tblCellMar>
          <w:top w:w="0" w:type="dxa"/>
          <w:left w:w="108" w:type="dxa"/>
          <w:bottom w:w="0" w:type="dxa"/>
          <w:right w:w="108" w:type="dxa"/>
        </w:tblCellMar>
      </w:tblPr>
      <w:tblGrid>
        <w:gridCol w:w="885"/>
        <w:gridCol w:w="1320"/>
        <w:gridCol w:w="945"/>
        <w:gridCol w:w="975"/>
        <w:gridCol w:w="1260"/>
        <w:gridCol w:w="1290"/>
        <w:gridCol w:w="1335"/>
        <w:gridCol w:w="1350"/>
      </w:tblGrid>
      <w:tr>
        <w:tblPrEx>
          <w:tblCellMar>
            <w:top w:w="0" w:type="dxa"/>
            <w:left w:w="108" w:type="dxa"/>
            <w:bottom w:w="0" w:type="dxa"/>
            <w:right w:w="108" w:type="dxa"/>
          </w:tblCellMar>
        </w:tblPrEx>
        <w:trPr>
          <w:trHeight w:val="585" w:hRule="atLeast"/>
        </w:trPr>
        <w:tc>
          <w:tcPr>
            <w:tcW w:w="885"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序号</w:t>
            </w:r>
          </w:p>
        </w:tc>
        <w:tc>
          <w:tcPr>
            <w:tcW w:w="1320"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产品名称</w:t>
            </w:r>
          </w:p>
        </w:tc>
        <w:tc>
          <w:tcPr>
            <w:tcW w:w="945"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975"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ascii="宋体" w:hAnsi="宋体" w:cs="宋体"/>
                <w:b/>
                <w:bCs/>
                <w:color w:val="000000"/>
                <w:sz w:val="24"/>
                <w:szCs w:val="24"/>
              </w:rPr>
            </w:pPr>
            <w:r>
              <w:rPr>
                <w:rFonts w:hint="eastAsia" w:ascii="宋体" w:hAnsi="宋体" w:cs="宋体"/>
                <w:b/>
                <w:bCs/>
                <w:color w:val="000000"/>
                <w:sz w:val="24"/>
                <w:szCs w:val="24"/>
              </w:rPr>
              <w:t>数量</w:t>
            </w:r>
          </w:p>
        </w:tc>
        <w:tc>
          <w:tcPr>
            <w:tcW w:w="1260"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投标品牌</w:t>
            </w:r>
          </w:p>
        </w:tc>
        <w:tc>
          <w:tcPr>
            <w:tcW w:w="1290"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规格型号</w:t>
            </w:r>
          </w:p>
        </w:tc>
        <w:tc>
          <w:tcPr>
            <w:tcW w:w="1335"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单价（元）</w:t>
            </w:r>
          </w:p>
        </w:tc>
        <w:tc>
          <w:tcPr>
            <w:tcW w:w="1350"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合计（元）</w:t>
            </w:r>
          </w:p>
        </w:tc>
      </w:tr>
      <w:tr>
        <w:tblPrEx>
          <w:tblCellMar>
            <w:top w:w="0" w:type="dxa"/>
            <w:left w:w="108" w:type="dxa"/>
            <w:bottom w:w="0" w:type="dxa"/>
            <w:right w:w="108" w:type="dxa"/>
          </w:tblCellMar>
        </w:tblPrEx>
        <w:trPr>
          <w:trHeight w:val="943" w:hRule="atLeast"/>
        </w:trPr>
        <w:tc>
          <w:tcPr>
            <w:tcW w:w="885" w:type="dxa"/>
            <w:tcBorders>
              <w:top w:val="nil"/>
              <w:left w:val="single" w:color="000000" w:sz="8" w:space="0"/>
              <w:bottom w:val="single" w:color="auto" w:sz="4" w:space="0"/>
              <w:right w:val="single" w:color="000000" w:sz="8" w:space="0"/>
            </w:tcBorders>
            <w:noWrap/>
            <w:vAlign w:val="center"/>
          </w:tcPr>
          <w:p>
            <w:pPr>
              <w:widowControl/>
              <w:spacing w:line="360" w:lineRule="auto"/>
              <w:jc w:val="both"/>
              <w:textAlignment w:val="center"/>
              <w:rPr>
                <w:rFonts w:ascii="宋体" w:hAnsi="宋体" w:cs="宋体"/>
                <w:color w:val="000000"/>
                <w:sz w:val="24"/>
                <w:szCs w:val="24"/>
              </w:rPr>
            </w:pPr>
          </w:p>
        </w:tc>
        <w:tc>
          <w:tcPr>
            <w:tcW w:w="1320" w:type="dxa"/>
            <w:tcBorders>
              <w:top w:val="nil"/>
              <w:left w:val="nil"/>
              <w:bottom w:val="single" w:color="auto" w:sz="4" w:space="0"/>
              <w:right w:val="single" w:color="000000" w:sz="8" w:space="0"/>
            </w:tcBorders>
            <w:noWrap/>
            <w:vAlign w:val="center"/>
          </w:tcPr>
          <w:p>
            <w:pPr>
              <w:widowControl/>
              <w:spacing w:line="360" w:lineRule="auto"/>
              <w:jc w:val="center"/>
              <w:textAlignment w:val="center"/>
              <w:rPr>
                <w:rFonts w:ascii="宋体" w:hAnsi="宋体" w:cs="宋体"/>
                <w:color w:val="000000"/>
                <w:sz w:val="24"/>
                <w:szCs w:val="24"/>
              </w:rPr>
            </w:pPr>
          </w:p>
        </w:tc>
        <w:tc>
          <w:tcPr>
            <w:tcW w:w="945" w:type="dxa"/>
            <w:tcBorders>
              <w:top w:val="nil"/>
              <w:left w:val="nil"/>
              <w:bottom w:val="single" w:color="auto" w:sz="4" w:space="0"/>
              <w:right w:val="single" w:color="000000" w:sz="8" w:space="0"/>
            </w:tcBorders>
            <w:noWrap/>
            <w:vAlign w:val="center"/>
          </w:tcPr>
          <w:p>
            <w:pPr>
              <w:widowControl/>
              <w:spacing w:line="360" w:lineRule="auto"/>
              <w:jc w:val="center"/>
              <w:textAlignment w:val="center"/>
              <w:rPr>
                <w:rFonts w:ascii="宋体" w:hAnsi="宋体" w:cs="宋体"/>
                <w:color w:val="000000"/>
                <w:sz w:val="24"/>
                <w:szCs w:val="24"/>
              </w:rPr>
            </w:pPr>
          </w:p>
        </w:tc>
        <w:tc>
          <w:tcPr>
            <w:tcW w:w="975" w:type="dxa"/>
            <w:tcBorders>
              <w:top w:val="nil"/>
              <w:left w:val="nil"/>
              <w:bottom w:val="single" w:color="auto" w:sz="4" w:space="0"/>
              <w:right w:val="single" w:color="000000" w:sz="8" w:space="0"/>
            </w:tcBorders>
            <w:noWrap/>
            <w:vAlign w:val="center"/>
          </w:tcPr>
          <w:p>
            <w:pPr>
              <w:widowControl/>
              <w:spacing w:line="360" w:lineRule="auto"/>
              <w:jc w:val="center"/>
              <w:textAlignment w:val="center"/>
              <w:rPr>
                <w:rFonts w:ascii="宋体" w:hAnsi="宋体" w:cs="宋体"/>
                <w:color w:val="000000"/>
                <w:kern w:val="0"/>
                <w:sz w:val="24"/>
                <w:szCs w:val="24"/>
              </w:rPr>
            </w:pPr>
          </w:p>
        </w:tc>
        <w:tc>
          <w:tcPr>
            <w:tcW w:w="1260" w:type="dxa"/>
            <w:tcBorders>
              <w:top w:val="nil"/>
              <w:left w:val="nil"/>
              <w:bottom w:val="single" w:color="auto" w:sz="4" w:space="0"/>
              <w:right w:val="single" w:color="000000" w:sz="8" w:space="0"/>
            </w:tcBorders>
            <w:noWrap/>
            <w:vAlign w:val="center"/>
          </w:tcPr>
          <w:p>
            <w:pPr>
              <w:widowControl/>
              <w:spacing w:line="360" w:lineRule="auto"/>
              <w:textAlignment w:val="center"/>
              <w:rPr>
                <w:rFonts w:ascii="宋体" w:hAnsi="宋体" w:cs="宋体"/>
                <w:color w:val="000000"/>
                <w:sz w:val="24"/>
                <w:szCs w:val="24"/>
              </w:rPr>
            </w:pPr>
          </w:p>
        </w:tc>
        <w:tc>
          <w:tcPr>
            <w:tcW w:w="1290" w:type="dxa"/>
            <w:tcBorders>
              <w:top w:val="nil"/>
              <w:left w:val="nil"/>
              <w:bottom w:val="single" w:color="auto" w:sz="4" w:space="0"/>
              <w:right w:val="single" w:color="000000" w:sz="8" w:space="0"/>
            </w:tcBorders>
            <w:noWrap/>
            <w:vAlign w:val="center"/>
          </w:tcPr>
          <w:p>
            <w:pPr>
              <w:widowControl/>
              <w:spacing w:line="360" w:lineRule="auto"/>
              <w:textAlignment w:val="center"/>
              <w:rPr>
                <w:rFonts w:ascii="宋体" w:hAnsi="宋体" w:cs="宋体"/>
                <w:color w:val="000000"/>
                <w:sz w:val="24"/>
                <w:szCs w:val="24"/>
              </w:rPr>
            </w:pPr>
          </w:p>
        </w:tc>
        <w:tc>
          <w:tcPr>
            <w:tcW w:w="1335" w:type="dxa"/>
            <w:tcBorders>
              <w:top w:val="nil"/>
              <w:left w:val="nil"/>
              <w:bottom w:val="single" w:color="auto" w:sz="4" w:space="0"/>
              <w:right w:val="single" w:color="000000" w:sz="8" w:space="0"/>
            </w:tcBorders>
            <w:noWrap/>
            <w:vAlign w:val="center"/>
          </w:tcPr>
          <w:p>
            <w:pPr>
              <w:widowControl/>
              <w:spacing w:line="360" w:lineRule="auto"/>
              <w:textAlignment w:val="center"/>
              <w:rPr>
                <w:rFonts w:ascii="宋体" w:hAnsi="宋体" w:cs="宋体"/>
                <w:color w:val="000000"/>
                <w:sz w:val="24"/>
                <w:szCs w:val="24"/>
              </w:rPr>
            </w:pPr>
          </w:p>
        </w:tc>
        <w:tc>
          <w:tcPr>
            <w:tcW w:w="1350" w:type="dxa"/>
            <w:tcBorders>
              <w:top w:val="nil"/>
              <w:left w:val="nil"/>
              <w:bottom w:val="single" w:color="auto" w:sz="4" w:space="0"/>
              <w:right w:val="single" w:color="000000" w:sz="8" w:space="0"/>
            </w:tcBorders>
            <w:noWrap/>
            <w:vAlign w:val="center"/>
          </w:tcPr>
          <w:p>
            <w:pPr>
              <w:widowControl/>
              <w:spacing w:line="360" w:lineRule="auto"/>
              <w:textAlignment w:val="center"/>
              <w:rPr>
                <w:rFonts w:ascii="宋体" w:hAnsi="宋体" w:cs="宋体"/>
                <w:color w:val="000000"/>
                <w:sz w:val="24"/>
                <w:szCs w:val="24"/>
              </w:rPr>
            </w:pPr>
          </w:p>
        </w:tc>
      </w:tr>
      <w:tr>
        <w:tblPrEx>
          <w:tblCellMar>
            <w:top w:w="0" w:type="dxa"/>
            <w:left w:w="108" w:type="dxa"/>
            <w:bottom w:w="0" w:type="dxa"/>
            <w:right w:w="108" w:type="dxa"/>
          </w:tblCellMar>
        </w:tblPrEx>
        <w:trPr>
          <w:trHeight w:val="1092" w:hRule="atLeast"/>
        </w:trPr>
        <w:tc>
          <w:tcPr>
            <w:tcW w:w="88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p>
        </w:tc>
        <w:tc>
          <w:tcPr>
            <w:tcW w:w="132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sz w:val="24"/>
                <w:szCs w:val="24"/>
              </w:rPr>
            </w:pPr>
          </w:p>
        </w:tc>
        <w:tc>
          <w:tcPr>
            <w:tcW w:w="94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p>
        </w:tc>
        <w:tc>
          <w:tcPr>
            <w:tcW w:w="1260" w:type="dxa"/>
            <w:tcBorders>
              <w:top w:val="single" w:color="auto" w:sz="4" w:space="0"/>
              <w:left w:val="single" w:color="auto" w:sz="4" w:space="0"/>
              <w:bottom w:val="single" w:color="auto" w:sz="4" w:space="0"/>
              <w:right w:val="single" w:color="auto" w:sz="4" w:space="0"/>
            </w:tcBorders>
            <w:noWrap/>
            <w:vAlign w:val="center"/>
          </w:tcPr>
          <w:p>
            <w:pPr>
              <w:widowControl/>
              <w:numPr>
                <w:ilvl w:val="0"/>
                <w:numId w:val="0"/>
              </w:numPr>
              <w:spacing w:line="360" w:lineRule="auto"/>
              <w:textAlignment w:val="center"/>
              <w:rPr>
                <w:rFonts w:ascii="宋体" w:hAnsi="宋体" w:cs="宋体"/>
                <w:color w:val="000000"/>
                <w:sz w:val="24"/>
                <w:szCs w:val="24"/>
              </w:rPr>
            </w:pPr>
          </w:p>
        </w:tc>
        <w:tc>
          <w:tcPr>
            <w:tcW w:w="1290" w:type="dxa"/>
            <w:tcBorders>
              <w:top w:val="single" w:color="auto" w:sz="4" w:space="0"/>
              <w:left w:val="single" w:color="auto" w:sz="4" w:space="0"/>
              <w:bottom w:val="single" w:color="auto" w:sz="4" w:space="0"/>
              <w:right w:val="single" w:color="auto" w:sz="4" w:space="0"/>
            </w:tcBorders>
            <w:noWrap/>
            <w:vAlign w:val="center"/>
          </w:tcPr>
          <w:p>
            <w:pPr>
              <w:widowControl/>
              <w:numPr>
                <w:ilvl w:val="0"/>
                <w:numId w:val="0"/>
              </w:numPr>
              <w:spacing w:line="360" w:lineRule="auto"/>
              <w:textAlignment w:val="center"/>
              <w:rPr>
                <w:rFonts w:ascii="宋体" w:hAnsi="宋体" w:cs="宋体"/>
                <w:color w:val="000000"/>
                <w:sz w:val="24"/>
                <w:szCs w:val="24"/>
              </w:rPr>
            </w:pPr>
          </w:p>
        </w:tc>
        <w:tc>
          <w:tcPr>
            <w:tcW w:w="1335" w:type="dxa"/>
            <w:tcBorders>
              <w:top w:val="single" w:color="auto" w:sz="4" w:space="0"/>
              <w:left w:val="single" w:color="auto" w:sz="4" w:space="0"/>
              <w:bottom w:val="single" w:color="auto" w:sz="4" w:space="0"/>
              <w:right w:val="single" w:color="auto" w:sz="4" w:space="0"/>
            </w:tcBorders>
            <w:noWrap/>
            <w:vAlign w:val="center"/>
          </w:tcPr>
          <w:p>
            <w:pPr>
              <w:widowControl/>
              <w:numPr>
                <w:ilvl w:val="0"/>
                <w:numId w:val="0"/>
              </w:numPr>
              <w:spacing w:line="360" w:lineRule="auto"/>
              <w:textAlignment w:val="center"/>
              <w:rPr>
                <w:rFonts w:ascii="宋体" w:hAnsi="宋体" w:cs="宋体"/>
                <w:color w:val="000000"/>
                <w:sz w:val="24"/>
                <w:szCs w:val="24"/>
              </w:rPr>
            </w:pP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numPr>
                <w:ilvl w:val="0"/>
                <w:numId w:val="0"/>
              </w:numPr>
              <w:spacing w:line="360" w:lineRule="auto"/>
              <w:textAlignment w:val="center"/>
              <w:rPr>
                <w:rFonts w:ascii="宋体" w:hAnsi="宋体" w:cs="宋体"/>
                <w:color w:val="000000"/>
                <w:sz w:val="24"/>
                <w:szCs w:val="24"/>
              </w:rPr>
            </w:pPr>
          </w:p>
        </w:tc>
      </w:tr>
      <w:tr>
        <w:tblPrEx>
          <w:tblCellMar>
            <w:top w:w="0" w:type="dxa"/>
            <w:left w:w="108" w:type="dxa"/>
            <w:bottom w:w="0" w:type="dxa"/>
            <w:right w:w="108" w:type="dxa"/>
          </w:tblCellMar>
        </w:tblPrEx>
        <w:trPr>
          <w:trHeight w:val="955" w:hRule="atLeast"/>
        </w:trPr>
        <w:tc>
          <w:tcPr>
            <w:tcW w:w="88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sz w:val="24"/>
                <w:szCs w:val="24"/>
              </w:rPr>
            </w:pPr>
          </w:p>
        </w:tc>
        <w:tc>
          <w:tcPr>
            <w:tcW w:w="94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p>
        </w:tc>
        <w:tc>
          <w:tcPr>
            <w:tcW w:w="97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kern w:val="0"/>
                <w:sz w:val="24"/>
                <w:szCs w:val="24"/>
              </w:rPr>
            </w:pPr>
          </w:p>
        </w:tc>
        <w:tc>
          <w:tcPr>
            <w:tcW w:w="126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textAlignment w:val="center"/>
              <w:rPr>
                <w:rFonts w:ascii="宋体" w:hAnsi="宋体" w:cs="宋体"/>
                <w:color w:val="000000"/>
                <w:sz w:val="24"/>
                <w:szCs w:val="24"/>
              </w:rPr>
            </w:pPr>
          </w:p>
        </w:tc>
        <w:tc>
          <w:tcPr>
            <w:tcW w:w="129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textAlignment w:val="center"/>
              <w:rPr>
                <w:rFonts w:ascii="宋体" w:hAnsi="宋体" w:cs="宋体"/>
                <w:color w:val="000000"/>
                <w:sz w:val="24"/>
                <w:szCs w:val="24"/>
              </w:rPr>
            </w:pPr>
          </w:p>
        </w:tc>
        <w:tc>
          <w:tcPr>
            <w:tcW w:w="13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textAlignment w:val="center"/>
              <w:rPr>
                <w:rFonts w:ascii="宋体" w:hAnsi="宋体" w:cs="宋体"/>
                <w:color w:val="000000"/>
                <w:sz w:val="24"/>
                <w:szCs w:val="24"/>
              </w:rPr>
            </w:pP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textAlignment w:val="center"/>
              <w:rPr>
                <w:rFonts w:ascii="宋体" w:hAnsi="宋体" w:cs="宋体"/>
                <w:color w:val="000000"/>
                <w:sz w:val="24"/>
                <w:szCs w:val="24"/>
              </w:rPr>
            </w:pPr>
          </w:p>
        </w:tc>
      </w:tr>
      <w:tr>
        <w:tblPrEx>
          <w:tblCellMar>
            <w:top w:w="0" w:type="dxa"/>
            <w:left w:w="108" w:type="dxa"/>
            <w:bottom w:w="0" w:type="dxa"/>
            <w:right w:w="108" w:type="dxa"/>
          </w:tblCellMar>
        </w:tblPrEx>
        <w:trPr>
          <w:trHeight w:val="585" w:hRule="atLeast"/>
        </w:trPr>
        <w:tc>
          <w:tcPr>
            <w:tcW w:w="8010" w:type="dxa"/>
            <w:gridSpan w:val="7"/>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sz w:val="24"/>
                <w:szCs w:val="24"/>
                <w:lang w:val="en-US" w:eastAsia="zh-CN"/>
              </w:rPr>
              <w:t>总价（元）：</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textAlignment w:val="center"/>
              <w:rPr>
                <w:rFonts w:ascii="宋体" w:hAnsi="宋体" w:cs="宋体"/>
                <w:color w:val="000000"/>
                <w:sz w:val="24"/>
                <w:szCs w:val="24"/>
              </w:rPr>
            </w:pPr>
          </w:p>
        </w:tc>
      </w:tr>
    </w:tbl>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3"/>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3"/>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spacing w:line="360" w:lineRule="auto"/>
        <w:ind w:left="437" w:leftChars="208" w:firstLine="0" w:firstLineChars="0"/>
        <w:rPr>
          <w:rFonts w:hint="eastAsia" w:ascii="宋体" w:hAnsi="宋体" w:cs="宋体"/>
          <w:b/>
          <w:color w:val="auto"/>
          <w:sz w:val="22"/>
          <w:highlight w:val="none"/>
          <w:lang w:val="en-US" w:eastAsia="zh-CN"/>
        </w:rPr>
      </w:pPr>
      <w:r>
        <w:rPr>
          <w:rFonts w:hint="eastAsia" w:ascii="宋体" w:hAnsi="宋体" w:cs="宋体"/>
          <w:b/>
          <w:color w:val="auto"/>
          <w:sz w:val="22"/>
          <w:highlight w:val="none"/>
          <w:lang w:val="en-US" w:eastAsia="zh-CN"/>
        </w:rPr>
        <w:t>4、报价超过预算金额按无效标处理。</w:t>
      </w:r>
    </w:p>
    <w:p>
      <w:pPr>
        <w:spacing w:line="360" w:lineRule="auto"/>
        <w:ind w:left="437" w:leftChars="208" w:firstLine="0" w:firstLineChars="0"/>
        <w:rPr>
          <w:rFonts w:hint="default"/>
          <w:lang w:val="en-US"/>
        </w:rPr>
      </w:pPr>
      <w:r>
        <w:rPr>
          <w:rFonts w:hint="eastAsia" w:ascii="宋体" w:hAnsi="宋体" w:cs="宋体"/>
          <w:b/>
          <w:color w:val="auto"/>
          <w:sz w:val="22"/>
          <w:highlight w:val="none"/>
          <w:lang w:val="en-US" w:eastAsia="zh-CN"/>
        </w:rPr>
        <w:t>5、总价金额与按单价汇总金额不一致的，以单价金额计算结果为准。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5060" w:firstLineChars="2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供应商全称（盖章）：</w:t>
      </w:r>
    </w:p>
    <w:p>
      <w:pPr>
        <w:spacing w:line="460" w:lineRule="exact"/>
        <w:ind w:firstLine="5060" w:firstLineChars="2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供应商代表（签字）：</w:t>
      </w:r>
    </w:p>
    <w:p>
      <w:pPr>
        <w:spacing w:line="460" w:lineRule="exact"/>
        <w:ind w:firstLine="5060" w:firstLineChars="2300"/>
        <w:rPr>
          <w:rFonts w:hint="eastAsia"/>
        </w:rPr>
      </w:pPr>
      <w:r>
        <w:rPr>
          <w:rFonts w:hint="eastAsia" w:ascii="宋体" w:hAnsi="宋体" w:eastAsia="宋体" w:cs="宋体"/>
          <w:color w:val="auto"/>
          <w:sz w:val="22"/>
          <w:szCs w:val="22"/>
          <w:highlight w:val="none"/>
        </w:rPr>
        <w:t xml:space="preserve">日  期：   </w:t>
      </w:r>
    </w:p>
    <w:p>
      <w:pPr>
        <w:adjustRightInd w:val="0"/>
        <w:snapToGrid w:val="0"/>
        <w:spacing w:line="360" w:lineRule="auto"/>
        <w:jc w:val="left"/>
        <w:rPr>
          <w:rFonts w:hint="eastAsia" w:ascii="宋体" w:hAnsi="宋体"/>
          <w:color w:val="000000"/>
          <w:szCs w:val="21"/>
        </w:rPr>
      </w:pPr>
    </w:p>
    <w:p>
      <w:pPr>
        <w:pStyle w:val="17"/>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abstractNum w:abstractNumId="1">
    <w:nsid w:val="44A05E39"/>
    <w:multiLevelType w:val="multilevel"/>
    <w:tmpl w:val="44A05E3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A701D1"/>
    <w:multiLevelType w:val="singleLevel"/>
    <w:tmpl w:val="5FA701D1"/>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3F44E33"/>
    <w:rsid w:val="04D94B9F"/>
    <w:rsid w:val="07BC3720"/>
    <w:rsid w:val="0A34042D"/>
    <w:rsid w:val="0EF80781"/>
    <w:rsid w:val="0F427144"/>
    <w:rsid w:val="0F9C6A6C"/>
    <w:rsid w:val="1124087B"/>
    <w:rsid w:val="1367269B"/>
    <w:rsid w:val="14D414CD"/>
    <w:rsid w:val="154327F2"/>
    <w:rsid w:val="15F0193F"/>
    <w:rsid w:val="16586A57"/>
    <w:rsid w:val="1AAC3B0A"/>
    <w:rsid w:val="1DD0413A"/>
    <w:rsid w:val="203F5CE6"/>
    <w:rsid w:val="215E5325"/>
    <w:rsid w:val="253F05F7"/>
    <w:rsid w:val="26614AE7"/>
    <w:rsid w:val="2B9D1E83"/>
    <w:rsid w:val="2C0B329E"/>
    <w:rsid w:val="2DA52879"/>
    <w:rsid w:val="2EE23DA1"/>
    <w:rsid w:val="304676BA"/>
    <w:rsid w:val="32EC217B"/>
    <w:rsid w:val="33F15215"/>
    <w:rsid w:val="38620F4A"/>
    <w:rsid w:val="39072D82"/>
    <w:rsid w:val="3AA307AA"/>
    <w:rsid w:val="3D4A148F"/>
    <w:rsid w:val="3E3C64D5"/>
    <w:rsid w:val="3EBF27E8"/>
    <w:rsid w:val="3EE24C65"/>
    <w:rsid w:val="40490124"/>
    <w:rsid w:val="442D7AA8"/>
    <w:rsid w:val="45FE3475"/>
    <w:rsid w:val="47421B7F"/>
    <w:rsid w:val="4BB26B7D"/>
    <w:rsid w:val="4D1D22C6"/>
    <w:rsid w:val="50250266"/>
    <w:rsid w:val="52A01F28"/>
    <w:rsid w:val="53303AC0"/>
    <w:rsid w:val="57A36574"/>
    <w:rsid w:val="58D72375"/>
    <w:rsid w:val="59F74833"/>
    <w:rsid w:val="5DAF6DF6"/>
    <w:rsid w:val="5DD2630F"/>
    <w:rsid w:val="63750765"/>
    <w:rsid w:val="6B1E16E2"/>
    <w:rsid w:val="6FAE5652"/>
    <w:rsid w:val="705A7660"/>
    <w:rsid w:val="724D0AFE"/>
    <w:rsid w:val="72E83474"/>
    <w:rsid w:val="72F62F44"/>
    <w:rsid w:val="78362761"/>
    <w:rsid w:val="79F966D5"/>
    <w:rsid w:val="7BAB5838"/>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4">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afterLines="0"/>
    </w:pPr>
  </w:style>
  <w:style w:type="paragraph" w:styleId="5">
    <w:name w:val="Normal Indent"/>
    <w:basedOn w:val="1"/>
    <w:next w:val="1"/>
    <w:autoRedefine/>
    <w:qFormat/>
    <w:uiPriority w:val="0"/>
    <w:pPr>
      <w:ind w:firstLine="420"/>
    </w:pPr>
    <w:rPr>
      <w:szCs w:val="20"/>
    </w:rPr>
  </w:style>
  <w:style w:type="paragraph" w:styleId="6">
    <w:name w:val="Body Text Indent"/>
    <w:basedOn w:val="1"/>
    <w:autoRedefine/>
    <w:qFormat/>
    <w:uiPriority w:val="0"/>
    <w:pPr>
      <w:ind w:left="480" w:hanging="480" w:hangingChars="200"/>
    </w:pPr>
    <w:rPr>
      <w:rFonts w:ascii="Times New Roman" w:hAnsi="Times New Roman" w:eastAsia="宋体" w:cs="Times New Roman"/>
      <w:sz w:val="24"/>
      <w:szCs w:val="24"/>
    </w:rPr>
  </w:style>
  <w:style w:type="paragraph" w:styleId="7">
    <w:name w:val="Plain Text"/>
    <w:basedOn w:val="1"/>
    <w:autoRedefine/>
    <w:qFormat/>
    <w:uiPriority w:val="0"/>
    <w:pPr>
      <w:spacing w:beforeLines="50" w:afterLines="50" w:line="400" w:lineRule="exact"/>
    </w:pPr>
    <w:rPr>
      <w:rFonts w:ascii="宋体" w:hAnsi="Courier New"/>
      <w:sz w:val="24"/>
    </w:rPr>
  </w:style>
  <w:style w:type="paragraph" w:styleId="8">
    <w:name w:val="endnote text"/>
    <w:basedOn w:val="1"/>
    <w:autoRedefine/>
    <w:unhideWhenUsed/>
    <w:qFormat/>
    <w:uiPriority w:val="99"/>
    <w:pPr>
      <w:snapToGrid w:val="0"/>
      <w:jc w:val="left"/>
    </w:pPr>
    <w:rPr>
      <w:lang w:val="zh-CN"/>
    </w:rPr>
  </w:style>
  <w:style w:type="paragraph" w:styleId="9">
    <w:name w:val="footer"/>
    <w:basedOn w:val="1"/>
    <w:link w:val="22"/>
    <w:autoRedefine/>
    <w:qFormat/>
    <w:uiPriority w:val="0"/>
    <w:pPr>
      <w:tabs>
        <w:tab w:val="center" w:pos="4153"/>
        <w:tab w:val="right" w:pos="8306"/>
      </w:tabs>
      <w:snapToGrid w:val="0"/>
      <w:jc w:val="left"/>
    </w:pPr>
    <w:rPr>
      <w:sz w:val="18"/>
      <w:szCs w:val="18"/>
    </w:rPr>
  </w:style>
  <w:style w:type="paragraph" w:styleId="10">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rPr>
      <w:sz w:val="24"/>
    </w:rPr>
  </w:style>
  <w:style w:type="paragraph" w:styleId="12">
    <w:name w:val="Body Text First Indent"/>
    <w:basedOn w:val="2"/>
    <w:autoRedefine/>
    <w:semiHidden/>
    <w:unhideWhenUsed/>
    <w:qFormat/>
    <w:uiPriority w:val="99"/>
    <w:pPr>
      <w:ind w:firstLine="420" w:firstLineChars="100"/>
    </w:pPr>
    <w:rPr>
      <w:rFonts w:asciiTheme="minorHAnsi" w:hAnsiTheme="minorHAnsi" w:eastAsiaTheme="minorEastAsia" w:cstheme="minorBidi"/>
      <w:szCs w:val="22"/>
    </w:rPr>
  </w:style>
  <w:style w:type="paragraph" w:styleId="13">
    <w:name w:val="Body Text First Indent 2"/>
    <w:basedOn w:val="6"/>
    <w:autoRedefine/>
    <w:semiHidden/>
    <w:unhideWhenUsed/>
    <w:qFormat/>
    <w:uiPriority w:val="99"/>
    <w:pPr>
      <w:ind w:firstLine="420" w:firstLineChars="200"/>
    </w:pPr>
  </w:style>
  <w:style w:type="table" w:styleId="15">
    <w:name w:val="Table Grid"/>
    <w:basedOn w:val="14"/>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18">
    <w:name w:val="BodyText1I"/>
    <w:basedOn w:val="19"/>
    <w:autoRedefine/>
    <w:qFormat/>
    <w:uiPriority w:val="0"/>
    <w:pPr>
      <w:ind w:firstLine="420" w:firstLineChars="100"/>
    </w:pPr>
  </w:style>
  <w:style w:type="paragraph" w:customStyle="1" w:styleId="19">
    <w:name w:val="BodyText"/>
    <w:basedOn w:val="1"/>
    <w:autoRedefine/>
    <w:qFormat/>
    <w:uiPriority w:val="0"/>
    <w:pPr>
      <w:spacing w:after="120"/>
    </w:pPr>
  </w:style>
  <w:style w:type="paragraph" w:customStyle="1" w:styleId="20">
    <w:name w:val="表格文字"/>
    <w:basedOn w:val="1"/>
    <w:next w:val="2"/>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1">
    <w:name w:val="页眉 Char"/>
    <w:basedOn w:val="16"/>
    <w:link w:val="10"/>
    <w:autoRedefine/>
    <w:qFormat/>
    <w:uiPriority w:val="0"/>
    <w:rPr>
      <w:kern w:val="2"/>
      <w:sz w:val="18"/>
      <w:szCs w:val="18"/>
    </w:rPr>
  </w:style>
  <w:style w:type="character" w:customStyle="1" w:styleId="22">
    <w:name w:val="页脚 Char"/>
    <w:basedOn w:val="16"/>
    <w:link w:val="9"/>
    <w:autoRedefine/>
    <w:qFormat/>
    <w:uiPriority w:val="0"/>
    <w:rPr>
      <w:kern w:val="2"/>
      <w:sz w:val="18"/>
      <w:szCs w:val="18"/>
    </w:rPr>
  </w:style>
  <w:style w:type="paragraph" w:styleId="23">
    <w:name w:val="List Paragraph"/>
    <w:basedOn w:val="1"/>
    <w:autoRedefine/>
    <w:qFormat/>
    <w:uiPriority w:val="0"/>
    <w:pPr>
      <w:ind w:firstLine="420" w:firstLineChars="200"/>
    </w:pPr>
    <w:rPr>
      <w:rFonts w:ascii="Calibri" w:hAnsi="Calibri"/>
      <w:szCs w:val="22"/>
    </w:rPr>
  </w:style>
  <w:style w:type="paragraph" w:customStyle="1" w:styleId="24">
    <w:name w:val="列出段落1"/>
    <w:basedOn w:val="1"/>
    <w:autoRedefine/>
    <w:qFormat/>
    <w:uiPriority w:val="0"/>
    <w:pPr>
      <w:widowControl/>
      <w:spacing w:after="160" w:line="360" w:lineRule="auto"/>
      <w:ind w:left="720"/>
      <w:contextualSpacing/>
      <w:jc w:val="left"/>
    </w:pPr>
    <w:rPr>
      <w:szCs w:val="22"/>
    </w:rPr>
  </w:style>
  <w:style w:type="table" w:customStyle="1" w:styleId="25">
    <w:name w:val="网格型1"/>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
    <w:name w:val="U_正文2"/>
    <w:basedOn w:val="1"/>
    <w:autoRedefine/>
    <w:qFormat/>
    <w:uiPriority w:val="0"/>
    <w:pPr>
      <w:spacing w:beforeLines="10" w:afterLines="10" w:line="300" w:lineRule="auto"/>
    </w:pPr>
    <w:rPr>
      <w:sz w:val="24"/>
      <w:szCs w:val="20"/>
    </w:rPr>
  </w:style>
  <w:style w:type="paragraph" w:customStyle="1" w:styleId="2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5730</Words>
  <Characters>5891</Characters>
  <Lines>17</Lines>
  <Paragraphs>4</Paragraphs>
  <TotalTime>5</TotalTime>
  <ScaleCrop>false</ScaleCrop>
  <LinksUpToDate>false</LinksUpToDate>
  <CharactersWithSpaces>5954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市渔业应急处置指挥中心</cp:lastModifiedBy>
  <dcterms:modified xsi:type="dcterms:W3CDTF">2024-09-04T01:35:49Z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0EF3877E91004FC192E5749862D6983B_13</vt:lpwstr>
  </property>
</Properties>
</file>