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rPr>
          <w:rFonts w:hint="eastAsia" w:ascii="宋体" w:hAnsi="宋体" w:cs="宋体"/>
          <w:color w:val="000000"/>
          <w:sz w:val="36"/>
          <w:szCs w:val="36"/>
        </w:rPr>
      </w:pPr>
      <w:bookmarkStart w:id="0" w:name="_Toc451522337"/>
      <w:r>
        <w:rPr>
          <w:rFonts w:hint="eastAsia" w:ascii="宋体" w:hAnsi="宋体" w:cs="宋体"/>
          <w:color w:val="000000"/>
          <w:sz w:val="36"/>
          <w:szCs w:val="36"/>
        </w:rPr>
        <w:t>温州市中医院</w:t>
      </w:r>
      <w:r>
        <w:rPr>
          <w:rFonts w:hint="eastAsia"/>
          <w:sz w:val="36"/>
          <w:szCs w:val="36"/>
        </w:rPr>
        <w:t>院感系统接口改造服务</w:t>
      </w:r>
      <w:r>
        <w:rPr>
          <w:rFonts w:hint="eastAsia" w:ascii="宋体" w:hAnsi="宋体" w:cs="宋体"/>
          <w:sz w:val="36"/>
          <w:szCs w:val="36"/>
        </w:rPr>
        <w:t>项目</w:t>
      </w:r>
      <w:r>
        <w:rPr>
          <w:rFonts w:hint="eastAsia" w:ascii="宋体" w:hAnsi="宋体" w:cs="宋体"/>
          <w:color w:val="000000"/>
          <w:sz w:val="36"/>
          <w:szCs w:val="36"/>
        </w:rPr>
        <w:t>采购</w:t>
      </w:r>
      <w:bookmarkEnd w:id="0"/>
      <w:r>
        <w:rPr>
          <w:rFonts w:hint="eastAsia" w:ascii="宋体" w:hAnsi="宋体" w:cs="宋体"/>
          <w:color w:val="000000"/>
          <w:sz w:val="36"/>
          <w:szCs w:val="36"/>
        </w:rPr>
        <w:t>文件</w:t>
      </w:r>
    </w:p>
    <w:p>
      <w:pPr>
        <w:spacing w:line="360" w:lineRule="auto"/>
        <w:rPr>
          <w:b/>
          <w:bCs/>
          <w:sz w:val="28"/>
          <w:szCs w:val="28"/>
        </w:rPr>
      </w:pPr>
      <w:r>
        <w:rPr>
          <w:rFonts w:hint="eastAsia"/>
          <w:b/>
          <w:bCs/>
          <w:sz w:val="28"/>
          <w:szCs w:val="28"/>
        </w:rPr>
        <w:t>一、项目概况</w:t>
      </w:r>
    </w:p>
    <w:p>
      <w:pPr>
        <w:ind w:firstLine="480" w:firstLineChars="200"/>
        <w:rPr>
          <w:sz w:val="24"/>
        </w:rPr>
      </w:pPr>
      <w:r>
        <w:rPr>
          <w:rFonts w:hint="eastAsia"/>
          <w:sz w:val="24"/>
        </w:rPr>
        <w:t>项目名称：</w:t>
      </w:r>
      <w:r>
        <w:rPr>
          <w:rFonts w:hint="eastAsia" w:ascii="宋体" w:hAnsi="宋体" w:cs="宋体"/>
          <w:sz w:val="24"/>
          <w:lang w:eastAsia="zh-Hans"/>
        </w:rPr>
        <w:t>温州市中医院</w:t>
      </w:r>
      <w:r>
        <w:rPr>
          <w:rFonts w:hint="eastAsia"/>
          <w:sz w:val="24"/>
        </w:rPr>
        <w:t>院感系统接口改造服务</w:t>
      </w:r>
    </w:p>
    <w:p>
      <w:pPr>
        <w:spacing w:line="360" w:lineRule="auto"/>
        <w:ind w:firstLine="480" w:firstLineChars="200"/>
        <w:rPr>
          <w:sz w:val="24"/>
        </w:rPr>
      </w:pPr>
      <w:r>
        <w:rPr>
          <w:rFonts w:hint="eastAsia"/>
          <w:sz w:val="24"/>
        </w:rPr>
        <w:t>采购方式：公开遴选（非政府采购）</w:t>
      </w:r>
    </w:p>
    <w:p>
      <w:pPr>
        <w:spacing w:line="360" w:lineRule="auto"/>
        <w:ind w:firstLine="480" w:firstLineChars="200"/>
        <w:rPr>
          <w:sz w:val="24"/>
        </w:rPr>
      </w:pPr>
      <w:r>
        <w:rPr>
          <w:rFonts w:hint="eastAsia"/>
          <w:sz w:val="24"/>
        </w:rPr>
        <w:t>预算金额：60000元</w:t>
      </w:r>
    </w:p>
    <w:p>
      <w:pPr>
        <w:spacing w:line="360" w:lineRule="auto"/>
        <w:rPr>
          <w:b/>
          <w:bCs/>
          <w:sz w:val="28"/>
          <w:szCs w:val="28"/>
        </w:rPr>
      </w:pPr>
      <w:r>
        <w:rPr>
          <w:rFonts w:hint="eastAsia"/>
          <w:b/>
          <w:bCs/>
          <w:sz w:val="28"/>
          <w:szCs w:val="28"/>
        </w:rPr>
        <w:t>二、项目建设背景</w:t>
      </w:r>
    </w:p>
    <w:p>
      <w:pPr>
        <w:spacing w:line="360" w:lineRule="auto"/>
        <w:ind w:firstLine="420"/>
        <w:rPr>
          <w:rFonts w:hint="eastAsia" w:ascii="宋体" w:hAnsi="宋体" w:cs="宋体"/>
          <w:sz w:val="24"/>
        </w:rPr>
      </w:pPr>
      <w:r>
        <w:rPr>
          <w:rFonts w:hint="eastAsia" w:ascii="宋体" w:hAnsi="宋体" w:cs="宋体"/>
          <w:sz w:val="24"/>
        </w:rPr>
        <w:t>近几年以来，院感防控工作形式严峻，国家以及各级卫生行政主管部门对医院感染防控工作越来越重视。国家颁布了诸多政策标准、规范、指南，这些标准和指南既对我们改进工作提供了指引，同时也是对现有工作状态的鞭策。</w:t>
      </w:r>
    </w:p>
    <w:p>
      <w:pPr>
        <w:spacing w:line="360" w:lineRule="auto"/>
        <w:ind w:firstLine="480" w:firstLineChars="200"/>
        <w:rPr>
          <w:b/>
          <w:bCs/>
          <w:sz w:val="28"/>
          <w:szCs w:val="28"/>
        </w:rPr>
      </w:pPr>
      <w:r>
        <w:rPr>
          <w:rFonts w:hint="eastAsia" w:ascii="宋体" w:hAnsi="宋体" w:cs="宋体"/>
          <w:sz w:val="24"/>
        </w:rPr>
        <w:t>为了规范院感防控工作，减少感染暴发的风险，我院需积极响应国家对院感防控工作一系列新的要求和指示，要求院感软件厂家针对国家要求提供更具精细的服务以供使用。</w:t>
      </w:r>
      <w:r>
        <w:rPr>
          <w:rFonts w:hint="eastAsia"/>
          <w:b/>
          <w:bCs/>
          <w:sz w:val="28"/>
          <w:szCs w:val="28"/>
        </w:rPr>
        <w:t>三、招标技术要求</w:t>
      </w:r>
    </w:p>
    <w:p>
      <w:pPr>
        <w:numPr>
          <w:ilvl w:val="0"/>
          <w:numId w:val="1"/>
        </w:numPr>
        <w:spacing w:line="360" w:lineRule="auto"/>
        <w:ind w:firstLine="562" w:firstLineChars="200"/>
        <w:rPr>
          <w:b/>
          <w:bCs/>
          <w:sz w:val="28"/>
          <w:szCs w:val="28"/>
        </w:rPr>
      </w:pPr>
      <w:r>
        <w:rPr>
          <w:rFonts w:hint="eastAsia"/>
          <w:b/>
          <w:bCs/>
          <w:sz w:val="28"/>
          <w:szCs w:val="28"/>
        </w:rPr>
        <w:t>需求背景</w:t>
      </w:r>
    </w:p>
    <w:p>
      <w:pPr>
        <w:spacing w:line="360" w:lineRule="auto"/>
        <w:ind w:firstLine="482" w:firstLineChars="200"/>
        <w:rPr>
          <w:rFonts w:hint="eastAsia" w:ascii="宋体" w:hAnsi="宋体" w:cs="宋体"/>
          <w:sz w:val="24"/>
        </w:rPr>
      </w:pPr>
      <w:r>
        <w:rPr>
          <w:rFonts w:hint="eastAsia" w:ascii="宋体" w:hAnsi="宋体" w:cs="宋体"/>
          <w:b/>
          <w:bCs/>
          <w:sz w:val="24"/>
        </w:rPr>
        <w:t>做好院感防控工作是底线要求，积极响应近几年国家新增的一系列院感政策与标准：</w:t>
      </w:r>
    </w:p>
    <w:p>
      <w:pPr>
        <w:spacing w:line="360" w:lineRule="auto"/>
        <w:ind w:firstLine="480" w:firstLineChars="200"/>
        <w:rPr>
          <w:rFonts w:hint="eastAsia" w:ascii="宋体" w:hAnsi="宋体" w:cs="宋体"/>
          <w:sz w:val="24"/>
        </w:rPr>
      </w:pPr>
      <w:r>
        <w:rPr>
          <w:rFonts w:hint="eastAsia" w:ascii="宋体" w:hAnsi="宋体" w:cs="宋体"/>
          <w:sz w:val="24"/>
        </w:rPr>
        <w:t>1、2017年12月1日正式实施《WS/T 547-2017医院感染管理信息系统基本功能规范》各省等级评审及专项检查的要求标准也纷纷按照规范在不断的改进。</w:t>
      </w:r>
    </w:p>
    <w:p>
      <w:pPr>
        <w:spacing w:line="360" w:lineRule="auto"/>
        <w:ind w:firstLine="480"/>
        <w:rPr>
          <w:rFonts w:ascii="Calibri" w:hAnsi="Calibri"/>
          <w:sz w:val="24"/>
        </w:rPr>
      </w:pPr>
      <w:r>
        <w:rPr>
          <w:rFonts w:hint="eastAsia" w:ascii="宋体" w:hAnsi="宋体" w:cs="宋体"/>
          <w:sz w:val="24"/>
        </w:rPr>
        <w:t>2、</w:t>
      </w:r>
      <w:r>
        <w:rPr>
          <w:rFonts w:hint="eastAsia" w:ascii="Calibri" w:hAnsi="Calibri"/>
          <w:sz w:val="24"/>
        </w:rPr>
        <w:t>2021年2月23日，</w:t>
      </w:r>
      <w:r>
        <w:rPr>
          <w:rFonts w:ascii="Calibri" w:hAnsi="Calibri"/>
          <w:sz w:val="24"/>
        </w:rPr>
        <w:t>根据《医疗质量管理办法》，国家卫生健康委</w:t>
      </w:r>
      <w:r>
        <w:rPr>
          <w:rFonts w:hint="eastAsia" w:ascii="Calibri" w:hAnsi="Calibri"/>
          <w:sz w:val="24"/>
        </w:rPr>
        <w:t>最新</w:t>
      </w:r>
      <w:r>
        <w:rPr>
          <w:rFonts w:ascii="Calibri" w:hAnsi="Calibri"/>
          <w:sz w:val="24"/>
        </w:rPr>
        <w:t>制定了10项《2021年国家医疗质量安全改进目标》</w:t>
      </w:r>
      <w:r>
        <w:rPr>
          <w:rFonts w:hint="eastAsia" w:ascii="Calibri" w:hAnsi="Calibri"/>
          <w:sz w:val="24"/>
        </w:rPr>
        <w:t>。此文件为进一步加强医疗质量安全管理，持续提升医疗质量安全管理科学化、精细化水平，构建优质高效的医疗质量管理与控制体系提供了指引。</w:t>
      </w:r>
    </w:p>
    <w:p>
      <w:pPr>
        <w:spacing w:line="360" w:lineRule="auto"/>
        <w:ind w:firstLine="420"/>
        <w:rPr>
          <w:rFonts w:ascii="Calibri" w:hAnsi="Calibri"/>
          <w:sz w:val="24"/>
        </w:rPr>
      </w:pPr>
      <w:r>
        <w:rPr>
          <w:rFonts w:hint="eastAsia" w:ascii="宋体" w:hAnsi="宋体" w:cs="宋体"/>
          <w:sz w:val="24"/>
        </w:rPr>
        <w:t>3、</w:t>
      </w:r>
      <w:r>
        <w:rPr>
          <w:rFonts w:hint="eastAsia" w:ascii="Calibri" w:hAnsi="Calibri"/>
          <w:sz w:val="24"/>
        </w:rPr>
        <w:t>针对</w:t>
      </w:r>
      <w:r>
        <w:rPr>
          <w:rFonts w:ascii="Calibri" w:hAnsi="Calibri"/>
          <w:sz w:val="24"/>
        </w:rPr>
        <w:t>《2021年国家医疗质量安全改进目标》</w:t>
      </w:r>
      <w:r>
        <w:rPr>
          <w:rFonts w:hint="eastAsia" w:ascii="Calibri" w:hAnsi="Calibri"/>
          <w:sz w:val="24"/>
        </w:rPr>
        <w:t>要求开展</w:t>
      </w:r>
      <w:r>
        <w:rPr>
          <w:rFonts w:ascii="Calibri" w:hAnsi="Calibri"/>
          <w:sz w:val="24"/>
        </w:rPr>
        <w:t>以目标为导向的医疗质量安全持续改进工作，医政医管局组织各专业国家级质控中心围绕本专业医疗质量安全的薄弱环节和关键点，提出了2021年质控工作改进目标（共33项）。其中和感染病诊治和防控领域密切相关的有5个项目，</w:t>
      </w:r>
      <w:r>
        <w:rPr>
          <w:rFonts w:hint="eastAsia" w:ascii="Calibri" w:hAnsi="Calibri"/>
          <w:sz w:val="24"/>
        </w:rPr>
        <w:t>对我们新的一年工作改进方向提供了指引。以</w:t>
      </w:r>
      <w:r>
        <w:rPr>
          <w:rFonts w:ascii="Calibri" w:hAnsi="Calibri"/>
          <w:sz w:val="24"/>
        </w:rPr>
        <w:t>“提高住院患者抗菌药物治疗前病原学送检率”</w:t>
      </w:r>
      <w:r>
        <w:rPr>
          <w:rFonts w:hint="eastAsia" w:ascii="Calibri" w:hAnsi="Calibri"/>
          <w:sz w:val="24"/>
        </w:rPr>
        <w:t>为例，院感系统已帮助我院优化病原学检验功能，使我院能够按照卫健委要求更好的开展医院感染监测工作。</w:t>
      </w:r>
    </w:p>
    <w:p>
      <w:pPr>
        <w:spacing w:line="360" w:lineRule="auto"/>
        <w:ind w:firstLine="480" w:firstLineChars="200"/>
        <w:rPr>
          <w:sz w:val="24"/>
        </w:rPr>
      </w:pPr>
      <w:r>
        <w:rPr>
          <w:rFonts w:hint="eastAsia" w:ascii="Calibri" w:hAnsi="Calibri"/>
          <w:sz w:val="24"/>
        </w:rPr>
        <w:t>4、针对《国家卫生健康委办公厅关于印发急诊医学等6个专业医疗质量控制指标（2024年版）的通知》中附件6：医院感染管理医疗质量控制指标(2024年版)，优化或新增相关指标的计算规则</w:t>
      </w:r>
      <w:r>
        <w:rPr>
          <w:rFonts w:hint="eastAsia"/>
          <w:sz w:val="24"/>
        </w:rPr>
        <w:t>，院感系统已对该部分内容进行研发调配，预计以系统升级的形式实现此功能，落实相关指标的监测，配合我院院感工作良好开展。</w:t>
      </w:r>
    </w:p>
    <w:p>
      <w:pPr>
        <w:rPr>
          <w:sz w:val="24"/>
        </w:rPr>
      </w:pPr>
    </w:p>
    <w:p>
      <w:pPr>
        <w:rPr>
          <w:rFonts w:hint="eastAsia" w:ascii="宋体" w:hAnsi="宋体" w:cs="宋体"/>
          <w:b/>
          <w:bCs/>
          <w:sz w:val="28"/>
          <w:szCs w:val="28"/>
        </w:rPr>
      </w:pPr>
      <w:r>
        <w:rPr>
          <w:rFonts w:hint="eastAsia" w:ascii="宋体" w:hAnsi="宋体" w:cs="宋体"/>
          <w:b/>
          <w:bCs/>
          <w:sz w:val="28"/>
          <w:szCs w:val="28"/>
        </w:rPr>
        <w:t>（二）各功能的服务清单与标准</w:t>
      </w:r>
    </w:p>
    <w:p>
      <w:pPr>
        <w:rPr>
          <w:rFonts w:hint="eastAsia" w:ascii="宋体" w:hAnsi="宋体" w:cs="宋体"/>
          <w:sz w:val="24"/>
        </w:rPr>
      </w:pPr>
    </w:p>
    <w:p>
      <w:pPr>
        <w:spacing w:line="0" w:lineRule="atLeast"/>
        <w:jc w:val="center"/>
        <w:rPr>
          <w:rFonts w:hint="eastAsia" w:ascii="宋体" w:hAnsi="宋体" w:cs="宋体"/>
          <w:color w:val="000000"/>
          <w:sz w:val="24"/>
        </w:rPr>
      </w:pPr>
      <w:r>
        <w:rPr>
          <w:rFonts w:hint="eastAsia" w:ascii="宋体" w:hAnsi="宋体" w:cs="宋体"/>
          <w:color w:val="000000"/>
          <w:sz w:val="24"/>
        </w:rPr>
        <w:t>单次升级服务清单与标准：</w:t>
      </w:r>
    </w:p>
    <w:tbl>
      <w:tblPr>
        <w:tblStyle w:val="11"/>
        <w:tblW w:w="49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2188"/>
        <w:gridCol w:w="6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2" w:type="pct"/>
          </w:tcPr>
          <w:p>
            <w:pPr>
              <w:spacing w:line="0" w:lineRule="atLeast"/>
              <w:jc w:val="center"/>
              <w:rPr>
                <w:rFonts w:hint="eastAsia" w:ascii="宋体" w:hAnsi="宋体" w:cs="宋体"/>
                <w:color w:val="000000"/>
                <w:sz w:val="24"/>
              </w:rPr>
            </w:pPr>
            <w:r>
              <w:rPr>
                <w:rFonts w:hint="eastAsia" w:ascii="宋体" w:hAnsi="宋体" w:cs="宋体"/>
                <w:color w:val="000000"/>
                <w:sz w:val="24"/>
              </w:rPr>
              <w:t>模块</w:t>
            </w:r>
          </w:p>
        </w:tc>
        <w:tc>
          <w:tcPr>
            <w:tcW w:w="4328" w:type="pct"/>
            <w:gridSpan w:val="2"/>
          </w:tcPr>
          <w:p>
            <w:pPr>
              <w:spacing w:line="0" w:lineRule="atLeast"/>
              <w:jc w:val="center"/>
              <w:rPr>
                <w:rFonts w:hint="eastAsia" w:ascii="宋体" w:hAnsi="宋体" w:cs="宋体"/>
                <w:color w:val="000000"/>
                <w:sz w:val="24"/>
              </w:rPr>
            </w:pPr>
            <w:r>
              <w:rPr>
                <w:rFonts w:hint="eastAsia" w:ascii="宋体" w:hAnsi="宋体" w:cs="宋体"/>
                <w:color w:val="000000"/>
                <w:sz w:val="24"/>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pct"/>
          </w:tcPr>
          <w:p>
            <w:pPr>
              <w:spacing w:line="0" w:lineRule="atLeast"/>
              <w:rPr>
                <w:rFonts w:hint="eastAsia" w:ascii="宋体" w:hAnsi="宋体" w:cs="宋体"/>
                <w:color w:val="000000"/>
                <w:sz w:val="24"/>
              </w:rPr>
            </w:pPr>
            <w:r>
              <w:rPr>
                <w:rFonts w:hint="eastAsia" w:ascii="宋体" w:hAnsi="宋体" w:cs="宋体"/>
                <w:color w:val="000000"/>
                <w:sz w:val="24"/>
              </w:rPr>
              <w:t>2023年新规改造</w:t>
            </w:r>
          </w:p>
        </w:tc>
        <w:tc>
          <w:tcPr>
            <w:tcW w:w="4328" w:type="pct"/>
            <w:gridSpan w:val="2"/>
          </w:tcPr>
          <w:p>
            <w:pPr>
              <w:spacing w:line="0" w:lineRule="atLeast"/>
              <w:ind w:firstLine="480" w:firstLineChars="200"/>
              <w:jc w:val="left"/>
              <w:rPr>
                <w:rFonts w:hint="eastAsia" w:ascii="宋体" w:hAnsi="宋体" w:cs="宋体"/>
                <w:color w:val="000000"/>
                <w:sz w:val="24"/>
              </w:rPr>
            </w:pPr>
            <w:r>
              <w:rPr>
                <w:rFonts w:hint="eastAsia" w:ascii="宋体" w:hAnsi="宋体" w:cs="宋体"/>
                <w:color w:val="000000"/>
                <w:sz w:val="24"/>
              </w:rPr>
              <w:t>针对《医院感染监测标准2023版》，推出新职业暴露，多耐药去重计算等多个新标准计算模块，更好的配合医院开展新标准下的现患调查、耐药检出率、ICU感染率等监测工作。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672" w:type="pct"/>
          </w:tcPr>
          <w:p>
            <w:pPr>
              <w:spacing w:line="0" w:lineRule="atLeast"/>
              <w:jc w:val="center"/>
              <w:rPr>
                <w:rFonts w:hint="eastAsia" w:ascii="宋体" w:hAnsi="宋体" w:cs="宋体"/>
                <w:sz w:val="24"/>
              </w:rPr>
            </w:pPr>
            <w:r>
              <w:rPr>
                <w:rFonts w:hint="eastAsia" w:ascii="宋体" w:hAnsi="宋体" w:cs="宋体"/>
                <w:sz w:val="24"/>
              </w:rPr>
              <w:t>2024年新标</w:t>
            </w:r>
          </w:p>
        </w:tc>
        <w:tc>
          <w:tcPr>
            <w:tcW w:w="4328" w:type="pct"/>
            <w:gridSpan w:val="2"/>
          </w:tcPr>
          <w:p>
            <w:pPr>
              <w:spacing w:line="0" w:lineRule="atLeast"/>
              <w:jc w:val="left"/>
              <w:rPr>
                <w:rFonts w:hint="eastAsia" w:ascii="宋体" w:hAnsi="宋体" w:cs="宋体"/>
                <w:color w:val="000000"/>
                <w:sz w:val="24"/>
              </w:rPr>
            </w:pPr>
            <w:r>
              <w:rPr>
                <w:rFonts w:hint="eastAsia" w:ascii="宋体" w:hAnsi="宋体" w:cs="宋体"/>
                <w:color w:val="000000"/>
                <w:sz w:val="24"/>
              </w:rPr>
              <w:t xml:space="preserve">    针对《国家卫生健康委办公厅关于印发急诊医学等6个专业医疗质量控制指标（2024年版）的通知》中附件6：医院感染管理医疗质量控制指标(2024年版)的要求，优化或新增相关指标的计算规则，更好的配合医院开展新标准下的相关指标监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72" w:type="pct"/>
          </w:tcPr>
          <w:p>
            <w:pPr>
              <w:rPr>
                <w:rFonts w:hint="eastAsia" w:ascii="宋体" w:hAnsi="宋体" w:cs="宋体"/>
                <w:sz w:val="24"/>
              </w:rPr>
            </w:pPr>
            <w:r>
              <w:rPr>
                <w:rFonts w:hint="eastAsia" w:ascii="宋体" w:hAnsi="宋体" w:cs="宋体"/>
                <w:sz w:val="24"/>
              </w:rPr>
              <w:t>感术行动</w:t>
            </w:r>
          </w:p>
        </w:tc>
        <w:tc>
          <w:tcPr>
            <w:tcW w:w="4328" w:type="pct"/>
            <w:gridSpan w:val="2"/>
          </w:tcPr>
          <w:p>
            <w:pPr>
              <w:spacing w:line="0" w:lineRule="atLeast"/>
              <w:ind w:firstLine="480" w:firstLineChars="200"/>
              <w:jc w:val="left"/>
              <w:rPr>
                <w:rFonts w:hint="eastAsia" w:ascii="宋体" w:hAnsi="宋体" w:cs="宋体"/>
                <w:color w:val="000000"/>
                <w:sz w:val="24"/>
              </w:rPr>
            </w:pPr>
            <w:r>
              <w:rPr>
                <w:rFonts w:hint="eastAsia" w:ascii="宋体" w:hAnsi="宋体" w:cs="宋体"/>
                <w:color w:val="000000"/>
                <w:sz w:val="24"/>
              </w:rPr>
              <w:t>针对《关于印发“夯实围术期感染防控，保障手术质量安全”专项行动实施方案的函》，配合医院开展术前皮肤准备合格率、手术部位感染率、I 类切口手术部位感染率、术后肺炎发生率的监测工作。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pct"/>
            <w:vMerge w:val="restart"/>
          </w:tcPr>
          <w:p>
            <w:pPr>
              <w:spacing w:line="0" w:lineRule="atLeast"/>
              <w:jc w:val="center"/>
              <w:rPr>
                <w:rFonts w:hint="eastAsia" w:ascii="宋体" w:hAnsi="宋体" w:cs="宋体"/>
                <w:color w:val="000000"/>
                <w:sz w:val="24"/>
              </w:rPr>
            </w:pPr>
            <w:r>
              <w:rPr>
                <w:rFonts w:hint="eastAsia" w:ascii="宋体" w:hAnsi="宋体" w:cs="宋体"/>
                <w:color w:val="000000"/>
                <w:sz w:val="24"/>
              </w:rPr>
              <w:t xml:space="preserve">      </w:t>
            </w:r>
          </w:p>
          <w:p>
            <w:pPr>
              <w:spacing w:line="0" w:lineRule="atLeast"/>
              <w:rPr>
                <w:rFonts w:hint="eastAsia" w:ascii="宋体" w:hAnsi="宋体" w:cs="宋体"/>
                <w:color w:val="000000"/>
                <w:sz w:val="24"/>
              </w:rPr>
            </w:pPr>
            <w:r>
              <w:rPr>
                <w:rFonts w:hint="eastAsia" w:ascii="宋体" w:hAnsi="宋体" w:cs="宋体"/>
                <w:color w:val="000000"/>
                <w:sz w:val="24"/>
              </w:rPr>
              <w:t>院感系统新增功能</w:t>
            </w:r>
          </w:p>
        </w:tc>
        <w:tc>
          <w:tcPr>
            <w:tcW w:w="1139" w:type="pct"/>
          </w:tcPr>
          <w:p>
            <w:pPr>
              <w:tabs>
                <w:tab w:val="left" w:pos="923"/>
              </w:tabs>
              <w:jc w:val="left"/>
              <w:rPr>
                <w:rFonts w:hint="eastAsia" w:ascii="宋体" w:hAnsi="宋体" w:cs="宋体"/>
                <w:sz w:val="24"/>
              </w:rPr>
            </w:pPr>
            <w:bookmarkStart w:id="1" w:name="_Toc5071"/>
            <w:bookmarkStart w:id="2" w:name="_Toc6860"/>
            <w:r>
              <w:rPr>
                <w:rFonts w:hint="eastAsia" w:ascii="宋体" w:hAnsi="宋体" w:cs="宋体"/>
                <w:color w:val="000000"/>
                <w:sz w:val="24"/>
              </w:rPr>
              <w:t>病例监测新增需求</w:t>
            </w:r>
            <w:bookmarkEnd w:id="1"/>
            <w:bookmarkEnd w:id="2"/>
          </w:p>
        </w:tc>
        <w:tc>
          <w:tcPr>
            <w:tcW w:w="3189" w:type="pct"/>
          </w:tcPr>
          <w:p>
            <w:pPr>
              <w:ind w:firstLine="480" w:firstLineChars="200"/>
              <w:jc w:val="left"/>
              <w:rPr>
                <w:rFonts w:hint="eastAsia" w:ascii="宋体" w:hAnsi="宋体" w:cs="宋体"/>
                <w:kern w:val="0"/>
                <w:sz w:val="24"/>
                <w:lang w:bidi="ar"/>
              </w:rPr>
            </w:pPr>
            <w:r>
              <w:rPr>
                <w:rFonts w:hint="eastAsia" w:ascii="宋体" w:hAnsi="宋体" w:cs="宋体"/>
                <w:kern w:val="0"/>
                <w:sz w:val="24"/>
                <w:lang w:bidi="ar"/>
              </w:rPr>
              <w:t>①修改手术台次合并规则，同一天不同台次手术可以进行合并；</w:t>
            </w:r>
          </w:p>
          <w:p>
            <w:pPr>
              <w:tabs>
                <w:tab w:val="left" w:pos="923"/>
              </w:tabs>
              <w:ind w:firstLine="480" w:firstLineChars="200"/>
              <w:jc w:val="left"/>
              <w:rPr>
                <w:rFonts w:hint="eastAsia" w:ascii="宋体" w:hAnsi="宋体" w:cs="宋体"/>
                <w:kern w:val="0"/>
                <w:sz w:val="24"/>
                <w:lang w:bidi="ar"/>
              </w:rPr>
            </w:pPr>
            <w:r>
              <w:rPr>
                <w:rFonts w:hint="eastAsia" w:ascii="宋体" w:hAnsi="宋体" w:cs="宋体"/>
                <w:kern w:val="0"/>
                <w:sz w:val="24"/>
                <w:lang w:bidi="ar"/>
              </w:rPr>
              <w:t>②增加手术\操作标签功能，对手术和操作进行数据标签，能够区分手术和操作，分别进行统计；</w:t>
            </w:r>
          </w:p>
          <w:p>
            <w:pPr>
              <w:tabs>
                <w:tab w:val="left" w:pos="923"/>
              </w:tabs>
              <w:ind w:firstLine="480" w:firstLineChars="200"/>
              <w:jc w:val="left"/>
              <w:rPr>
                <w:rFonts w:hint="eastAsia" w:ascii="宋体" w:hAnsi="宋体" w:cs="宋体"/>
                <w:color w:val="000000"/>
                <w:sz w:val="24"/>
              </w:rPr>
            </w:pPr>
            <w:r>
              <w:rPr>
                <w:rFonts w:hint="eastAsia" w:ascii="宋体" w:hAnsi="宋体" w:cs="宋体"/>
                <w:kern w:val="0"/>
                <w:sz w:val="24"/>
                <w:lang w:bidi="ar"/>
              </w:rPr>
              <w:t>③“病例全景-患者数据-手术（新）”界面，可在此界面对操作类进行作废或在此界面针对手术信息进行编辑修改。可通过此操作过滤掉操作类患者数据。支持用户自定义修改。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pct"/>
            <w:vMerge w:val="continue"/>
          </w:tcPr>
          <w:p>
            <w:pPr>
              <w:spacing w:line="0" w:lineRule="atLeast"/>
              <w:jc w:val="left"/>
              <w:rPr>
                <w:rFonts w:hint="eastAsia" w:ascii="宋体" w:hAnsi="宋体" w:cs="宋体"/>
                <w:color w:val="000000"/>
                <w:sz w:val="24"/>
              </w:rPr>
            </w:pPr>
          </w:p>
        </w:tc>
        <w:tc>
          <w:tcPr>
            <w:tcW w:w="1139" w:type="pct"/>
          </w:tcPr>
          <w:p>
            <w:pPr>
              <w:spacing w:line="0" w:lineRule="atLeast"/>
              <w:jc w:val="left"/>
              <w:rPr>
                <w:rFonts w:hint="eastAsia" w:ascii="宋体" w:hAnsi="宋体" w:cs="宋体"/>
                <w:color w:val="000000"/>
                <w:sz w:val="24"/>
              </w:rPr>
            </w:pPr>
            <w:r>
              <w:rPr>
                <w:rFonts w:hint="eastAsia" w:ascii="宋体" w:hAnsi="宋体" w:cs="宋体"/>
                <w:kern w:val="0"/>
                <w:sz w:val="24"/>
                <w:lang w:bidi="ar"/>
              </w:rPr>
              <w:t>新增操作日志记录</w:t>
            </w:r>
          </w:p>
        </w:tc>
        <w:tc>
          <w:tcPr>
            <w:tcW w:w="3189" w:type="pct"/>
          </w:tcPr>
          <w:p>
            <w:pPr>
              <w:jc w:val="left"/>
              <w:rPr>
                <w:rFonts w:hint="eastAsia" w:ascii="宋体" w:hAnsi="宋体" w:cs="宋体"/>
                <w:kern w:val="0"/>
                <w:sz w:val="24"/>
                <w:lang w:bidi="ar"/>
              </w:rPr>
            </w:pPr>
            <w:r>
              <w:rPr>
                <w:rFonts w:hint="eastAsia" w:ascii="宋体" w:hAnsi="宋体" w:cs="宋体"/>
                <w:kern w:val="0"/>
                <w:sz w:val="24"/>
                <w:lang w:bidi="ar"/>
              </w:rPr>
              <w:t>增加“病例全景-感染诊断-查看操作日志”界面，感染操作日志以时间轴形式展示了院感专职人员和临床医生的操作情况。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pct"/>
            <w:vMerge w:val="continue"/>
          </w:tcPr>
          <w:p>
            <w:pPr>
              <w:spacing w:line="0" w:lineRule="atLeast"/>
              <w:jc w:val="left"/>
              <w:rPr>
                <w:rFonts w:hint="eastAsia" w:ascii="宋体" w:hAnsi="宋体" w:cs="宋体"/>
                <w:color w:val="000000"/>
                <w:sz w:val="24"/>
              </w:rPr>
            </w:pPr>
          </w:p>
        </w:tc>
        <w:tc>
          <w:tcPr>
            <w:tcW w:w="1139" w:type="pct"/>
          </w:tcPr>
          <w:p>
            <w:pPr>
              <w:spacing w:line="0" w:lineRule="atLeast"/>
              <w:jc w:val="left"/>
              <w:rPr>
                <w:rFonts w:hint="eastAsia" w:ascii="宋体" w:hAnsi="宋体" w:cs="宋体"/>
                <w:kern w:val="0"/>
                <w:sz w:val="24"/>
                <w:lang w:bidi="ar"/>
              </w:rPr>
            </w:pPr>
            <w:r>
              <w:rPr>
                <w:rFonts w:hint="eastAsia" w:ascii="宋体" w:hAnsi="宋体" w:cs="宋体"/>
                <w:kern w:val="0"/>
                <w:sz w:val="24"/>
                <w:lang w:bidi="ar"/>
              </w:rPr>
              <w:t>新增病例全景窗口界面最大化（适应屏幕）</w:t>
            </w:r>
          </w:p>
        </w:tc>
        <w:tc>
          <w:tcPr>
            <w:tcW w:w="3189" w:type="pct"/>
          </w:tcPr>
          <w:p>
            <w:pPr>
              <w:spacing w:line="0" w:lineRule="atLeast"/>
              <w:jc w:val="left"/>
              <w:rPr>
                <w:rFonts w:hint="eastAsia" w:ascii="宋体" w:hAnsi="宋体" w:cs="宋体"/>
                <w:color w:val="000000"/>
                <w:sz w:val="24"/>
              </w:rPr>
            </w:pPr>
            <w:r>
              <w:rPr>
                <w:rFonts w:hint="eastAsia" w:ascii="宋体" w:hAnsi="宋体" w:cs="宋体"/>
                <w:kern w:val="0"/>
                <w:sz w:val="24"/>
                <w:lang w:bidi="ar"/>
              </w:rPr>
              <w:t>病例全景新增放大窗口按钮，可放大和复原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pct"/>
            <w:vMerge w:val="continue"/>
          </w:tcPr>
          <w:p>
            <w:pPr>
              <w:spacing w:line="0" w:lineRule="atLeast"/>
              <w:jc w:val="left"/>
              <w:rPr>
                <w:rFonts w:hint="eastAsia" w:ascii="宋体" w:hAnsi="宋体" w:cs="宋体"/>
                <w:kern w:val="0"/>
                <w:sz w:val="24"/>
                <w:lang w:bidi="ar"/>
              </w:rPr>
            </w:pPr>
          </w:p>
        </w:tc>
        <w:tc>
          <w:tcPr>
            <w:tcW w:w="1139" w:type="pct"/>
          </w:tcPr>
          <w:p>
            <w:pPr>
              <w:spacing w:line="0" w:lineRule="atLeast"/>
              <w:jc w:val="left"/>
              <w:rPr>
                <w:rFonts w:hint="eastAsia" w:ascii="宋体" w:hAnsi="宋体" w:cs="宋体"/>
                <w:kern w:val="0"/>
                <w:sz w:val="24"/>
                <w:lang w:bidi="ar"/>
              </w:rPr>
            </w:pPr>
            <w:bookmarkStart w:id="3" w:name="_Toc4867"/>
            <w:bookmarkStart w:id="4" w:name="_Toc27830"/>
            <w:r>
              <w:rPr>
                <w:rFonts w:hint="eastAsia" w:ascii="宋体" w:hAnsi="宋体" w:cs="宋体"/>
                <w:kern w:val="0"/>
                <w:sz w:val="24"/>
                <w:lang w:bidi="ar"/>
              </w:rPr>
              <w:t>目标监测新增需</w:t>
            </w:r>
            <w:bookmarkEnd w:id="3"/>
            <w:bookmarkEnd w:id="4"/>
            <w:r>
              <w:rPr>
                <w:rFonts w:hint="eastAsia" w:ascii="宋体" w:hAnsi="宋体" w:cs="宋体"/>
                <w:kern w:val="0"/>
                <w:sz w:val="24"/>
                <w:lang w:bidi="ar"/>
              </w:rPr>
              <w:t>求：ICU界面支持模块大小调整，目标监测-&gt;ICU(新)</w:t>
            </w:r>
          </w:p>
        </w:tc>
        <w:tc>
          <w:tcPr>
            <w:tcW w:w="3189" w:type="pct"/>
          </w:tcPr>
          <w:p>
            <w:pPr>
              <w:spacing w:line="0" w:lineRule="atLeast"/>
              <w:jc w:val="left"/>
              <w:rPr>
                <w:rFonts w:hint="eastAsia" w:ascii="宋体" w:hAnsi="宋体" w:cs="宋体"/>
                <w:kern w:val="0"/>
                <w:sz w:val="24"/>
                <w:lang w:bidi="ar"/>
              </w:rPr>
            </w:pPr>
            <w:r>
              <w:rPr>
                <w:rFonts w:hint="eastAsia" w:ascii="宋体" w:hAnsi="宋体" w:cs="宋体"/>
                <w:kern w:val="0"/>
                <w:sz w:val="24"/>
                <w:lang w:bidi="ar"/>
              </w:rPr>
              <w:t>目标监测-ICU（新）界面内各板块可自定义调整大小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pct"/>
            <w:vMerge w:val="continue"/>
          </w:tcPr>
          <w:p>
            <w:pPr>
              <w:spacing w:line="0" w:lineRule="atLeast"/>
              <w:jc w:val="left"/>
              <w:rPr>
                <w:rFonts w:hint="eastAsia" w:ascii="宋体" w:hAnsi="宋体" w:cs="宋体"/>
                <w:kern w:val="0"/>
                <w:sz w:val="24"/>
                <w:lang w:bidi="ar"/>
              </w:rPr>
            </w:pPr>
          </w:p>
        </w:tc>
        <w:tc>
          <w:tcPr>
            <w:tcW w:w="1139" w:type="pct"/>
          </w:tcPr>
          <w:p>
            <w:pPr>
              <w:spacing w:line="0" w:lineRule="atLeast"/>
              <w:jc w:val="left"/>
              <w:rPr>
                <w:rFonts w:hint="eastAsia" w:ascii="宋体" w:hAnsi="宋体" w:cs="宋体"/>
                <w:kern w:val="0"/>
                <w:sz w:val="24"/>
                <w:lang w:bidi="ar"/>
              </w:rPr>
            </w:pPr>
            <w:r>
              <w:rPr>
                <w:rFonts w:hint="eastAsia" w:ascii="宋体" w:hAnsi="宋体" w:cs="宋体"/>
                <w:kern w:val="0"/>
                <w:sz w:val="24"/>
                <w:lang w:bidi="ar"/>
              </w:rPr>
              <w:t>手卫生：手卫生新增需求</w:t>
            </w:r>
          </w:p>
        </w:tc>
        <w:tc>
          <w:tcPr>
            <w:tcW w:w="3189" w:type="pct"/>
          </w:tcPr>
          <w:p>
            <w:pPr>
              <w:ind w:firstLine="480" w:firstLineChars="200"/>
              <w:jc w:val="left"/>
              <w:rPr>
                <w:rFonts w:hint="eastAsia" w:ascii="宋体" w:hAnsi="宋体" w:cs="宋体"/>
                <w:kern w:val="0"/>
                <w:sz w:val="24"/>
                <w:lang w:bidi="ar"/>
              </w:rPr>
            </w:pPr>
            <w:r>
              <w:rPr>
                <w:rFonts w:hint="eastAsia" w:ascii="宋体" w:hAnsi="宋体" w:cs="宋体"/>
                <w:kern w:val="0"/>
                <w:sz w:val="24"/>
                <w:lang w:bidi="ar"/>
              </w:rPr>
              <w:t>根据医院实际开展手卫生过程中存在的问题，院感科可在手卫生功能界面自行修改手卫生界面设置。</w:t>
            </w:r>
          </w:p>
        </w:tc>
      </w:tr>
    </w:tbl>
    <w:p>
      <w:pPr>
        <w:rPr>
          <w:rFonts w:hint="eastAsia" w:ascii="宋体" w:hAnsi="宋体" w:cs="宋体"/>
          <w:sz w:val="24"/>
        </w:rPr>
      </w:pPr>
    </w:p>
    <w:p>
      <w:pPr>
        <w:jc w:val="center"/>
        <w:rPr>
          <w:rFonts w:hint="eastAsia" w:ascii="宋体" w:hAnsi="宋体" w:cs="宋体"/>
          <w:kern w:val="0"/>
          <w:sz w:val="24"/>
          <w:lang w:bidi="ar"/>
        </w:rPr>
      </w:pPr>
      <w:r>
        <w:rPr>
          <w:rFonts w:hint="eastAsia" w:ascii="宋体" w:hAnsi="宋体" w:cs="宋体"/>
          <w:kern w:val="0"/>
          <w:sz w:val="24"/>
          <w:lang w:bidi="ar"/>
        </w:rPr>
        <w:t>门诊血液透析监测对接服务清单与标准</w:t>
      </w:r>
    </w:p>
    <w:tbl>
      <w:tblPr>
        <w:tblStyle w:val="11"/>
        <w:tblW w:w="49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2113"/>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16" w:type="pct"/>
          </w:tcPr>
          <w:p>
            <w:pPr>
              <w:spacing w:line="0" w:lineRule="atLeast"/>
              <w:jc w:val="center"/>
              <w:rPr>
                <w:rFonts w:hint="eastAsia" w:ascii="宋体" w:hAnsi="宋体" w:cs="宋体"/>
                <w:color w:val="000000"/>
                <w:sz w:val="24"/>
              </w:rPr>
            </w:pPr>
            <w:r>
              <w:rPr>
                <w:rFonts w:hint="eastAsia" w:ascii="宋体" w:hAnsi="宋体" w:cs="宋体"/>
                <w:color w:val="000000"/>
                <w:sz w:val="24"/>
              </w:rPr>
              <w:t>模块</w:t>
            </w:r>
          </w:p>
        </w:tc>
        <w:tc>
          <w:tcPr>
            <w:tcW w:w="4284" w:type="pct"/>
            <w:gridSpan w:val="2"/>
          </w:tcPr>
          <w:p>
            <w:pPr>
              <w:spacing w:line="0" w:lineRule="atLeast"/>
              <w:jc w:val="center"/>
              <w:rPr>
                <w:rFonts w:hint="eastAsia" w:ascii="宋体" w:hAnsi="宋体" w:cs="宋体"/>
                <w:color w:val="000000"/>
                <w:sz w:val="24"/>
              </w:rPr>
            </w:pPr>
            <w:r>
              <w:rPr>
                <w:rFonts w:hint="eastAsia" w:ascii="宋体" w:hAnsi="宋体" w:cs="宋体"/>
                <w:color w:val="000000"/>
                <w:sz w:val="24"/>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pct"/>
          </w:tcPr>
          <w:p>
            <w:pPr>
              <w:spacing w:line="0" w:lineRule="atLeast"/>
              <w:rPr>
                <w:rFonts w:hint="eastAsia" w:ascii="宋体" w:hAnsi="宋体" w:cs="宋体"/>
                <w:color w:val="000000"/>
                <w:sz w:val="24"/>
              </w:rPr>
            </w:pPr>
            <w:r>
              <w:rPr>
                <w:rFonts w:hint="eastAsia" w:ascii="宋体" w:hAnsi="宋体" w:cs="宋体"/>
                <w:color w:val="000000"/>
                <w:sz w:val="24"/>
              </w:rPr>
              <w:t>模块部署</w:t>
            </w:r>
          </w:p>
        </w:tc>
        <w:tc>
          <w:tcPr>
            <w:tcW w:w="4284" w:type="pct"/>
            <w:gridSpan w:val="2"/>
          </w:tcPr>
          <w:p>
            <w:pPr>
              <w:spacing w:line="0" w:lineRule="atLeast"/>
              <w:ind w:firstLine="480" w:firstLineChars="200"/>
              <w:jc w:val="left"/>
              <w:rPr>
                <w:rFonts w:hint="eastAsia" w:ascii="宋体" w:hAnsi="宋体" w:cs="宋体"/>
                <w:color w:val="000000"/>
                <w:sz w:val="24"/>
              </w:rPr>
            </w:pPr>
            <w:r>
              <w:rPr>
                <w:rFonts w:hint="eastAsia" w:ascii="宋体" w:hAnsi="宋体" w:cs="宋体"/>
                <w:color w:val="000000"/>
                <w:sz w:val="24"/>
              </w:rPr>
              <w:t>匹配医院当前的系统版本，调试补丁包适配工作，并进行单一模块的在线部署，完成模块的独立更新工作，并开放对应的院感与临床权限，使管理人员与临床医师能正常使用系统功能完成报卡填报工作内容。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716" w:type="pct"/>
            <w:vMerge w:val="restart"/>
          </w:tcPr>
          <w:p>
            <w:pPr>
              <w:rPr>
                <w:rFonts w:hint="eastAsia" w:ascii="宋体" w:hAnsi="宋体" w:cs="宋体"/>
                <w:b/>
                <w:bCs/>
                <w:sz w:val="24"/>
              </w:rPr>
            </w:pPr>
            <w:r>
              <w:rPr>
                <w:rFonts w:hint="eastAsia" w:ascii="宋体" w:hAnsi="宋体" w:cs="宋体"/>
                <w:color w:val="000000"/>
                <w:sz w:val="24"/>
              </w:rPr>
              <w:t>接口对接</w:t>
            </w:r>
          </w:p>
        </w:tc>
        <w:tc>
          <w:tcPr>
            <w:tcW w:w="1100" w:type="pct"/>
          </w:tcPr>
          <w:p>
            <w:pPr>
              <w:spacing w:line="0" w:lineRule="atLeast"/>
              <w:jc w:val="left"/>
              <w:rPr>
                <w:rFonts w:hint="eastAsia" w:ascii="宋体" w:hAnsi="宋体" w:cs="宋体"/>
                <w:color w:val="000000"/>
                <w:sz w:val="24"/>
              </w:rPr>
            </w:pPr>
            <w:r>
              <w:rPr>
                <w:rFonts w:hint="eastAsia" w:ascii="宋体" w:hAnsi="宋体" w:cs="宋体"/>
                <w:color w:val="000000"/>
                <w:sz w:val="24"/>
              </w:rPr>
              <w:t>1.接口联调以及准确性验证</w:t>
            </w:r>
          </w:p>
        </w:tc>
        <w:tc>
          <w:tcPr>
            <w:tcW w:w="3183" w:type="pct"/>
          </w:tcPr>
          <w:p>
            <w:pPr>
              <w:spacing w:line="0" w:lineRule="atLeast"/>
              <w:ind w:firstLine="480" w:firstLineChars="200"/>
              <w:jc w:val="left"/>
              <w:rPr>
                <w:rFonts w:hint="eastAsia" w:ascii="宋体" w:hAnsi="宋体" w:cs="宋体"/>
                <w:color w:val="000000"/>
                <w:sz w:val="24"/>
              </w:rPr>
            </w:pPr>
            <w:r>
              <w:rPr>
                <w:rFonts w:hint="eastAsia" w:ascii="宋体" w:hAnsi="宋体" w:cs="宋体"/>
                <w:color w:val="000000"/>
                <w:sz w:val="24"/>
              </w:rPr>
              <w:t>确认医院是否提供完整接口内容，以及提供的接口字段是否符合要求，完成视图方式联调工作。</w:t>
            </w:r>
          </w:p>
          <w:p>
            <w:pPr>
              <w:spacing w:line="0" w:lineRule="atLeast"/>
              <w:ind w:firstLine="480" w:firstLineChars="200"/>
              <w:jc w:val="left"/>
              <w:rPr>
                <w:rFonts w:hint="eastAsia" w:ascii="宋体" w:hAnsi="宋体" w:cs="宋体"/>
                <w:color w:val="000000"/>
                <w:sz w:val="24"/>
              </w:rPr>
            </w:pPr>
            <w:r>
              <w:rPr>
                <w:rFonts w:hint="eastAsia" w:ascii="宋体" w:hAnsi="宋体" w:cs="宋体"/>
                <w:color w:val="000000"/>
                <w:sz w:val="24"/>
              </w:rPr>
              <w:t>核对血透患者数据情况，针对目前登记的血透患者情况比对当前数据接口内容，确保数据与血透界面展示的一致性和完整性，提升数据质量。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pct"/>
            <w:vMerge w:val="continue"/>
          </w:tcPr>
          <w:p>
            <w:pPr>
              <w:spacing w:line="0" w:lineRule="atLeast"/>
              <w:jc w:val="left"/>
              <w:rPr>
                <w:rFonts w:hint="eastAsia" w:ascii="宋体" w:hAnsi="宋体" w:cs="宋体"/>
                <w:color w:val="000000"/>
                <w:sz w:val="24"/>
              </w:rPr>
            </w:pPr>
          </w:p>
        </w:tc>
        <w:tc>
          <w:tcPr>
            <w:tcW w:w="1100" w:type="pct"/>
          </w:tcPr>
          <w:p>
            <w:pPr>
              <w:spacing w:line="0" w:lineRule="atLeast"/>
              <w:jc w:val="left"/>
              <w:rPr>
                <w:rFonts w:hint="eastAsia" w:ascii="宋体" w:hAnsi="宋体" w:cs="宋体"/>
                <w:color w:val="000000"/>
                <w:sz w:val="24"/>
              </w:rPr>
            </w:pPr>
            <w:r>
              <w:rPr>
                <w:rFonts w:hint="eastAsia" w:ascii="宋体" w:hAnsi="宋体" w:cs="宋体"/>
                <w:color w:val="000000"/>
                <w:sz w:val="24"/>
              </w:rPr>
              <w:t>2.数据加载配置</w:t>
            </w:r>
          </w:p>
        </w:tc>
        <w:tc>
          <w:tcPr>
            <w:tcW w:w="3183" w:type="pct"/>
          </w:tcPr>
          <w:p>
            <w:pPr>
              <w:spacing w:line="0" w:lineRule="atLeast"/>
              <w:ind w:firstLine="480" w:firstLineChars="200"/>
              <w:jc w:val="left"/>
              <w:rPr>
                <w:rFonts w:hint="eastAsia" w:ascii="宋体" w:hAnsi="宋体" w:cs="宋体"/>
                <w:color w:val="000000"/>
                <w:sz w:val="24"/>
              </w:rPr>
            </w:pPr>
            <w:r>
              <w:rPr>
                <w:rFonts w:hint="eastAsia" w:ascii="宋体" w:hAnsi="宋体" w:cs="宋体"/>
                <w:color w:val="000000"/>
                <w:sz w:val="24"/>
              </w:rPr>
              <w:t>对接接口中的数据字段内容，并设置转换关系以及映射字典，完成ktr配置工作，将接口数据内容进行标化，转储至内部数据库中。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pct"/>
          </w:tcPr>
          <w:p>
            <w:pPr>
              <w:tabs>
                <w:tab w:val="left" w:pos="923"/>
              </w:tabs>
              <w:rPr>
                <w:rFonts w:hint="eastAsia" w:ascii="宋体" w:hAnsi="宋体" w:cs="宋体"/>
                <w:color w:val="000000"/>
                <w:sz w:val="24"/>
              </w:rPr>
            </w:pPr>
            <w:r>
              <w:rPr>
                <w:rFonts w:hint="eastAsia" w:ascii="宋体" w:hAnsi="宋体" w:cs="宋体"/>
                <w:color w:val="000000"/>
                <w:sz w:val="24"/>
              </w:rPr>
              <w:t>报卡内容配置</w:t>
            </w:r>
          </w:p>
        </w:tc>
        <w:tc>
          <w:tcPr>
            <w:tcW w:w="4284" w:type="pct"/>
            <w:gridSpan w:val="2"/>
          </w:tcPr>
          <w:p>
            <w:pPr>
              <w:tabs>
                <w:tab w:val="left" w:pos="923"/>
              </w:tabs>
              <w:ind w:firstLine="480" w:firstLineChars="200"/>
              <w:jc w:val="left"/>
              <w:rPr>
                <w:rFonts w:hint="eastAsia" w:ascii="宋体" w:hAnsi="宋体" w:cs="宋体"/>
                <w:sz w:val="24"/>
              </w:rPr>
            </w:pPr>
            <w:r>
              <w:rPr>
                <w:rFonts w:hint="eastAsia" w:ascii="宋体" w:hAnsi="宋体" w:cs="宋体"/>
                <w:color w:val="000000"/>
                <w:sz w:val="24"/>
              </w:rPr>
              <w:t>将内部数据中，血液透析相关数据部位通过html页面构建方式，进行标签化数据填充，对数据内容进行调整和界面显示优化，对方格长度以及医院数据的映射字段匹配进行前后端交互配置，完成前端界面上数据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pct"/>
          </w:tcPr>
          <w:p>
            <w:pPr>
              <w:spacing w:line="0" w:lineRule="atLeast"/>
              <w:jc w:val="left"/>
              <w:rPr>
                <w:rFonts w:hint="eastAsia" w:ascii="宋体" w:hAnsi="宋体" w:cs="宋体"/>
                <w:color w:val="000000"/>
                <w:sz w:val="24"/>
              </w:rPr>
            </w:pPr>
            <w:r>
              <w:rPr>
                <w:rFonts w:hint="eastAsia" w:ascii="宋体" w:hAnsi="宋体" w:cs="宋体"/>
                <w:color w:val="000000"/>
                <w:sz w:val="24"/>
              </w:rPr>
              <w:t>报表统计指标功能配置</w:t>
            </w:r>
          </w:p>
        </w:tc>
        <w:tc>
          <w:tcPr>
            <w:tcW w:w="4284" w:type="pct"/>
            <w:gridSpan w:val="2"/>
          </w:tcPr>
          <w:p>
            <w:pPr>
              <w:tabs>
                <w:tab w:val="left" w:pos="923"/>
              </w:tabs>
              <w:ind w:firstLine="480" w:firstLineChars="200"/>
              <w:jc w:val="left"/>
              <w:rPr>
                <w:rFonts w:hint="eastAsia" w:ascii="宋体" w:hAnsi="宋体" w:cs="宋体"/>
                <w:color w:val="000000"/>
                <w:sz w:val="24"/>
              </w:rPr>
            </w:pPr>
            <w:r>
              <w:rPr>
                <w:rFonts w:hint="eastAsia" w:ascii="宋体" w:hAnsi="宋体" w:cs="宋体"/>
                <w:color w:val="000000"/>
                <w:sz w:val="24"/>
              </w:rPr>
              <w:t>根据国家下发的《医院感染监测标（WS/T 312—2023) 》文件，配置相关的报表统计功能，可自由选择监测时间、监测科室，进行对应的指标统计，并设置数值内容导出以及图表功能展示、导出功能，使其达到更高效的监测工作水平。</w:t>
            </w:r>
          </w:p>
        </w:tc>
      </w:tr>
    </w:tbl>
    <w:p>
      <w:pPr>
        <w:spacing w:line="360" w:lineRule="auto"/>
        <w:rPr>
          <w:rFonts w:hint="eastAsia"/>
          <w:b/>
          <w:bCs/>
          <w:sz w:val="28"/>
          <w:szCs w:val="28"/>
        </w:rPr>
      </w:pPr>
    </w:p>
    <w:p>
      <w:pPr>
        <w:spacing w:line="360" w:lineRule="auto"/>
        <w:rPr>
          <w:b/>
          <w:bCs/>
          <w:sz w:val="28"/>
          <w:szCs w:val="28"/>
        </w:rPr>
      </w:pPr>
      <w:r>
        <w:rPr>
          <w:rFonts w:hint="eastAsia"/>
          <w:b/>
          <w:bCs/>
          <w:sz w:val="28"/>
          <w:szCs w:val="28"/>
        </w:rPr>
        <w:t>四、商务要求</w:t>
      </w:r>
    </w:p>
    <w:p>
      <w:pPr>
        <w:spacing w:line="360" w:lineRule="auto"/>
        <w:ind w:firstLine="482" w:firstLineChars="200"/>
        <w:rPr>
          <w:rFonts w:hint="eastAsia" w:ascii="宋体" w:hAnsi="宋体" w:cs="宋体"/>
          <w:b/>
          <w:bCs/>
          <w:sz w:val="24"/>
        </w:rPr>
      </w:pPr>
      <w:r>
        <w:rPr>
          <w:rFonts w:hint="eastAsia" w:ascii="宋体" w:hAnsi="宋体" w:cs="宋体"/>
          <w:b/>
          <w:bCs/>
          <w:sz w:val="24"/>
        </w:rPr>
        <w:t>（一）项目建设要求</w:t>
      </w:r>
    </w:p>
    <w:p>
      <w:pPr>
        <w:spacing w:line="360" w:lineRule="auto"/>
        <w:ind w:firstLine="480" w:firstLineChars="200"/>
        <w:rPr>
          <w:rFonts w:hint="eastAsia" w:ascii="宋体" w:hAnsi="宋体" w:cs="宋体"/>
          <w:sz w:val="24"/>
        </w:rPr>
      </w:pPr>
      <w:r>
        <w:rPr>
          <w:rFonts w:hint="eastAsia" w:ascii="宋体" w:hAnsi="宋体" w:cs="宋体"/>
          <w:sz w:val="24"/>
        </w:rPr>
        <w:t>1、项目实施进度要求：合同签订后，中标人需在3个月内完成项目的建设并通过采购人验收、交付采购人使用。</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2、质保期：不少于1年，自项目验收合格后计。</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、项目培训要求：</w:t>
      </w:r>
    </w:p>
    <w:p>
      <w:pPr>
        <w:spacing w:line="360" w:lineRule="auto"/>
        <w:ind w:firstLine="480" w:firstLineChars="200"/>
        <w:rPr>
          <w:rFonts w:hint="eastAsia" w:ascii="宋体" w:hAnsi="宋体" w:cs="宋体"/>
          <w:sz w:val="24"/>
        </w:rPr>
      </w:pPr>
      <w:r>
        <w:rPr>
          <w:rFonts w:hint="eastAsia" w:ascii="宋体" w:hAnsi="宋体" w:cs="宋体"/>
          <w:sz w:val="24"/>
        </w:rPr>
        <w:t>投标人须提出详细的项目培训计划，具体如下：</w:t>
      </w:r>
    </w:p>
    <w:p>
      <w:pPr>
        <w:spacing w:line="360" w:lineRule="auto"/>
        <w:ind w:firstLine="480" w:firstLineChars="200"/>
        <w:rPr>
          <w:rFonts w:hint="eastAsia" w:ascii="宋体" w:hAnsi="宋体" w:cs="宋体"/>
          <w:sz w:val="24"/>
        </w:rPr>
      </w:pPr>
      <w:r>
        <w:rPr>
          <w:rFonts w:hint="eastAsia" w:ascii="宋体" w:hAnsi="宋体" w:cs="宋体"/>
          <w:sz w:val="24"/>
        </w:rPr>
        <w:t>（1）对系统使用人员、系统运行维护管理人员等不同对象的培训计划；</w:t>
      </w:r>
    </w:p>
    <w:p>
      <w:pPr>
        <w:spacing w:line="360" w:lineRule="auto"/>
        <w:ind w:firstLine="480" w:firstLineChars="200"/>
        <w:rPr>
          <w:rFonts w:hint="eastAsia" w:ascii="宋体" w:hAnsi="宋体" w:cs="宋体"/>
          <w:sz w:val="24"/>
        </w:rPr>
      </w:pPr>
      <w:r>
        <w:rPr>
          <w:rFonts w:hint="eastAsia" w:ascii="宋体" w:hAnsi="宋体" w:cs="宋体"/>
          <w:sz w:val="24"/>
        </w:rPr>
        <w:t>（2）培训课程安排、培训方式及时间，地点场所由采购人提供；</w:t>
      </w:r>
    </w:p>
    <w:p>
      <w:pPr>
        <w:spacing w:line="360" w:lineRule="auto"/>
        <w:ind w:firstLine="480" w:firstLineChars="200"/>
        <w:rPr>
          <w:rFonts w:hint="eastAsia" w:ascii="宋体" w:hAnsi="宋体" w:cs="宋体"/>
          <w:sz w:val="24"/>
        </w:rPr>
      </w:pPr>
      <w:r>
        <w:rPr>
          <w:rFonts w:hint="eastAsia" w:ascii="宋体" w:hAnsi="宋体" w:cs="宋体"/>
          <w:sz w:val="24"/>
        </w:rPr>
        <w:t>（3）提供系统操作培训：主要面向医院感染管理科、血透室等使用系统的人员，提供操作培训；</w:t>
      </w:r>
    </w:p>
    <w:p>
      <w:pPr>
        <w:spacing w:line="360" w:lineRule="auto"/>
        <w:ind w:firstLine="480" w:firstLineChars="200"/>
        <w:rPr>
          <w:rFonts w:hint="eastAsia" w:ascii="宋体" w:hAnsi="宋体" w:cs="宋体"/>
          <w:sz w:val="24"/>
        </w:rPr>
      </w:pPr>
      <w:r>
        <w:rPr>
          <w:rFonts w:hint="eastAsia" w:ascii="宋体" w:hAnsi="宋体" w:cs="宋体"/>
          <w:sz w:val="24"/>
        </w:rPr>
        <w:t>（4）提供系统日常维护系统培训：主要面向医院信息管理技术人员（至少2名）进行培训，使其具备独立进行系统日常维护、故障的诊断与处理等方面的培训。</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、项目验收要求：</w:t>
      </w:r>
    </w:p>
    <w:p>
      <w:pPr>
        <w:spacing w:line="360" w:lineRule="auto"/>
        <w:ind w:firstLine="480" w:firstLineChars="200"/>
        <w:rPr>
          <w:rFonts w:hint="eastAsia" w:ascii="宋体" w:hAnsi="宋体" w:cs="宋体"/>
          <w:sz w:val="24"/>
        </w:rPr>
      </w:pPr>
      <w:r>
        <w:rPr>
          <w:rFonts w:hint="eastAsia" w:ascii="宋体" w:hAnsi="宋体" w:cs="宋体"/>
          <w:sz w:val="24"/>
        </w:rPr>
        <w:t>项目的工作内容及成果文档的提交应覆盖以下内容，电子文档是成果不可分割的部分。</w:t>
      </w:r>
    </w:p>
    <w:p>
      <w:pPr>
        <w:spacing w:line="360" w:lineRule="auto"/>
        <w:ind w:firstLine="480" w:firstLineChars="200"/>
        <w:rPr>
          <w:rFonts w:hint="eastAsia" w:ascii="宋体" w:hAnsi="宋体" w:cs="宋体"/>
          <w:sz w:val="24"/>
        </w:rPr>
      </w:pPr>
      <w:r>
        <w:rPr>
          <w:rFonts w:hint="eastAsia" w:ascii="宋体" w:hAnsi="宋体" w:cs="宋体"/>
          <w:sz w:val="24"/>
        </w:rPr>
        <w:t>（1）系统的体系架构及描述；</w:t>
      </w:r>
    </w:p>
    <w:p>
      <w:pPr>
        <w:spacing w:line="360" w:lineRule="auto"/>
        <w:ind w:firstLine="480" w:firstLineChars="200"/>
        <w:rPr>
          <w:rFonts w:hint="eastAsia" w:ascii="宋体" w:hAnsi="宋体" w:cs="宋体"/>
          <w:sz w:val="24"/>
        </w:rPr>
      </w:pPr>
      <w:r>
        <w:rPr>
          <w:rFonts w:hint="eastAsia" w:ascii="宋体" w:hAnsi="宋体" w:cs="宋体"/>
          <w:sz w:val="24"/>
        </w:rPr>
        <w:t>（2）提供的其它技术手册，包括：</w:t>
      </w:r>
    </w:p>
    <w:p>
      <w:pPr>
        <w:spacing w:line="360" w:lineRule="auto"/>
        <w:ind w:firstLine="480" w:firstLineChars="200"/>
        <w:rPr>
          <w:rFonts w:hint="eastAsia" w:ascii="宋体" w:hAnsi="宋体" w:cs="宋体"/>
          <w:sz w:val="24"/>
        </w:rPr>
      </w:pPr>
      <w:r>
        <w:rPr>
          <w:rFonts w:hint="eastAsia" w:ascii="宋体" w:hAnsi="宋体" w:cs="宋体"/>
          <w:sz w:val="24"/>
        </w:rPr>
        <w:t>1）需求分析报告（含软件功能需求与数据要求）；</w:t>
      </w:r>
    </w:p>
    <w:p>
      <w:pPr>
        <w:spacing w:line="360" w:lineRule="auto"/>
        <w:ind w:firstLine="480" w:firstLineChars="200"/>
        <w:rPr>
          <w:rFonts w:hint="eastAsia" w:ascii="宋体" w:hAnsi="宋体" w:cs="宋体"/>
          <w:sz w:val="24"/>
        </w:rPr>
      </w:pPr>
      <w:r>
        <w:rPr>
          <w:rFonts w:hint="eastAsia" w:ascii="宋体" w:hAnsi="宋体" w:cs="宋体"/>
          <w:sz w:val="24"/>
        </w:rPr>
        <w:t>2）系统实施确认书；</w:t>
      </w:r>
    </w:p>
    <w:p>
      <w:pPr>
        <w:spacing w:line="360" w:lineRule="auto"/>
        <w:ind w:firstLine="480" w:firstLineChars="200"/>
        <w:rPr>
          <w:rFonts w:hint="eastAsia" w:ascii="宋体" w:hAnsi="宋体" w:cs="宋体"/>
          <w:sz w:val="24"/>
        </w:rPr>
      </w:pPr>
      <w:r>
        <w:rPr>
          <w:rFonts w:hint="eastAsia" w:ascii="宋体" w:hAnsi="宋体" w:cs="宋体"/>
          <w:sz w:val="24"/>
        </w:rPr>
        <w:t>3）培训资料；</w:t>
      </w:r>
    </w:p>
    <w:p>
      <w:pPr>
        <w:spacing w:line="360" w:lineRule="auto"/>
        <w:ind w:firstLine="480" w:firstLineChars="200"/>
        <w:rPr>
          <w:rFonts w:hint="eastAsia" w:ascii="宋体" w:hAnsi="宋体" w:cs="宋体"/>
          <w:sz w:val="24"/>
        </w:rPr>
      </w:pPr>
      <w:r>
        <w:rPr>
          <w:rFonts w:hint="eastAsia" w:ascii="宋体" w:hAnsi="宋体" w:cs="宋体"/>
          <w:sz w:val="24"/>
        </w:rPr>
        <w:t>4）安装维护手册；</w:t>
      </w:r>
    </w:p>
    <w:p>
      <w:pPr>
        <w:spacing w:line="360" w:lineRule="auto"/>
        <w:ind w:firstLine="480" w:firstLineChars="200"/>
        <w:rPr>
          <w:rFonts w:hint="eastAsia" w:ascii="宋体" w:hAnsi="宋体" w:cs="宋体"/>
          <w:sz w:val="24"/>
        </w:rPr>
      </w:pPr>
      <w:r>
        <w:rPr>
          <w:rFonts w:hint="eastAsia" w:ascii="宋体" w:hAnsi="宋体" w:cs="宋体"/>
          <w:sz w:val="24"/>
        </w:rPr>
        <w:t>5）使用操作手册；</w:t>
      </w:r>
    </w:p>
    <w:p>
      <w:pPr>
        <w:spacing w:line="360" w:lineRule="auto"/>
        <w:ind w:firstLine="480" w:firstLineChars="200"/>
        <w:rPr>
          <w:rFonts w:hint="eastAsia" w:ascii="宋体" w:hAnsi="宋体" w:cs="宋体"/>
          <w:sz w:val="24"/>
        </w:rPr>
      </w:pPr>
      <w:r>
        <w:rPr>
          <w:rFonts w:hint="eastAsia" w:ascii="宋体" w:hAnsi="宋体" w:cs="宋体"/>
          <w:sz w:val="24"/>
        </w:rPr>
        <w:t xml:space="preserve">6）项目验收报告。 </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5</w:t>
      </w:r>
      <w:bookmarkStart w:id="7" w:name="_GoBack"/>
      <w:bookmarkEnd w:id="7"/>
      <w:r>
        <w:rPr>
          <w:rFonts w:hint="eastAsia" w:ascii="宋体" w:hAnsi="宋体" w:cs="宋体"/>
          <w:sz w:val="24"/>
        </w:rPr>
        <w:t>、项目售后服务要求：</w:t>
      </w:r>
    </w:p>
    <w:p>
      <w:pPr>
        <w:spacing w:line="360" w:lineRule="auto"/>
        <w:ind w:firstLine="480" w:firstLineChars="200"/>
        <w:rPr>
          <w:rFonts w:hint="eastAsia" w:ascii="宋体" w:hAnsi="宋体" w:cs="宋体"/>
          <w:sz w:val="24"/>
        </w:rPr>
      </w:pPr>
      <w:r>
        <w:rPr>
          <w:rFonts w:hint="eastAsia" w:ascii="宋体" w:hAnsi="宋体" w:cs="宋体"/>
          <w:sz w:val="24"/>
        </w:rPr>
        <w:t>（1）投标人必须根据本次招标文件所制定的目标和范围，提出相应的售后服务方案。</w:t>
      </w:r>
    </w:p>
    <w:p>
      <w:pPr>
        <w:spacing w:line="360" w:lineRule="auto"/>
        <w:ind w:firstLine="480" w:firstLineChars="200"/>
        <w:rPr>
          <w:rFonts w:hint="eastAsia" w:ascii="宋体" w:hAnsi="宋体" w:cs="宋体"/>
          <w:sz w:val="24"/>
        </w:rPr>
      </w:pPr>
      <w:r>
        <w:rPr>
          <w:rFonts w:hint="eastAsia" w:ascii="宋体" w:hAnsi="宋体" w:cs="宋体"/>
          <w:sz w:val="24"/>
        </w:rPr>
        <w:t>（2）为了保证本次项目顺利成功，要求投标人承诺项目验收后提供7*24小时售后技术服务，提供上门维护、升级服务，对故障即时响应，24小时以内解决问题所采取的措施。包括免费升级、功能完善、故障排除、性能调优、技术咨询等。</w:t>
      </w:r>
    </w:p>
    <w:p>
      <w:pPr>
        <w:spacing w:line="360" w:lineRule="auto"/>
        <w:ind w:firstLine="480" w:firstLineChars="200"/>
        <w:rPr>
          <w:rFonts w:hint="eastAsia" w:ascii="宋体" w:hAnsi="宋体" w:cs="宋体"/>
          <w:sz w:val="24"/>
        </w:rPr>
      </w:pPr>
      <w:r>
        <w:rPr>
          <w:rFonts w:hint="eastAsia" w:ascii="宋体" w:hAnsi="宋体" w:cs="宋体"/>
          <w:sz w:val="24"/>
        </w:rPr>
        <w:t>（3）投标人须保证所提供产品具有合法的版权或使用权，本项目采购的产品，如在本项目范围内使用过程中出现版权或使用权纠纷，应由中标人负责，采购人和采购机构不承担任何责任。</w:t>
      </w:r>
    </w:p>
    <w:p>
      <w:pPr>
        <w:spacing w:line="360" w:lineRule="auto"/>
        <w:ind w:firstLine="480" w:firstLineChars="200"/>
        <w:rPr>
          <w:rFonts w:hint="eastAsia" w:ascii="宋体" w:hAnsi="宋体" w:cs="宋体"/>
          <w:sz w:val="24"/>
        </w:rPr>
      </w:pPr>
      <w:r>
        <w:rPr>
          <w:rFonts w:hint="eastAsia" w:ascii="宋体" w:hAnsi="宋体" w:cs="宋体"/>
          <w:sz w:val="24"/>
        </w:rPr>
        <w:t>（4）投标人应为用户提供系统培训，使其能对系统熟练的操作和日常的维护以及能对一般系统故障进行处置。</w:t>
      </w:r>
    </w:p>
    <w:p>
      <w:pPr>
        <w:spacing w:line="360" w:lineRule="auto"/>
        <w:ind w:firstLine="482" w:firstLineChars="200"/>
        <w:rPr>
          <w:rFonts w:hint="eastAsia" w:ascii="宋体" w:hAnsi="宋体" w:cs="宋体"/>
          <w:b/>
          <w:bCs/>
          <w:sz w:val="24"/>
        </w:rPr>
      </w:pPr>
      <w:r>
        <w:rPr>
          <w:rFonts w:hint="eastAsia" w:ascii="宋体" w:hAnsi="宋体" w:cs="宋体"/>
          <w:b/>
          <w:bCs/>
          <w:sz w:val="24"/>
        </w:rPr>
        <w:t>（二）报价要求</w:t>
      </w:r>
    </w:p>
    <w:p>
      <w:pPr>
        <w:spacing w:line="360" w:lineRule="auto"/>
        <w:ind w:firstLine="480" w:firstLineChars="200"/>
        <w:rPr>
          <w:rFonts w:hint="eastAsia" w:ascii="宋体" w:hAnsi="宋体" w:cs="宋体"/>
          <w:sz w:val="24"/>
        </w:rPr>
      </w:pPr>
      <w:r>
        <w:rPr>
          <w:rFonts w:hint="eastAsia" w:ascii="宋体" w:hAnsi="宋体" w:cs="宋体"/>
          <w:sz w:val="24"/>
        </w:rPr>
        <w:t>本次采购范围涉及上述系统完整稳定运行所需的所有软件、授权、工具、备品备件、消耗品、资料及人工服务等，上述内容所需的所有费用均必须计入本次投标报价。除招标文件已明确不在本次采购范围内的项目外，有关费用如未单独分项报价且投标文件偏离表中无明确偏离的，未单独分项报价的内容视为满足招标文件要求且已经平均分摊计入其他分项报价。</w:t>
      </w:r>
    </w:p>
    <w:p>
      <w:pPr>
        <w:spacing w:line="360" w:lineRule="auto"/>
        <w:ind w:firstLine="482" w:firstLineChars="200"/>
        <w:rPr>
          <w:rFonts w:hint="eastAsia" w:ascii="宋体" w:hAnsi="宋体" w:cs="宋体"/>
          <w:b/>
          <w:bCs/>
          <w:sz w:val="24"/>
        </w:rPr>
      </w:pPr>
      <w:r>
        <w:rPr>
          <w:rFonts w:hint="eastAsia" w:ascii="宋体" w:hAnsi="宋体" w:cs="宋体"/>
          <w:b/>
          <w:bCs/>
          <w:sz w:val="24"/>
        </w:rPr>
        <w:t>（三）付款方式</w:t>
      </w:r>
    </w:p>
    <w:p>
      <w:pPr>
        <w:spacing w:line="360" w:lineRule="auto"/>
        <w:ind w:firstLine="480" w:firstLineChars="200"/>
        <w:rPr>
          <w:rFonts w:hint="eastAsia" w:ascii="宋体" w:hAnsi="宋体" w:cs="宋体"/>
          <w:sz w:val="24"/>
        </w:rPr>
      </w:pPr>
      <w:r>
        <w:rPr>
          <w:rFonts w:hint="eastAsia" w:ascii="宋体" w:hAnsi="宋体" w:cs="宋体"/>
          <w:sz w:val="24"/>
        </w:rPr>
        <w:t>合同签订实施后，根据项目实施情况进行验收，于验收合格并收到发票后，在三个月内一次性支付相应的款项。</w:t>
      </w:r>
    </w:p>
    <w:p>
      <w:pPr>
        <w:overflowPunct w:val="0"/>
        <w:spacing w:line="360" w:lineRule="auto"/>
        <w:rPr>
          <w:rFonts w:hint="eastAsia" w:ascii="宋体" w:hAnsi="宋体" w:cs="黑体"/>
          <w:b/>
          <w:bCs/>
          <w:sz w:val="28"/>
          <w:szCs w:val="28"/>
        </w:rPr>
      </w:pPr>
      <w:r>
        <w:rPr>
          <w:rFonts w:hint="eastAsia" w:ascii="宋体" w:hAnsi="宋体" w:cs="黑体"/>
          <w:b/>
          <w:bCs/>
          <w:sz w:val="28"/>
          <w:szCs w:val="28"/>
        </w:rPr>
        <w:t>五、定标方法</w:t>
      </w:r>
    </w:p>
    <w:p>
      <w:pPr>
        <w:pStyle w:val="3"/>
        <w:spacing w:line="360" w:lineRule="auto"/>
        <w:ind w:firstLine="0"/>
        <w:rPr>
          <w:rFonts w:hint="eastAsia" w:ascii="宋体" w:hAnsi="宋体" w:cs="宋体"/>
          <w:sz w:val="24"/>
          <w:szCs w:val="24"/>
        </w:rPr>
      </w:pPr>
      <w:r>
        <w:rPr>
          <w:rFonts w:hint="eastAsia" w:ascii="宋体" w:hAnsi="宋体" w:cs="宋体"/>
          <w:sz w:val="24"/>
          <w:szCs w:val="24"/>
        </w:rPr>
        <w:t>1、确定中标候选人</w:t>
      </w:r>
    </w:p>
    <w:p>
      <w:pPr>
        <w:pStyle w:val="3"/>
        <w:spacing w:line="360" w:lineRule="auto"/>
        <w:ind w:firstLine="480" w:firstLineChars="200"/>
        <w:rPr>
          <w:rFonts w:hint="eastAsia" w:ascii="宋体" w:hAnsi="宋体" w:cs="宋体"/>
          <w:sz w:val="24"/>
          <w:szCs w:val="24"/>
        </w:rPr>
      </w:pPr>
      <w:r>
        <w:rPr>
          <w:rFonts w:hint="eastAsia" w:ascii="宋体" w:hAnsi="宋体" w:cs="宋体"/>
          <w:sz w:val="24"/>
          <w:szCs w:val="24"/>
        </w:rPr>
        <w:t>1.1由评标委员会确定中标候选人。</w:t>
      </w:r>
    </w:p>
    <w:p>
      <w:pPr>
        <w:pStyle w:val="3"/>
        <w:spacing w:line="360" w:lineRule="auto"/>
        <w:ind w:firstLine="480" w:firstLineChars="200"/>
        <w:rPr>
          <w:rFonts w:hint="eastAsia" w:ascii="宋体" w:hAnsi="宋体" w:cs="宋体"/>
          <w:sz w:val="24"/>
          <w:szCs w:val="24"/>
        </w:rPr>
      </w:pPr>
      <w:r>
        <w:rPr>
          <w:rFonts w:hint="eastAsia" w:ascii="宋体" w:hAnsi="宋体" w:cs="宋体"/>
          <w:sz w:val="24"/>
          <w:szCs w:val="24"/>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3"/>
        <w:spacing w:line="360" w:lineRule="auto"/>
        <w:ind w:firstLine="0"/>
        <w:rPr>
          <w:rFonts w:hint="eastAsia" w:ascii="宋体" w:hAnsi="宋体" w:cs="宋体"/>
          <w:sz w:val="24"/>
          <w:szCs w:val="24"/>
        </w:rPr>
      </w:pPr>
      <w:r>
        <w:rPr>
          <w:rFonts w:hint="eastAsia" w:ascii="宋体" w:hAnsi="宋体" w:cs="宋体"/>
          <w:sz w:val="24"/>
          <w:szCs w:val="24"/>
        </w:rPr>
        <w:t>2、确定中标人</w:t>
      </w:r>
    </w:p>
    <w:p>
      <w:pPr>
        <w:pStyle w:val="3"/>
        <w:spacing w:line="360" w:lineRule="auto"/>
        <w:ind w:firstLine="480" w:firstLineChars="200"/>
        <w:rPr>
          <w:rFonts w:hint="eastAsia" w:ascii="宋体" w:hAnsi="宋体" w:cs="宋体"/>
          <w:sz w:val="24"/>
          <w:szCs w:val="24"/>
        </w:rPr>
      </w:pPr>
      <w:r>
        <w:rPr>
          <w:rFonts w:hint="eastAsia" w:ascii="宋体" w:hAnsi="宋体" w:cs="宋体"/>
          <w:sz w:val="24"/>
          <w:szCs w:val="24"/>
        </w:rPr>
        <w:t>2.1采购人按照评标报告中推荐的中标候选供应商顺序确定中标人；也可以事先授权评标委员会按照推荐的中标候选供应商顺序直接确定中标人。中标候选人并列的，采取随机抽取的方式确定。</w:t>
      </w:r>
    </w:p>
    <w:p>
      <w:pPr>
        <w:pStyle w:val="3"/>
        <w:spacing w:line="360" w:lineRule="auto"/>
        <w:ind w:firstLine="480" w:firstLineChars="200"/>
        <w:rPr>
          <w:rFonts w:hint="eastAsia" w:ascii="宋体" w:hAnsi="宋体" w:cs="宋体"/>
          <w:sz w:val="24"/>
          <w:szCs w:val="24"/>
        </w:rPr>
      </w:pPr>
      <w:r>
        <w:rPr>
          <w:rFonts w:hint="eastAsia" w:ascii="宋体" w:hAnsi="宋体" w:cs="宋体"/>
          <w:sz w:val="24"/>
          <w:szCs w:val="24"/>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3"/>
        <w:spacing w:line="360" w:lineRule="auto"/>
        <w:ind w:firstLine="0"/>
        <w:rPr>
          <w:rFonts w:hint="eastAsia" w:ascii="宋体" w:hAnsi="宋体" w:cs="宋体"/>
          <w:sz w:val="24"/>
          <w:szCs w:val="24"/>
        </w:rPr>
      </w:pPr>
      <w:r>
        <w:rPr>
          <w:rFonts w:hint="eastAsia" w:ascii="宋体" w:hAnsi="宋体" w:cs="宋体"/>
          <w:sz w:val="24"/>
          <w:szCs w:val="24"/>
        </w:rPr>
        <w:t>3、中标人确定后，采购人将在温州市中医院官网公告中标结果，采购人向中标人发出中标通知书。</w:t>
      </w:r>
    </w:p>
    <w:p>
      <w:pPr>
        <w:rPr>
          <w:b/>
          <w:bCs/>
          <w:sz w:val="28"/>
          <w:szCs w:val="28"/>
        </w:rPr>
      </w:pPr>
      <w:r>
        <w:rPr>
          <w:rFonts w:hint="eastAsia"/>
          <w:b/>
          <w:bCs/>
          <w:sz w:val="28"/>
          <w:szCs w:val="28"/>
        </w:rPr>
        <w:t>六、评分细则</w:t>
      </w:r>
    </w:p>
    <w:p>
      <w:pPr>
        <w:spacing w:line="360" w:lineRule="auto"/>
        <w:ind w:firstLine="480" w:firstLineChars="200"/>
        <w:rPr>
          <w:rFonts w:hint="eastAsia" w:ascii="宋体" w:hAnsi="宋体" w:cs="宋体"/>
          <w:sz w:val="24"/>
        </w:rPr>
      </w:pPr>
      <w:r>
        <w:rPr>
          <w:rFonts w:hint="eastAsia" w:ascii="宋体" w:hAnsi="宋体" w:cs="宋体"/>
          <w:sz w:val="24"/>
        </w:rPr>
        <w:t>1、技术分的评定（70分)（权值70%）</w:t>
      </w:r>
    </w:p>
    <w:p>
      <w:pPr>
        <w:spacing w:line="360" w:lineRule="auto"/>
        <w:ind w:firstLine="480" w:firstLineChars="200"/>
        <w:rPr>
          <w:rFonts w:hint="eastAsia" w:ascii="宋体" w:hAnsi="宋体" w:cs="宋体"/>
          <w:sz w:val="24"/>
        </w:rPr>
      </w:pPr>
      <w:r>
        <w:rPr>
          <w:rFonts w:hint="eastAsia" w:ascii="宋体" w:hAnsi="宋体" w:cs="宋体"/>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ind w:firstLine="480" w:firstLineChars="200"/>
        <w:rPr>
          <w:rFonts w:hint="eastAsia" w:ascii="宋体" w:hAnsi="宋体" w:cs="宋体"/>
          <w:sz w:val="24"/>
        </w:rPr>
      </w:pPr>
      <w:r>
        <w:rPr>
          <w:rFonts w:hint="eastAsia" w:ascii="宋体" w:hAnsi="宋体" w:cs="宋体"/>
          <w:sz w:val="24"/>
        </w:rPr>
        <w:t>2、商务标（报价）30分（权值30%）</w:t>
      </w:r>
    </w:p>
    <w:p>
      <w:pPr>
        <w:spacing w:line="360" w:lineRule="auto"/>
        <w:ind w:firstLine="480" w:firstLineChars="200"/>
        <w:rPr>
          <w:rFonts w:hint="eastAsia" w:ascii="宋体" w:hAnsi="宋体" w:cs="宋体"/>
          <w:sz w:val="24"/>
        </w:rPr>
      </w:pPr>
      <w:r>
        <w:rPr>
          <w:rFonts w:hint="eastAsia" w:ascii="宋体" w:hAnsi="宋体" w:cs="宋体"/>
          <w:sz w:val="24"/>
        </w:rPr>
        <w:t>满足招标文件要求且报价最低的报价为评审基准价，其余投标人报价与该基准价对比，计算出商务报价评分值（保留小数2位）：</w:t>
      </w:r>
    </w:p>
    <w:p>
      <w:pPr>
        <w:spacing w:line="360" w:lineRule="auto"/>
        <w:ind w:firstLine="480" w:firstLineChars="200"/>
        <w:rPr>
          <w:rFonts w:hint="eastAsia" w:ascii="宋体" w:hAnsi="宋体" w:cs="宋体"/>
          <w:sz w:val="24"/>
        </w:rPr>
      </w:pPr>
      <w:r>
        <w:rPr>
          <w:rFonts w:hint="eastAsia" w:ascii="宋体" w:hAnsi="宋体" w:cs="宋体"/>
          <w:sz w:val="24"/>
        </w:rPr>
        <w:t>1）有效投标人的报价等于评审基准价时其报价分为满分30分；</w:t>
      </w:r>
    </w:p>
    <w:p>
      <w:pPr>
        <w:spacing w:line="360" w:lineRule="auto"/>
        <w:ind w:firstLine="480" w:firstLineChars="200"/>
        <w:rPr>
          <w:rFonts w:hint="eastAsia" w:ascii="宋体" w:hAnsi="宋体" w:cs="宋体"/>
          <w:sz w:val="24"/>
        </w:rPr>
      </w:pPr>
      <w:r>
        <w:rPr>
          <w:rFonts w:hint="eastAsia" w:ascii="宋体" w:hAnsi="宋体" w:cs="宋体"/>
          <w:sz w:val="24"/>
        </w:rPr>
        <w:t>2）其他投标人的价格分按以下公式计算：</w:t>
      </w:r>
    </w:p>
    <w:p>
      <w:pPr>
        <w:spacing w:line="360" w:lineRule="auto"/>
        <w:ind w:firstLine="480" w:firstLineChars="200"/>
        <w:rPr>
          <w:rFonts w:hint="eastAsia" w:ascii="宋体" w:hAnsi="宋体" w:cs="宋体"/>
          <w:sz w:val="24"/>
        </w:rPr>
      </w:pPr>
      <w:r>
        <w:rPr>
          <w:rFonts w:hint="eastAsia" w:ascii="宋体" w:hAnsi="宋体" w:cs="宋体"/>
          <w:sz w:val="24"/>
        </w:rPr>
        <w:t>报价得分=（评分基准价/投标人投标报价）× 价格权值 ×100（保留小数2位）</w:t>
      </w:r>
    </w:p>
    <w:p>
      <w:pPr>
        <w:spacing w:line="360" w:lineRule="auto"/>
        <w:rPr>
          <w:rFonts w:hint="eastAsia" w:ascii="宋体" w:hAnsi="宋体" w:cs="宋体"/>
          <w:sz w:val="24"/>
        </w:rPr>
      </w:pPr>
      <w:r>
        <w:rPr>
          <w:rFonts w:hint="eastAsia" w:ascii="宋体" w:hAnsi="宋体" w:cs="宋体"/>
          <w:sz w:val="24"/>
        </w:rPr>
        <w:t>3、有效投标人的综合得分为技术分和商务（报价）分的总和。</w:t>
      </w:r>
    </w:p>
    <w:p>
      <w:pPr>
        <w:spacing w:line="360" w:lineRule="auto"/>
        <w:rPr>
          <w:rFonts w:hint="eastAsia" w:ascii="宋体" w:hAnsi="宋体" w:cs="宋体"/>
          <w:sz w:val="24"/>
        </w:rPr>
      </w:pPr>
      <w:r>
        <w:rPr>
          <w:rFonts w:hint="eastAsia" w:ascii="宋体" w:hAnsi="宋体" w:cs="宋体"/>
          <w:sz w:val="24"/>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
        <w:rPr>
          <w:sz w:val="28"/>
          <w:szCs w:val="28"/>
        </w:rPr>
      </w:pPr>
      <w:r>
        <w:rPr>
          <w:rFonts w:hint="eastAsia"/>
          <w:sz w:val="28"/>
          <w:szCs w:val="28"/>
        </w:rPr>
        <w:t>七、附件</w:t>
      </w:r>
    </w:p>
    <w:p>
      <w:pPr>
        <w:spacing w:line="360" w:lineRule="auto"/>
        <w:rPr>
          <w:rFonts w:hint="eastAsia" w:ascii="宋体" w:hAnsi="宋体"/>
          <w:b/>
          <w:sz w:val="24"/>
        </w:rPr>
      </w:pPr>
      <w:r>
        <w:rPr>
          <w:rFonts w:hint="eastAsia" w:ascii="宋体" w:hAnsi="宋体"/>
          <w:b/>
          <w:sz w:val="24"/>
        </w:rPr>
        <w:t>1、技术评分：满分70分</w:t>
      </w:r>
    </w:p>
    <w:tbl>
      <w:tblPr>
        <w:tblStyle w:val="10"/>
        <w:tblW w:w="907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1554"/>
        <w:gridCol w:w="1298"/>
        <w:gridCol w:w="622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24" w:hRule="atLeast"/>
          <w:jc w:val="center"/>
        </w:trPr>
        <w:tc>
          <w:tcPr>
            <w:tcW w:w="1554" w:type="dxa"/>
            <w:shd w:val="clear" w:color="auto" w:fill="FFFFFF"/>
            <w:vAlign w:val="center"/>
          </w:tcPr>
          <w:p>
            <w:pPr>
              <w:spacing w:before="156" w:line="360" w:lineRule="auto"/>
              <w:rPr>
                <w:rFonts w:hint="eastAsia" w:ascii="宋体" w:hAnsi="宋体"/>
                <w:b/>
                <w:bCs/>
                <w:caps/>
                <w:szCs w:val="21"/>
              </w:rPr>
            </w:pPr>
            <w:r>
              <w:rPr>
                <w:rFonts w:hint="eastAsia" w:ascii="宋体" w:hAnsi="宋体"/>
                <w:b/>
                <w:bCs/>
                <w:caps/>
                <w:szCs w:val="21"/>
              </w:rPr>
              <w:t>内容</w:t>
            </w:r>
          </w:p>
        </w:tc>
        <w:tc>
          <w:tcPr>
            <w:tcW w:w="1298" w:type="dxa"/>
            <w:shd w:val="clear" w:color="auto" w:fill="FFFFFF"/>
            <w:vAlign w:val="center"/>
          </w:tcPr>
          <w:p>
            <w:pPr>
              <w:spacing w:before="156" w:line="360" w:lineRule="auto"/>
              <w:rPr>
                <w:rFonts w:hint="eastAsia" w:ascii="宋体" w:hAnsi="宋体"/>
                <w:b/>
                <w:bCs/>
                <w:caps/>
                <w:szCs w:val="21"/>
              </w:rPr>
            </w:pPr>
            <w:r>
              <w:rPr>
                <w:rFonts w:hint="eastAsia" w:ascii="宋体" w:hAnsi="宋体"/>
                <w:b/>
                <w:bCs/>
                <w:caps/>
                <w:szCs w:val="21"/>
              </w:rPr>
              <w:t>分值</w:t>
            </w:r>
          </w:p>
        </w:tc>
        <w:tc>
          <w:tcPr>
            <w:tcW w:w="6227" w:type="dxa"/>
            <w:shd w:val="clear" w:color="auto" w:fill="FFFFFF"/>
            <w:vAlign w:val="center"/>
          </w:tcPr>
          <w:p>
            <w:pPr>
              <w:spacing w:before="156" w:line="360" w:lineRule="auto"/>
              <w:rPr>
                <w:rFonts w:hint="eastAsia" w:ascii="宋体" w:hAnsi="宋体"/>
                <w:b/>
                <w:bCs/>
                <w:caps/>
                <w:szCs w:val="21"/>
              </w:rPr>
            </w:pPr>
            <w:r>
              <w:rPr>
                <w:rFonts w:hint="eastAsia" w:ascii="宋体" w:hAnsi="宋体"/>
                <w:b/>
                <w:bCs/>
                <w:caps/>
                <w:szCs w:val="21"/>
              </w:rPr>
              <w:t>评分细则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4" w:hRule="atLeast"/>
          <w:jc w:val="center"/>
        </w:trPr>
        <w:tc>
          <w:tcPr>
            <w:tcW w:w="1554" w:type="dxa"/>
            <w:vMerge w:val="restart"/>
            <w:shd w:val="clear" w:color="auto" w:fill="FFFFFF"/>
            <w:vAlign w:val="center"/>
          </w:tcPr>
          <w:p>
            <w:pPr>
              <w:spacing w:before="156" w:line="360" w:lineRule="auto"/>
              <w:rPr>
                <w:rFonts w:hint="eastAsia" w:ascii="宋体" w:hAnsi="宋体"/>
                <w:sz w:val="18"/>
                <w:szCs w:val="18"/>
              </w:rPr>
            </w:pPr>
          </w:p>
          <w:p>
            <w:pPr>
              <w:spacing w:before="156"/>
              <w:rPr>
                <w:rFonts w:hint="eastAsia" w:ascii="宋体" w:hAnsi="宋体"/>
                <w:sz w:val="18"/>
                <w:szCs w:val="18"/>
              </w:rPr>
            </w:pPr>
            <w:r>
              <w:rPr>
                <w:rFonts w:hint="eastAsia" w:ascii="宋体" w:hAnsi="宋体"/>
                <w:b/>
                <w:bCs/>
                <w:szCs w:val="21"/>
              </w:rPr>
              <w:t>资质部分</w:t>
            </w:r>
          </w:p>
        </w:tc>
        <w:tc>
          <w:tcPr>
            <w:tcW w:w="1298" w:type="dxa"/>
            <w:shd w:val="clear" w:color="auto" w:fill="FFFFFF"/>
            <w:vAlign w:val="center"/>
          </w:tcPr>
          <w:p>
            <w:pPr>
              <w:spacing w:before="156"/>
              <w:rPr>
                <w:rFonts w:hint="eastAsia" w:ascii="宋体" w:hAnsi="宋体"/>
                <w:szCs w:val="21"/>
              </w:rPr>
            </w:pPr>
            <w:r>
              <w:rPr>
                <w:rFonts w:hint="eastAsia" w:ascii="宋体" w:hAnsi="宋体"/>
                <w:szCs w:val="21"/>
              </w:rPr>
              <w:t>3</w:t>
            </w:r>
          </w:p>
        </w:tc>
        <w:tc>
          <w:tcPr>
            <w:tcW w:w="6227" w:type="dxa"/>
            <w:shd w:val="clear" w:color="auto" w:fill="FFFFFF"/>
            <w:vAlign w:val="center"/>
          </w:tcPr>
          <w:p>
            <w:pPr>
              <w:spacing w:before="156"/>
              <w:rPr>
                <w:rFonts w:hint="eastAsia" w:ascii="宋体" w:hAnsi="宋体"/>
                <w:szCs w:val="21"/>
              </w:rPr>
            </w:pPr>
            <w:r>
              <w:rPr>
                <w:rFonts w:hint="eastAsia" w:ascii="宋体" w:hAnsi="宋体"/>
                <w:szCs w:val="21"/>
              </w:rPr>
              <w:t>投标人已取得ISO9001质量管理体系认证证书3分；没有不得分(提供复印件)；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54" w:type="dxa"/>
            <w:vMerge w:val="continue"/>
            <w:shd w:val="clear" w:color="auto" w:fill="FFFFFF"/>
            <w:vAlign w:val="center"/>
          </w:tcPr>
          <w:p>
            <w:pPr>
              <w:spacing w:before="156" w:line="360" w:lineRule="auto"/>
              <w:rPr>
                <w:rFonts w:hint="eastAsia" w:ascii="宋体" w:hAnsi="宋体"/>
                <w:sz w:val="18"/>
                <w:szCs w:val="18"/>
              </w:rPr>
            </w:pPr>
          </w:p>
        </w:tc>
        <w:tc>
          <w:tcPr>
            <w:tcW w:w="1298" w:type="dxa"/>
            <w:shd w:val="clear" w:color="auto" w:fill="FFFFFF"/>
            <w:vAlign w:val="center"/>
          </w:tcPr>
          <w:p>
            <w:pPr>
              <w:spacing w:before="156"/>
              <w:rPr>
                <w:rFonts w:hint="eastAsia" w:ascii="宋体" w:hAnsi="宋体"/>
                <w:szCs w:val="21"/>
              </w:rPr>
            </w:pPr>
            <w:r>
              <w:rPr>
                <w:rFonts w:hint="eastAsia" w:ascii="宋体" w:hAnsi="宋体"/>
                <w:szCs w:val="21"/>
              </w:rPr>
              <w:t>3</w:t>
            </w:r>
          </w:p>
        </w:tc>
        <w:tc>
          <w:tcPr>
            <w:tcW w:w="6227" w:type="dxa"/>
            <w:shd w:val="clear" w:color="auto" w:fill="FFFFFF"/>
            <w:vAlign w:val="center"/>
          </w:tcPr>
          <w:p>
            <w:pPr>
              <w:spacing w:before="156"/>
              <w:rPr>
                <w:rFonts w:hint="eastAsia" w:ascii="宋体" w:hAnsi="宋体"/>
                <w:szCs w:val="21"/>
              </w:rPr>
            </w:pPr>
            <w:r>
              <w:rPr>
                <w:rFonts w:hint="eastAsia" w:ascii="宋体" w:hAnsi="宋体"/>
                <w:szCs w:val="21"/>
              </w:rPr>
              <w:t>投标人已取得省级“守合同重信用”企业证书3分；没有不得分(提供复印件)；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554" w:type="dxa"/>
            <w:vMerge w:val="continue"/>
            <w:shd w:val="clear" w:color="auto" w:fill="FFFFFF"/>
            <w:vAlign w:val="center"/>
          </w:tcPr>
          <w:p>
            <w:pPr>
              <w:spacing w:before="156" w:line="360" w:lineRule="auto"/>
              <w:rPr>
                <w:rFonts w:hint="eastAsia" w:ascii="宋体" w:hAnsi="宋体"/>
                <w:sz w:val="18"/>
                <w:szCs w:val="18"/>
              </w:rPr>
            </w:pPr>
          </w:p>
        </w:tc>
        <w:tc>
          <w:tcPr>
            <w:tcW w:w="1298" w:type="dxa"/>
            <w:shd w:val="clear" w:color="auto" w:fill="FFFFFF"/>
            <w:vAlign w:val="center"/>
          </w:tcPr>
          <w:p>
            <w:pPr>
              <w:spacing w:before="156"/>
              <w:rPr>
                <w:rFonts w:hint="eastAsia" w:ascii="宋体" w:hAnsi="宋体"/>
                <w:szCs w:val="21"/>
              </w:rPr>
            </w:pPr>
            <w:r>
              <w:rPr>
                <w:rFonts w:hint="eastAsia" w:ascii="宋体" w:hAnsi="宋体"/>
                <w:szCs w:val="21"/>
              </w:rPr>
              <w:t>3</w:t>
            </w:r>
          </w:p>
        </w:tc>
        <w:tc>
          <w:tcPr>
            <w:tcW w:w="6227" w:type="dxa"/>
            <w:shd w:val="clear" w:color="auto" w:fill="FFFFFF"/>
            <w:vAlign w:val="center"/>
          </w:tcPr>
          <w:p>
            <w:pPr>
              <w:spacing w:before="156"/>
              <w:rPr>
                <w:rFonts w:hint="eastAsia" w:ascii="宋体" w:hAnsi="宋体"/>
                <w:szCs w:val="21"/>
              </w:rPr>
            </w:pPr>
            <w:r>
              <w:rPr>
                <w:rFonts w:hint="eastAsia" w:ascii="宋体" w:hAnsi="宋体"/>
                <w:szCs w:val="21"/>
              </w:rPr>
              <w:t>投标人已取得院感监控系统软件著作权登记证书3分；，没有不得分(提供复印件)；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554" w:type="dxa"/>
            <w:vMerge w:val="continue"/>
            <w:shd w:val="clear" w:color="auto" w:fill="FFFFFF"/>
            <w:vAlign w:val="center"/>
          </w:tcPr>
          <w:p>
            <w:pPr>
              <w:spacing w:before="156" w:line="360" w:lineRule="auto"/>
              <w:rPr>
                <w:rFonts w:hint="eastAsia" w:ascii="宋体" w:hAnsi="宋体"/>
                <w:sz w:val="18"/>
                <w:szCs w:val="18"/>
              </w:rPr>
            </w:pPr>
          </w:p>
        </w:tc>
        <w:tc>
          <w:tcPr>
            <w:tcW w:w="1298" w:type="dxa"/>
            <w:shd w:val="clear" w:color="auto" w:fill="FFFFFF"/>
            <w:vAlign w:val="center"/>
          </w:tcPr>
          <w:p>
            <w:pPr>
              <w:spacing w:before="156"/>
              <w:rPr>
                <w:rFonts w:hint="eastAsia" w:ascii="宋体" w:hAnsi="宋体"/>
                <w:szCs w:val="21"/>
              </w:rPr>
            </w:pPr>
            <w:r>
              <w:rPr>
                <w:rFonts w:hint="eastAsia" w:ascii="宋体" w:hAnsi="宋体"/>
                <w:szCs w:val="21"/>
              </w:rPr>
              <w:t>9</w:t>
            </w:r>
          </w:p>
        </w:tc>
        <w:tc>
          <w:tcPr>
            <w:tcW w:w="6227" w:type="dxa"/>
            <w:shd w:val="clear" w:color="auto" w:fill="FFFFFF"/>
            <w:vAlign w:val="center"/>
          </w:tcPr>
          <w:p>
            <w:pPr>
              <w:spacing w:before="156"/>
              <w:rPr>
                <w:rFonts w:hint="eastAsia" w:ascii="宋体" w:hAnsi="宋体"/>
                <w:szCs w:val="21"/>
              </w:rPr>
            </w:pPr>
            <w:r>
              <w:rPr>
                <w:rFonts w:hint="eastAsia" w:ascii="宋体" w:hAnsi="宋体"/>
                <w:szCs w:val="21"/>
              </w:rPr>
              <w:t>提供项目团队人员的数量、专业素质、技术能力，相关类似项目对应的服务经验，项目组人员工作履历、服务单位证明材料等情况：有软考高级证书，有一个证书等3分；</w:t>
            </w:r>
          </w:p>
          <w:p>
            <w:pPr>
              <w:spacing w:before="156"/>
              <w:rPr>
                <w:rFonts w:hint="eastAsia" w:ascii="宋体" w:hAnsi="宋体"/>
                <w:szCs w:val="21"/>
              </w:rPr>
            </w:pPr>
            <w:r>
              <w:rPr>
                <w:rFonts w:hint="eastAsia" w:ascii="宋体" w:hAnsi="宋体"/>
                <w:szCs w:val="21"/>
              </w:rPr>
              <w:t>有软考中级证书，有一个证书等2分；</w:t>
            </w:r>
          </w:p>
          <w:p>
            <w:pPr>
              <w:spacing w:before="156"/>
              <w:rPr>
                <w:rFonts w:hint="eastAsia" w:ascii="宋体" w:hAnsi="宋体"/>
                <w:szCs w:val="21"/>
              </w:rPr>
            </w:pPr>
            <w:r>
              <w:rPr>
                <w:rFonts w:hint="eastAsia" w:ascii="宋体" w:hAnsi="宋体"/>
                <w:szCs w:val="21"/>
              </w:rPr>
              <w:t>有软考初级证书，有一个证书等1分；</w:t>
            </w:r>
          </w:p>
          <w:p>
            <w:pPr>
              <w:spacing w:before="156"/>
              <w:rPr>
                <w:rFonts w:hint="eastAsia" w:ascii="宋体" w:hAnsi="宋体"/>
                <w:szCs w:val="21"/>
              </w:rPr>
            </w:pPr>
            <w:r>
              <w:rPr>
                <w:rFonts w:hint="eastAsia" w:ascii="宋体" w:hAnsi="宋体"/>
                <w:szCs w:val="21"/>
              </w:rPr>
              <w:t>每个人员不能重复得分，最高得9分；(提供3月以上社保证明及证书复印件)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554" w:type="dxa"/>
            <w:vMerge w:val="continue"/>
            <w:shd w:val="clear" w:color="auto" w:fill="FFFFFF"/>
            <w:vAlign w:val="center"/>
          </w:tcPr>
          <w:p>
            <w:pPr>
              <w:spacing w:before="156" w:line="360" w:lineRule="auto"/>
              <w:rPr>
                <w:rFonts w:hint="eastAsia" w:ascii="宋体" w:hAnsi="宋体"/>
                <w:sz w:val="18"/>
                <w:szCs w:val="18"/>
              </w:rPr>
            </w:pPr>
          </w:p>
        </w:tc>
        <w:tc>
          <w:tcPr>
            <w:tcW w:w="1298" w:type="dxa"/>
            <w:shd w:val="clear" w:color="auto" w:fill="FFFFFF"/>
            <w:vAlign w:val="center"/>
          </w:tcPr>
          <w:p>
            <w:pPr>
              <w:spacing w:before="156"/>
              <w:rPr>
                <w:rFonts w:hint="eastAsia" w:ascii="宋体" w:hAnsi="宋体"/>
                <w:szCs w:val="21"/>
              </w:rPr>
            </w:pPr>
            <w:r>
              <w:rPr>
                <w:rFonts w:hint="eastAsia" w:ascii="宋体" w:hAnsi="宋体"/>
                <w:szCs w:val="21"/>
              </w:rPr>
              <w:t>3</w:t>
            </w:r>
          </w:p>
        </w:tc>
        <w:tc>
          <w:tcPr>
            <w:tcW w:w="6227" w:type="dxa"/>
            <w:shd w:val="clear" w:color="auto" w:fill="FFFFFF"/>
            <w:vAlign w:val="center"/>
          </w:tcPr>
          <w:p>
            <w:pPr>
              <w:spacing w:before="156"/>
              <w:rPr>
                <w:rFonts w:hint="eastAsia" w:ascii="宋体" w:hAnsi="宋体"/>
                <w:szCs w:val="21"/>
              </w:rPr>
            </w:pPr>
            <w:r>
              <w:rPr>
                <w:rFonts w:hint="eastAsia" w:ascii="宋体" w:hAnsi="宋体" w:cs="微软雅黑"/>
                <w:szCs w:val="21"/>
              </w:rPr>
              <w:t>投标人提供20</w:t>
            </w:r>
            <w:r>
              <w:rPr>
                <w:rFonts w:ascii="宋体" w:hAnsi="宋体" w:cs="微软雅黑"/>
                <w:szCs w:val="21"/>
              </w:rPr>
              <w:t>21</w:t>
            </w:r>
            <w:r>
              <w:rPr>
                <w:rFonts w:hint="eastAsia" w:ascii="宋体" w:hAnsi="宋体" w:cs="微软雅黑"/>
                <w:szCs w:val="21"/>
              </w:rPr>
              <w:t>年1月1日以来的类似案例业绩，每提供1个业绩得1分，最高得3分（提供合同复印件加盖公章</w:t>
            </w:r>
            <w:r>
              <w:rPr>
                <w:rFonts w:ascii="宋体" w:hAnsi="宋体" w:cs="微软雅黑"/>
                <w:szCs w:val="21"/>
              </w:rPr>
              <w:t>，不提供不得分</w:t>
            </w:r>
            <w:r>
              <w:rPr>
                <w:rFonts w:hint="eastAsia" w:ascii="宋体" w:hAnsi="宋体" w:cs="微软雅黑"/>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54" w:type="dxa"/>
            <w:vMerge w:val="restart"/>
            <w:shd w:val="clear" w:color="auto" w:fill="FFFFFF"/>
            <w:vAlign w:val="center"/>
          </w:tcPr>
          <w:p>
            <w:pPr>
              <w:spacing w:before="156"/>
              <w:rPr>
                <w:rFonts w:hint="eastAsia" w:ascii="宋体" w:hAnsi="宋体"/>
                <w:sz w:val="18"/>
                <w:szCs w:val="18"/>
              </w:rPr>
            </w:pPr>
            <w:r>
              <w:rPr>
                <w:rFonts w:ascii="宋体" w:hAnsi="宋体"/>
                <w:b/>
                <w:bCs/>
                <w:szCs w:val="21"/>
              </w:rPr>
              <w:t>技术部分</w:t>
            </w:r>
          </w:p>
        </w:tc>
        <w:tc>
          <w:tcPr>
            <w:tcW w:w="1298" w:type="dxa"/>
            <w:shd w:val="clear" w:color="auto" w:fill="FFFFFF"/>
            <w:vAlign w:val="center"/>
          </w:tcPr>
          <w:p>
            <w:pPr>
              <w:spacing w:before="156"/>
              <w:rPr>
                <w:rFonts w:hint="eastAsia" w:ascii="宋体" w:hAnsi="宋体"/>
                <w:szCs w:val="21"/>
              </w:rPr>
            </w:pPr>
            <w:r>
              <w:rPr>
                <w:rFonts w:hint="eastAsia" w:ascii="宋体" w:hAnsi="宋体"/>
                <w:szCs w:val="21"/>
              </w:rPr>
              <w:t>18</w:t>
            </w:r>
          </w:p>
        </w:tc>
        <w:tc>
          <w:tcPr>
            <w:tcW w:w="6227" w:type="dxa"/>
            <w:shd w:val="clear" w:color="auto" w:fill="FFFFFF"/>
            <w:vAlign w:val="center"/>
          </w:tcPr>
          <w:p>
            <w:pPr>
              <w:spacing w:before="156"/>
              <w:rPr>
                <w:rFonts w:hint="eastAsia" w:ascii="宋体" w:hAnsi="宋体"/>
                <w:szCs w:val="21"/>
              </w:rPr>
            </w:pPr>
            <w:r>
              <w:rPr>
                <w:rFonts w:hint="eastAsia"/>
                <w:szCs w:val="21"/>
              </w:rPr>
              <w:t>所供的技术参数均能满足招标文件性能指标及技术参数要求的得18分，有负偏离或缺漏项的每项扣2分，本项扣至0分为止。（需提供截图，未提供视为负偏离）</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554" w:type="dxa"/>
            <w:vMerge w:val="continue"/>
            <w:shd w:val="clear" w:color="auto" w:fill="FFFFFF"/>
            <w:vAlign w:val="center"/>
          </w:tcPr>
          <w:p>
            <w:pPr>
              <w:spacing w:before="156"/>
              <w:rPr>
                <w:rFonts w:hint="eastAsia" w:ascii="宋体" w:hAnsi="宋体"/>
                <w:sz w:val="18"/>
                <w:szCs w:val="18"/>
              </w:rPr>
            </w:pPr>
          </w:p>
        </w:tc>
        <w:tc>
          <w:tcPr>
            <w:tcW w:w="1298" w:type="dxa"/>
            <w:shd w:val="clear" w:color="auto" w:fill="FFFFFF"/>
            <w:vAlign w:val="center"/>
          </w:tcPr>
          <w:p>
            <w:pPr>
              <w:spacing w:before="156"/>
              <w:rPr>
                <w:rFonts w:hint="eastAsia" w:ascii="宋体" w:hAnsi="宋体"/>
                <w:szCs w:val="21"/>
              </w:rPr>
            </w:pPr>
            <w:r>
              <w:rPr>
                <w:rFonts w:hint="eastAsia" w:ascii="宋体" w:hAnsi="宋体"/>
                <w:szCs w:val="21"/>
              </w:rPr>
              <w:t>16</w:t>
            </w:r>
          </w:p>
        </w:tc>
        <w:tc>
          <w:tcPr>
            <w:tcW w:w="6227" w:type="dxa"/>
            <w:shd w:val="clear" w:color="auto" w:fill="FFFFFF"/>
            <w:vAlign w:val="center"/>
          </w:tcPr>
          <w:p>
            <w:pPr>
              <w:spacing w:before="156"/>
              <w:rPr>
                <w:rFonts w:hint="eastAsia" w:ascii="宋体" w:hAnsi="宋体"/>
                <w:szCs w:val="21"/>
              </w:rPr>
            </w:pPr>
            <w:r>
              <w:rPr>
                <w:rFonts w:hint="eastAsia" w:ascii="宋体" w:hAnsi="宋体"/>
                <w:szCs w:val="21"/>
              </w:rPr>
              <w:t>根据投标人的工期响应速度打分（0-16分）</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554" w:type="dxa"/>
            <w:vMerge w:val="continue"/>
            <w:shd w:val="clear" w:color="auto" w:fill="FFFFFF"/>
            <w:vAlign w:val="center"/>
          </w:tcPr>
          <w:p>
            <w:pPr>
              <w:spacing w:before="156"/>
              <w:rPr>
                <w:rFonts w:hint="eastAsia" w:ascii="宋体" w:hAnsi="宋体"/>
                <w:sz w:val="18"/>
                <w:szCs w:val="18"/>
              </w:rPr>
            </w:pPr>
          </w:p>
        </w:tc>
        <w:tc>
          <w:tcPr>
            <w:tcW w:w="1298" w:type="dxa"/>
            <w:shd w:val="clear" w:color="auto" w:fill="FFFFFF"/>
            <w:vAlign w:val="center"/>
          </w:tcPr>
          <w:p>
            <w:pPr>
              <w:spacing w:before="156"/>
              <w:rPr>
                <w:rFonts w:hint="eastAsia" w:ascii="宋体" w:hAnsi="宋体"/>
                <w:szCs w:val="21"/>
              </w:rPr>
            </w:pPr>
            <w:r>
              <w:rPr>
                <w:rFonts w:hint="eastAsia" w:ascii="宋体" w:hAnsi="宋体"/>
                <w:szCs w:val="21"/>
              </w:rPr>
              <w:t>15</w:t>
            </w:r>
          </w:p>
        </w:tc>
        <w:tc>
          <w:tcPr>
            <w:tcW w:w="6227" w:type="dxa"/>
            <w:shd w:val="clear" w:color="auto" w:fill="FFFFFF"/>
            <w:vAlign w:val="center"/>
          </w:tcPr>
          <w:p>
            <w:pPr>
              <w:spacing w:before="156"/>
              <w:rPr>
                <w:rFonts w:hint="eastAsia" w:ascii="宋体" w:hAnsi="宋体"/>
                <w:szCs w:val="21"/>
              </w:rPr>
            </w:pPr>
            <w:r>
              <w:rPr>
                <w:rFonts w:hint="eastAsia" w:ascii="宋体" w:hAnsi="宋体" w:cs="宋体"/>
                <w:color w:val="000000"/>
                <w:kern w:val="0"/>
                <w:szCs w:val="21"/>
                <w:lang w:bidi="ar"/>
              </w:rPr>
              <w:t>投标人项目组织实施方案的科学性、合理性、规范性和可操作性，包括安装调试、组织机构、工作时间进度表、工作程序和步骤、管理和协调方法等。</w:t>
            </w:r>
            <w:r>
              <w:rPr>
                <w:rFonts w:hint="eastAsia" w:ascii="宋体" w:hAnsi="宋体"/>
                <w:szCs w:val="21"/>
              </w:rPr>
              <w:t>（0-15分）</w:t>
            </w:r>
          </w:p>
        </w:tc>
      </w:tr>
    </w:tbl>
    <w:p>
      <w:pPr>
        <w:rPr>
          <w:rFonts w:hint="eastAsia" w:ascii="宋体" w:hAnsi="宋体" w:cs="宋体"/>
          <w:b/>
          <w:bCs/>
          <w:sz w:val="22"/>
          <w:szCs w:val="22"/>
        </w:rPr>
      </w:pPr>
    </w:p>
    <w:p>
      <w:pPr>
        <w:numPr>
          <w:ilvl w:val="0"/>
          <w:numId w:val="2"/>
        </w:numPr>
        <w:rPr>
          <w:rFonts w:hint="eastAsia" w:ascii="宋体" w:hAnsi="宋体" w:cs="宋体"/>
          <w:b/>
          <w:bCs/>
          <w:sz w:val="24"/>
        </w:rPr>
      </w:pPr>
      <w:r>
        <w:rPr>
          <w:rFonts w:hint="eastAsia" w:ascii="宋体" w:hAnsi="宋体" w:cs="宋体"/>
          <w:b/>
          <w:bCs/>
          <w:sz w:val="24"/>
        </w:rPr>
        <w:t>价格评分：满分30分</w:t>
      </w:r>
    </w:p>
    <w:p>
      <w:pPr>
        <w:tabs>
          <w:tab w:val="left" w:pos="774"/>
        </w:tabs>
        <w:autoSpaceDE w:val="0"/>
        <w:autoSpaceDN w:val="0"/>
        <w:spacing w:before="240" w:line="276" w:lineRule="auto"/>
        <w:ind w:left="774" w:hanging="576"/>
        <w:jc w:val="center"/>
        <w:outlineLvl w:val="2"/>
        <w:rPr>
          <w:rFonts w:hint="eastAsia" w:ascii="宋体" w:hAnsi="宋体" w:cs="宋体"/>
          <w:b/>
          <w:sz w:val="28"/>
          <w:szCs w:val="28"/>
          <w:lang w:val="zh-CN"/>
        </w:rPr>
      </w:pPr>
      <w:bookmarkStart w:id="5" w:name="_Toc8618"/>
      <w:bookmarkStart w:id="6" w:name="_Toc11964"/>
      <w:r>
        <w:rPr>
          <w:rFonts w:hint="eastAsia" w:ascii="宋体" w:hAnsi="宋体" w:cs="宋体"/>
          <w:b/>
          <w:sz w:val="28"/>
          <w:szCs w:val="28"/>
          <w:lang w:val="zh-CN"/>
        </w:rPr>
        <w:t>报价一览表</w:t>
      </w:r>
      <w:bookmarkEnd w:id="5"/>
      <w:bookmarkEnd w:id="6"/>
    </w:p>
    <w:p>
      <w:pPr>
        <w:spacing w:line="360" w:lineRule="auto"/>
        <w:rPr>
          <w:rFonts w:hint="eastAsia" w:ascii="宋体" w:hAnsi="宋体" w:cs="宋体"/>
          <w:sz w:val="22"/>
          <w:szCs w:val="18"/>
        </w:rPr>
      </w:pPr>
      <w:r>
        <w:rPr>
          <w:rFonts w:hint="eastAsia" w:ascii="宋体" w:hAnsi="宋体" w:cs="宋体"/>
          <w:sz w:val="24"/>
        </w:rPr>
        <w:t>项目名称：</w:t>
      </w:r>
      <w:r>
        <w:rPr>
          <w:rFonts w:hint="eastAsia" w:ascii="宋体" w:hAnsi="宋体" w:cs="宋体"/>
          <w:sz w:val="24"/>
          <w:lang w:eastAsia="zh-Hans"/>
        </w:rPr>
        <w:t>温州市中医院</w:t>
      </w:r>
      <w:r>
        <w:rPr>
          <w:rFonts w:hint="eastAsia" w:ascii="宋体" w:hAnsi="宋体" w:cs="宋体"/>
          <w:sz w:val="24"/>
        </w:rPr>
        <w:t xml:space="preserve">院感系统接口改造服务   </w:t>
      </w:r>
      <w:r>
        <w:rPr>
          <w:rFonts w:hint="eastAsia" w:ascii="宋体" w:hAnsi="宋体" w:cs="宋体"/>
          <w:sz w:val="22"/>
          <w:szCs w:val="18"/>
        </w:rPr>
        <w:t xml:space="preserve">                          </w:t>
      </w:r>
    </w:p>
    <w:tbl>
      <w:tblPr>
        <w:tblStyle w:val="10"/>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3819"/>
        <w:gridCol w:w="2826"/>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35" w:type="dxa"/>
            <w:vAlign w:val="center"/>
          </w:tcPr>
          <w:p>
            <w:pPr>
              <w:spacing w:line="380" w:lineRule="exact"/>
              <w:jc w:val="center"/>
              <w:rPr>
                <w:rFonts w:hint="eastAsia" w:ascii="宋体" w:hAnsi="宋体" w:cs="宋体"/>
                <w:sz w:val="22"/>
              </w:rPr>
            </w:pPr>
            <w:r>
              <w:rPr>
                <w:rFonts w:hint="eastAsia" w:ascii="宋体" w:hAnsi="宋体" w:cs="宋体"/>
                <w:sz w:val="22"/>
              </w:rPr>
              <w:t>序号</w:t>
            </w:r>
          </w:p>
        </w:tc>
        <w:tc>
          <w:tcPr>
            <w:tcW w:w="3819" w:type="dxa"/>
            <w:vAlign w:val="center"/>
          </w:tcPr>
          <w:p>
            <w:pPr>
              <w:spacing w:line="380" w:lineRule="exact"/>
              <w:jc w:val="center"/>
              <w:rPr>
                <w:rFonts w:hint="eastAsia" w:ascii="宋体" w:hAnsi="宋体" w:cs="宋体"/>
                <w:sz w:val="22"/>
              </w:rPr>
            </w:pPr>
            <w:r>
              <w:rPr>
                <w:rFonts w:hint="eastAsia" w:ascii="宋体" w:hAnsi="宋体" w:cs="宋体"/>
                <w:bCs/>
                <w:sz w:val="22"/>
                <w:szCs w:val="22"/>
              </w:rPr>
              <w:t>项目名称</w:t>
            </w:r>
          </w:p>
        </w:tc>
        <w:tc>
          <w:tcPr>
            <w:tcW w:w="2826" w:type="dxa"/>
            <w:vAlign w:val="center"/>
          </w:tcPr>
          <w:p>
            <w:pPr>
              <w:spacing w:line="380" w:lineRule="exact"/>
              <w:jc w:val="center"/>
              <w:rPr>
                <w:rFonts w:hint="eastAsia" w:ascii="宋体" w:hAnsi="宋体" w:cs="宋体"/>
                <w:sz w:val="22"/>
              </w:rPr>
            </w:pPr>
            <w:r>
              <w:rPr>
                <w:rFonts w:hint="eastAsia" w:ascii="宋体" w:hAnsi="宋体" w:cs="宋体"/>
                <w:bCs/>
                <w:sz w:val="22"/>
                <w:szCs w:val="22"/>
              </w:rPr>
              <w:t>报价（人民币元）</w:t>
            </w:r>
          </w:p>
        </w:tc>
        <w:tc>
          <w:tcPr>
            <w:tcW w:w="1747" w:type="dxa"/>
            <w:vAlign w:val="center"/>
          </w:tcPr>
          <w:p>
            <w:pPr>
              <w:spacing w:line="380" w:lineRule="exact"/>
              <w:jc w:val="center"/>
              <w:rPr>
                <w:rFonts w:hint="eastAsia"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35" w:type="dxa"/>
            <w:vMerge w:val="restart"/>
            <w:vAlign w:val="center"/>
          </w:tcPr>
          <w:p>
            <w:pPr>
              <w:spacing w:line="380" w:lineRule="exact"/>
              <w:jc w:val="center"/>
              <w:rPr>
                <w:rFonts w:hint="eastAsia" w:ascii="宋体" w:hAnsi="宋体" w:cs="宋体"/>
                <w:sz w:val="22"/>
              </w:rPr>
            </w:pPr>
            <w:r>
              <w:rPr>
                <w:rFonts w:hint="eastAsia" w:ascii="宋体" w:hAnsi="宋体" w:cs="宋体"/>
                <w:sz w:val="22"/>
              </w:rPr>
              <w:t>1</w:t>
            </w:r>
          </w:p>
        </w:tc>
        <w:tc>
          <w:tcPr>
            <w:tcW w:w="3819" w:type="dxa"/>
            <w:vMerge w:val="restart"/>
            <w:vAlign w:val="center"/>
          </w:tcPr>
          <w:p>
            <w:pPr>
              <w:spacing w:line="380" w:lineRule="exact"/>
              <w:jc w:val="center"/>
              <w:rPr>
                <w:rFonts w:hint="eastAsia" w:ascii="宋体" w:hAnsi="宋体" w:cs="宋体"/>
                <w:sz w:val="22"/>
              </w:rPr>
            </w:pPr>
            <w:r>
              <w:rPr>
                <w:rFonts w:hint="eastAsia" w:ascii="宋体" w:hAnsi="宋体" w:cs="宋体"/>
                <w:sz w:val="22"/>
              </w:rPr>
              <w:t>温州市中医院院感系统接口改造服务</w:t>
            </w:r>
          </w:p>
        </w:tc>
        <w:tc>
          <w:tcPr>
            <w:tcW w:w="2826" w:type="dxa"/>
            <w:vAlign w:val="center"/>
          </w:tcPr>
          <w:p>
            <w:pPr>
              <w:spacing w:line="380" w:lineRule="exact"/>
              <w:rPr>
                <w:rFonts w:hint="eastAsia" w:ascii="宋体" w:hAnsi="宋体" w:cs="宋体"/>
                <w:sz w:val="22"/>
              </w:rPr>
            </w:pPr>
            <w:r>
              <w:rPr>
                <w:rFonts w:hint="eastAsia" w:ascii="宋体" w:hAnsi="宋体" w:cs="宋体"/>
                <w:sz w:val="22"/>
              </w:rPr>
              <w:t>大写：</w:t>
            </w:r>
          </w:p>
        </w:tc>
        <w:tc>
          <w:tcPr>
            <w:tcW w:w="1747" w:type="dxa"/>
            <w:vMerge w:val="restart"/>
            <w:vAlign w:val="center"/>
          </w:tcPr>
          <w:p>
            <w:pPr>
              <w:spacing w:line="38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35" w:type="dxa"/>
            <w:vMerge w:val="continue"/>
            <w:vAlign w:val="center"/>
          </w:tcPr>
          <w:p>
            <w:pPr>
              <w:spacing w:line="380" w:lineRule="exact"/>
              <w:jc w:val="center"/>
              <w:rPr>
                <w:rFonts w:hint="eastAsia" w:ascii="宋体" w:hAnsi="宋体" w:cs="宋体"/>
                <w:sz w:val="22"/>
              </w:rPr>
            </w:pPr>
          </w:p>
        </w:tc>
        <w:tc>
          <w:tcPr>
            <w:tcW w:w="3819" w:type="dxa"/>
            <w:vMerge w:val="continue"/>
            <w:vAlign w:val="center"/>
          </w:tcPr>
          <w:p>
            <w:pPr>
              <w:spacing w:line="380" w:lineRule="exact"/>
              <w:jc w:val="center"/>
              <w:rPr>
                <w:rFonts w:hint="eastAsia" w:ascii="宋体" w:hAnsi="宋体" w:cs="宋体"/>
                <w:sz w:val="22"/>
              </w:rPr>
            </w:pPr>
          </w:p>
        </w:tc>
        <w:tc>
          <w:tcPr>
            <w:tcW w:w="2826" w:type="dxa"/>
            <w:vAlign w:val="center"/>
          </w:tcPr>
          <w:p>
            <w:pPr>
              <w:spacing w:line="380" w:lineRule="exact"/>
              <w:rPr>
                <w:rFonts w:hint="eastAsia" w:ascii="宋体" w:hAnsi="宋体" w:cs="宋体"/>
                <w:sz w:val="22"/>
              </w:rPr>
            </w:pPr>
            <w:r>
              <w:rPr>
                <w:rFonts w:hint="eastAsia" w:ascii="宋体" w:hAnsi="宋体" w:cs="宋体"/>
                <w:sz w:val="22"/>
              </w:rPr>
              <w:t>小写：</w:t>
            </w:r>
          </w:p>
        </w:tc>
        <w:tc>
          <w:tcPr>
            <w:tcW w:w="1747" w:type="dxa"/>
            <w:vMerge w:val="continue"/>
            <w:vAlign w:val="center"/>
          </w:tcPr>
          <w:p>
            <w:pPr>
              <w:spacing w:line="380" w:lineRule="exact"/>
              <w:jc w:val="center"/>
              <w:rPr>
                <w:rFonts w:hint="eastAsia" w:ascii="宋体" w:hAnsi="宋体" w:cs="宋体"/>
                <w:sz w:val="22"/>
              </w:rPr>
            </w:pPr>
          </w:p>
        </w:tc>
      </w:tr>
    </w:tbl>
    <w:p>
      <w:pPr>
        <w:spacing w:line="450" w:lineRule="exact"/>
        <w:ind w:firstLine="541" w:firstLineChars="245"/>
        <w:rPr>
          <w:rFonts w:hint="eastAsia" w:ascii="宋体" w:hAnsi="宋体" w:cs="宋体"/>
          <w:b/>
          <w:sz w:val="22"/>
        </w:rPr>
      </w:pPr>
    </w:p>
    <w:p>
      <w:pPr>
        <w:rPr>
          <w:rFonts w:hint="eastAsia" w:ascii="宋体" w:hAnsi="宋体" w:cs="宋体"/>
          <w:b/>
          <w:sz w:val="22"/>
        </w:rPr>
      </w:pPr>
      <w:r>
        <w:rPr>
          <w:rFonts w:hint="eastAsia" w:ascii="宋体" w:hAnsi="宋体" w:cs="宋体"/>
          <w:b/>
          <w:sz w:val="22"/>
        </w:rPr>
        <w:t>说明：</w:t>
      </w:r>
    </w:p>
    <w:p>
      <w:pPr>
        <w:spacing w:line="360" w:lineRule="auto"/>
        <w:ind w:firstLine="442" w:firstLineChars="200"/>
        <w:rPr>
          <w:rFonts w:hint="eastAsia" w:ascii="宋体" w:hAnsi="宋体" w:cs="宋体"/>
          <w:b/>
          <w:sz w:val="22"/>
        </w:rPr>
      </w:pPr>
      <w:r>
        <w:rPr>
          <w:rFonts w:hint="eastAsia" w:ascii="宋体" w:hAnsi="宋体" w:cs="宋体"/>
          <w:b/>
          <w:sz w:val="22"/>
        </w:rPr>
        <w:t>1、全部报价均为税后价。</w:t>
      </w:r>
    </w:p>
    <w:p>
      <w:pPr>
        <w:pStyle w:val="2"/>
        <w:ind w:firstLine="442" w:firstLineChars="200"/>
        <w:rPr>
          <w:sz w:val="22"/>
          <w:szCs w:val="22"/>
        </w:rPr>
      </w:pPr>
      <w:r>
        <w:rPr>
          <w:rFonts w:hint="eastAsia"/>
          <w:sz w:val="22"/>
          <w:szCs w:val="22"/>
        </w:rPr>
        <w:t>2、投标总价应包括本项目整个服务期所需的一切设备、材料、软硬件、人工、工具、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ind w:firstLine="442" w:firstLineChars="200"/>
        <w:rPr>
          <w:rFonts w:hint="eastAsia" w:hAnsi="宋体" w:cs="宋体"/>
          <w:sz w:val="22"/>
        </w:rPr>
      </w:pPr>
      <w:r>
        <w:rPr>
          <w:rFonts w:hint="eastAsia" w:hAnsi="宋体" w:cs="宋体"/>
          <w:sz w:val="22"/>
        </w:rPr>
        <w:t>3、不提供此表格将被视为没有实质性响应文件。</w:t>
      </w:r>
    </w:p>
    <w:p>
      <w:pPr>
        <w:ind w:firstLine="442" w:firstLineChars="200"/>
      </w:pPr>
      <w:r>
        <w:rPr>
          <w:rFonts w:hint="eastAsia" w:ascii="宋体" w:hAnsi="宋体" w:cs="宋体"/>
          <w:b/>
          <w:sz w:val="22"/>
        </w:rPr>
        <w:t>4、报价超过预算金额按无效标处理。</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供应商全称（盖章）：</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供应商代表（签字）：</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日  期：   </w:t>
      </w:r>
    </w:p>
    <w:p>
      <w:pPr>
        <w:pStyle w:val="2"/>
      </w:pPr>
    </w:p>
    <w:p>
      <w:pPr>
        <w:adjustRightInd w:val="0"/>
        <w:snapToGrid w:val="0"/>
        <w:spacing w:line="360" w:lineRule="auto"/>
        <w:jc w:val="left"/>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abstractNum w:abstractNumId="1">
    <w:nsid w:val="710AF434"/>
    <w:multiLevelType w:val="singleLevel"/>
    <w:tmpl w:val="710AF43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442D7AA8"/>
    <w:rsid w:val="000838A3"/>
    <w:rsid w:val="0029760C"/>
    <w:rsid w:val="00306C2E"/>
    <w:rsid w:val="003D41C7"/>
    <w:rsid w:val="003E091A"/>
    <w:rsid w:val="00537F7B"/>
    <w:rsid w:val="005D6C7D"/>
    <w:rsid w:val="005E43EE"/>
    <w:rsid w:val="006319BF"/>
    <w:rsid w:val="0077449E"/>
    <w:rsid w:val="009C732C"/>
    <w:rsid w:val="00A81427"/>
    <w:rsid w:val="00B40FF8"/>
    <w:rsid w:val="00BD504C"/>
    <w:rsid w:val="00DB7EDC"/>
    <w:rsid w:val="00F446E7"/>
    <w:rsid w:val="00FA6B75"/>
    <w:rsid w:val="0BDA4362"/>
    <w:rsid w:val="0F427144"/>
    <w:rsid w:val="0F9C6A6C"/>
    <w:rsid w:val="1124087B"/>
    <w:rsid w:val="154327F2"/>
    <w:rsid w:val="15F0193F"/>
    <w:rsid w:val="16586A57"/>
    <w:rsid w:val="16F2475C"/>
    <w:rsid w:val="17340047"/>
    <w:rsid w:val="1DD2069B"/>
    <w:rsid w:val="1E612507"/>
    <w:rsid w:val="203F5CE6"/>
    <w:rsid w:val="253F05F7"/>
    <w:rsid w:val="26614AE7"/>
    <w:rsid w:val="2BF77675"/>
    <w:rsid w:val="2C0B329E"/>
    <w:rsid w:val="2EE23DA1"/>
    <w:rsid w:val="2FFD1365"/>
    <w:rsid w:val="33F15215"/>
    <w:rsid w:val="38620F4A"/>
    <w:rsid w:val="3AA307AA"/>
    <w:rsid w:val="3D4A148F"/>
    <w:rsid w:val="42442951"/>
    <w:rsid w:val="442D7AA8"/>
    <w:rsid w:val="4B3E773E"/>
    <w:rsid w:val="4B9E1807"/>
    <w:rsid w:val="4BB26B7D"/>
    <w:rsid w:val="50250266"/>
    <w:rsid w:val="57A36574"/>
    <w:rsid w:val="58D72375"/>
    <w:rsid w:val="58DD5B64"/>
    <w:rsid w:val="5DAF6DF6"/>
    <w:rsid w:val="63750765"/>
    <w:rsid w:val="642B0A6B"/>
    <w:rsid w:val="68C80848"/>
    <w:rsid w:val="724D0AFE"/>
    <w:rsid w:val="72E83474"/>
    <w:rsid w:val="72F62F44"/>
    <w:rsid w:val="73F11CC8"/>
    <w:rsid w:val="75304775"/>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rPr>
      <w:szCs w:val="20"/>
    </w:rPr>
  </w:style>
  <w:style w:type="paragraph" w:styleId="4">
    <w:name w:val="Body Text"/>
    <w:basedOn w:val="1"/>
    <w:next w:val="5"/>
    <w:autoRedefine/>
    <w:qFormat/>
    <w:uiPriority w:val="0"/>
    <w:pPr>
      <w:spacing w:after="120"/>
    </w:pPr>
  </w:style>
  <w:style w:type="paragraph" w:styleId="5">
    <w:name w:val="Body Text First Indent"/>
    <w:basedOn w:val="4"/>
    <w:autoRedefine/>
    <w:semiHidden/>
    <w:unhideWhenUsed/>
    <w:qFormat/>
    <w:uiPriority w:val="99"/>
    <w:pPr>
      <w:ind w:firstLine="420" w:firstLineChars="100"/>
    </w:pPr>
    <w:rPr>
      <w:rFonts w:asciiTheme="minorHAnsi" w:hAnsiTheme="minorHAnsi" w:eastAsiaTheme="minorEastAsia" w:cstheme="minorBidi"/>
      <w:szCs w:val="22"/>
    </w:rPr>
  </w:style>
  <w:style w:type="paragraph" w:styleId="6">
    <w:name w:val="Body Text Indent"/>
    <w:basedOn w:val="1"/>
    <w:next w:val="1"/>
    <w:autoRedefine/>
    <w:qFormat/>
    <w:uiPriority w:val="0"/>
    <w:pPr>
      <w:ind w:left="480" w:hanging="480" w:hangingChars="200"/>
    </w:pPr>
    <w:rPr>
      <w:sz w:val="24"/>
    </w:rPr>
  </w:style>
  <w:style w:type="paragraph" w:styleId="7">
    <w:name w:val="Plain Text"/>
    <w:basedOn w:val="1"/>
    <w:autoRedefine/>
    <w:qFormat/>
    <w:uiPriority w:val="0"/>
    <w:pPr>
      <w:spacing w:beforeLines="50" w:afterLines="50" w:line="400" w:lineRule="exact"/>
    </w:pPr>
    <w:rPr>
      <w:rFonts w:ascii="宋体" w:hAnsi="Courier New"/>
      <w:sz w:val="24"/>
    </w:rPr>
  </w:style>
  <w:style w:type="paragraph" w:styleId="8">
    <w:name w:val="footer"/>
    <w:basedOn w:val="1"/>
    <w:link w:val="17"/>
    <w:autoRedefine/>
    <w:qFormat/>
    <w:uiPriority w:val="0"/>
    <w:pPr>
      <w:tabs>
        <w:tab w:val="center" w:pos="4153"/>
        <w:tab w:val="right" w:pos="8306"/>
      </w:tabs>
      <w:snapToGrid w:val="0"/>
      <w:jc w:val="left"/>
    </w:pPr>
    <w:rPr>
      <w:sz w:val="18"/>
      <w:szCs w:val="18"/>
    </w:rPr>
  </w:style>
  <w:style w:type="paragraph" w:styleId="9">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Text1I"/>
    <w:basedOn w:val="14"/>
    <w:autoRedefine/>
    <w:qFormat/>
    <w:uiPriority w:val="0"/>
    <w:pPr>
      <w:ind w:firstLine="420" w:firstLineChars="100"/>
    </w:pPr>
  </w:style>
  <w:style w:type="paragraph" w:customStyle="1" w:styleId="14">
    <w:name w:val="BodyText"/>
    <w:basedOn w:val="1"/>
    <w:autoRedefine/>
    <w:qFormat/>
    <w:uiPriority w:val="0"/>
    <w:pPr>
      <w:spacing w:after="120"/>
    </w:pPr>
  </w:style>
  <w:style w:type="paragraph" w:customStyle="1" w:styleId="15">
    <w:name w:val="表格文字"/>
    <w:basedOn w:val="1"/>
    <w:next w:val="4"/>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16">
    <w:name w:val="页眉 字符"/>
    <w:basedOn w:val="12"/>
    <w:link w:val="9"/>
    <w:autoRedefine/>
    <w:qFormat/>
    <w:uiPriority w:val="0"/>
    <w:rPr>
      <w:kern w:val="2"/>
      <w:sz w:val="18"/>
      <w:szCs w:val="18"/>
    </w:rPr>
  </w:style>
  <w:style w:type="character" w:customStyle="1" w:styleId="17">
    <w:name w:val="页脚 字符"/>
    <w:basedOn w:val="12"/>
    <w:link w:val="8"/>
    <w:autoRedefine/>
    <w:qFormat/>
    <w:uiPriority w:val="0"/>
    <w:rPr>
      <w:kern w:val="2"/>
      <w:sz w:val="18"/>
      <w:szCs w:val="18"/>
    </w:rPr>
  </w:style>
  <w:style w:type="paragraph" w:styleId="18">
    <w:name w:val="List Paragraph"/>
    <w:basedOn w:val="1"/>
    <w:autoRedefine/>
    <w:qFormat/>
    <w:uiPriority w:val="0"/>
    <w:pPr>
      <w:ind w:firstLine="420" w:firstLineChars="200"/>
    </w:pPr>
    <w:rPr>
      <w:rFonts w:ascii="Calibri" w:hAnsi="Calibri"/>
      <w:szCs w:val="22"/>
    </w:rPr>
  </w:style>
  <w:style w:type="paragraph" w:customStyle="1" w:styleId="19">
    <w:name w:val="列出段落1"/>
    <w:basedOn w:val="1"/>
    <w:autoRedefine/>
    <w:qFormat/>
    <w:uiPriority w:val="0"/>
    <w:pPr>
      <w:widowControl/>
      <w:spacing w:after="160" w:line="360" w:lineRule="auto"/>
      <w:ind w:left="720"/>
      <w:contextualSpacing/>
      <w:jc w:val="left"/>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754</Words>
  <Characters>4303</Characters>
  <Lines>35</Lines>
  <Paragraphs>10</Paragraphs>
  <TotalTime>25</TotalTime>
  <ScaleCrop>false</ScaleCrop>
  <LinksUpToDate>false</LinksUpToDate>
  <CharactersWithSpaces>5047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2024-08-26T07:19:00Z</dcterms:created>
  <dc:creator>小米</dc:creator>
  <cp:lastModifiedBy>市渔业应急处置指挥中心</cp:lastModifiedBy>
  <dcterms:modified xsi:type="dcterms:W3CDTF">2024-08-27T03:10:37Z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AFB3774A0C864FAC9B7CBDC2A14C2283_13</vt:lpwstr>
  </property>
</Properties>
</file>