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00" w:lineRule="atLeast"/>
        <w:jc w:val="center"/>
        <w:rPr>
          <w:rFonts w:hint="eastAsia" w:ascii="宋体" w:hAnsi="宋体" w:eastAsia="宋体" w:cs="宋体"/>
          <w:b/>
          <w:bCs/>
          <w:color w:val="000000"/>
          <w:sz w:val="36"/>
          <w:szCs w:val="36"/>
          <w:lang w:val="en-US" w:eastAsia="zh-CN"/>
        </w:rPr>
      </w:pPr>
      <w:bookmarkStart w:id="0" w:name="_Toc451522337"/>
      <w:r>
        <w:rPr>
          <w:rFonts w:hint="eastAsia" w:ascii="宋体" w:hAnsi="宋体" w:eastAsia="宋体" w:cs="宋体"/>
          <w:b/>
          <w:bCs/>
          <w:color w:val="000000"/>
          <w:sz w:val="36"/>
          <w:szCs w:val="36"/>
          <w:lang w:val="en-US" w:eastAsia="zh-CN"/>
        </w:rPr>
        <w:t>温州市中医院</w:t>
      </w:r>
      <w:r>
        <w:rPr>
          <w:rFonts w:hint="eastAsia"/>
          <w:b/>
          <w:bCs/>
          <w:color w:val="auto"/>
          <w:sz w:val="36"/>
          <w:szCs w:val="36"/>
          <w:highlight w:val="none"/>
          <w:lang w:val="en-US" w:eastAsia="zh-CN"/>
        </w:rPr>
        <w:t>自助报到系统</w:t>
      </w:r>
      <w:r>
        <w:rPr>
          <w:rFonts w:hint="eastAsia" w:ascii="宋体" w:hAnsi="宋体" w:eastAsia="宋体" w:cs="宋体"/>
          <w:b/>
          <w:bCs/>
          <w:color w:val="000000"/>
          <w:sz w:val="36"/>
          <w:szCs w:val="36"/>
        </w:rPr>
        <w:t>采购</w:t>
      </w:r>
      <w:bookmarkEnd w:id="0"/>
      <w:r>
        <w:rPr>
          <w:rFonts w:hint="eastAsia" w:ascii="宋体" w:hAnsi="宋体" w:eastAsia="宋体" w:cs="宋体"/>
          <w:b/>
          <w:bCs/>
          <w:color w:val="000000"/>
          <w:sz w:val="36"/>
          <w:szCs w:val="36"/>
          <w:lang w:val="en-US" w:eastAsia="zh-CN"/>
        </w:rPr>
        <w:t>文件</w:t>
      </w:r>
    </w:p>
    <w:p>
      <w:pPr>
        <w:numPr>
          <w:ilvl w:val="0"/>
          <w:numId w:val="0"/>
        </w:numPr>
        <w:spacing w:line="300" w:lineRule="atLeast"/>
        <w:ind w:firstLine="562" w:firstLineChars="200"/>
        <w:rPr>
          <w:rFonts w:hint="eastAsia"/>
          <w:b/>
          <w:bCs/>
          <w:sz w:val="28"/>
          <w:szCs w:val="28"/>
          <w:lang w:val="en-US" w:eastAsia="zh-CN"/>
        </w:rPr>
      </w:pPr>
    </w:p>
    <w:p>
      <w:pPr>
        <w:numPr>
          <w:ilvl w:val="0"/>
          <w:numId w:val="0"/>
        </w:numPr>
        <w:spacing w:line="300" w:lineRule="atLeast"/>
        <w:rPr>
          <w:rFonts w:hint="eastAsia" w:ascii="宋体" w:hAnsi="宋体" w:eastAsia="宋体" w:cs="宋体"/>
          <w:b w:val="0"/>
          <w:bCs w:val="0"/>
          <w:color w:val="FF0000"/>
          <w:sz w:val="24"/>
          <w:szCs w:val="24"/>
        </w:rPr>
      </w:pPr>
      <w:r>
        <w:rPr>
          <w:rFonts w:hint="eastAsia"/>
          <w:b/>
          <w:bCs/>
          <w:sz w:val="28"/>
          <w:szCs w:val="28"/>
          <w:lang w:val="en-US" w:eastAsia="zh-CN"/>
        </w:rPr>
        <w:t>一、项目名称</w:t>
      </w:r>
      <w:r>
        <w:rPr>
          <w:rFonts w:hint="eastAsia"/>
          <w:sz w:val="24"/>
          <w:szCs w:val="24"/>
        </w:rPr>
        <w:t>：</w:t>
      </w:r>
      <w:r>
        <w:rPr>
          <w:rFonts w:hint="eastAsia" w:ascii="宋体" w:hAnsi="宋体" w:eastAsia="宋体" w:cs="宋体"/>
          <w:b w:val="0"/>
          <w:bCs w:val="0"/>
          <w:sz w:val="24"/>
          <w:szCs w:val="24"/>
          <w:lang w:val="en-US" w:eastAsia="zh-Hans"/>
        </w:rPr>
        <w:t>温州市中医院</w:t>
      </w:r>
      <w:r>
        <w:rPr>
          <w:rFonts w:hint="eastAsia"/>
          <w:color w:val="auto"/>
          <w:sz w:val="24"/>
          <w:szCs w:val="24"/>
          <w:highlight w:val="none"/>
        </w:rPr>
        <w:t>自助报到系统</w:t>
      </w:r>
    </w:p>
    <w:p>
      <w:pPr>
        <w:spacing w:line="360" w:lineRule="auto"/>
        <w:rPr>
          <w:rFonts w:hint="default"/>
          <w:sz w:val="24"/>
          <w:szCs w:val="24"/>
          <w:lang w:val="en-US"/>
        </w:rPr>
      </w:pPr>
      <w:r>
        <w:rPr>
          <w:rFonts w:hint="eastAsia"/>
          <w:b/>
          <w:bCs/>
          <w:sz w:val="28"/>
          <w:szCs w:val="28"/>
          <w:lang w:val="en-US" w:eastAsia="zh-CN"/>
        </w:rPr>
        <w:t>二、采购方式：</w:t>
      </w:r>
      <w:r>
        <w:rPr>
          <w:rFonts w:hint="eastAsia"/>
          <w:sz w:val="24"/>
          <w:szCs w:val="24"/>
          <w:lang w:val="en-US" w:eastAsia="zh-CN"/>
        </w:rPr>
        <w:t>公开遴选（非政府采购）</w:t>
      </w:r>
    </w:p>
    <w:p>
      <w:pPr>
        <w:spacing w:line="360" w:lineRule="auto"/>
        <w:rPr>
          <w:rFonts w:hint="eastAsia" w:ascii="宋体" w:hAnsi="宋体" w:eastAsia="宋体" w:cs="宋体"/>
          <w:sz w:val="24"/>
          <w:szCs w:val="24"/>
          <w:lang w:eastAsia="zh-CN"/>
        </w:rPr>
      </w:pPr>
      <w:r>
        <w:rPr>
          <w:rFonts w:hint="eastAsia"/>
          <w:b/>
          <w:bCs/>
          <w:sz w:val="28"/>
          <w:szCs w:val="28"/>
          <w:lang w:val="en-US" w:eastAsia="zh-CN"/>
        </w:rPr>
        <w:t>三、</w:t>
      </w:r>
      <w:r>
        <w:rPr>
          <w:rFonts w:hint="eastAsia"/>
          <w:b/>
          <w:bCs/>
          <w:sz w:val="28"/>
          <w:szCs w:val="28"/>
        </w:rPr>
        <w:t>预算</w:t>
      </w:r>
      <w:r>
        <w:rPr>
          <w:rFonts w:hint="eastAsia"/>
          <w:b/>
          <w:bCs/>
          <w:sz w:val="28"/>
          <w:szCs w:val="28"/>
          <w:lang w:val="en-US" w:eastAsia="zh-CN"/>
        </w:rPr>
        <w:t>金额</w:t>
      </w:r>
      <w:r>
        <w:rPr>
          <w:rFonts w:hint="eastAsia"/>
          <w:b/>
          <w:bCs/>
          <w:sz w:val="28"/>
          <w:szCs w:val="28"/>
        </w:rPr>
        <w:t>：</w:t>
      </w:r>
      <w:r>
        <w:rPr>
          <w:rFonts w:hint="eastAsia" w:ascii="宋体" w:hAnsi="宋体" w:cs="宋体"/>
          <w:b w:val="0"/>
          <w:bCs w:val="0"/>
          <w:sz w:val="24"/>
          <w:szCs w:val="24"/>
          <w:lang w:val="en-US" w:eastAsia="zh-CN"/>
        </w:rPr>
        <w:t>78</w:t>
      </w:r>
      <w:r>
        <w:rPr>
          <w:rFonts w:hint="eastAsia" w:ascii="宋体" w:hAnsi="宋体" w:eastAsia="宋体" w:cs="宋体"/>
          <w:b w:val="0"/>
          <w:bCs w:val="0"/>
          <w:sz w:val="24"/>
          <w:szCs w:val="24"/>
          <w:lang w:val="en-US" w:eastAsia="zh-CN"/>
        </w:rPr>
        <w:t>000</w:t>
      </w:r>
      <w:r>
        <w:rPr>
          <w:rFonts w:hint="eastAsia" w:ascii="宋体" w:hAnsi="宋体" w:eastAsia="宋体" w:cs="宋体"/>
          <w:sz w:val="24"/>
          <w:szCs w:val="24"/>
        </w:rPr>
        <w:t>元</w:t>
      </w:r>
    </w:p>
    <w:p>
      <w:pPr>
        <w:spacing w:line="360" w:lineRule="auto"/>
        <w:rPr>
          <w:rFonts w:hint="eastAsia" w:ascii="宋体" w:hAnsi="宋体"/>
          <w:b/>
          <w:bCs/>
          <w:color w:val="000000"/>
          <w:sz w:val="28"/>
          <w:szCs w:val="28"/>
        </w:rPr>
      </w:pPr>
      <w:r>
        <w:rPr>
          <w:rFonts w:hint="eastAsia" w:ascii="宋体" w:hAnsi="宋体"/>
          <w:b/>
          <w:bCs/>
          <w:color w:val="000000"/>
          <w:sz w:val="28"/>
          <w:szCs w:val="28"/>
          <w:lang w:val="en-US" w:eastAsia="zh-CN"/>
        </w:rPr>
        <w:t>四</w:t>
      </w:r>
      <w:r>
        <w:rPr>
          <w:rFonts w:hint="eastAsia" w:ascii="宋体" w:hAnsi="宋体"/>
          <w:b/>
          <w:bCs/>
          <w:color w:val="000000"/>
          <w:sz w:val="28"/>
          <w:szCs w:val="28"/>
        </w:rPr>
        <w:t>、</w:t>
      </w:r>
      <w:r>
        <w:rPr>
          <w:rFonts w:hint="eastAsia"/>
          <w:b/>
          <w:bCs/>
          <w:sz w:val="28"/>
          <w:szCs w:val="28"/>
        </w:rPr>
        <w:t>项目建设背景</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随着互联网技术的不断发展，医疗行业也在逐渐向数字化转型。为了提高医院的服务效率和质量，减少患者排队等候的时间，我们计划开发一款自助报到系统。该系统将为患者提供更加便捷、快速的取号服务，同时也能够减轻医院工作人员的工作压力。</w:t>
      </w:r>
    </w:p>
    <w:p>
      <w:pPr>
        <w:spacing w:line="360" w:lineRule="auto"/>
        <w:rPr>
          <w:rFonts w:hint="eastAsia"/>
          <w:b/>
          <w:bCs/>
          <w:sz w:val="28"/>
          <w:szCs w:val="28"/>
          <w:lang w:val="en-US" w:eastAsia="zh-CN"/>
        </w:rPr>
      </w:pPr>
      <w:r>
        <w:rPr>
          <w:rFonts w:hint="eastAsia"/>
          <w:b/>
          <w:bCs/>
          <w:sz w:val="28"/>
          <w:szCs w:val="28"/>
          <w:lang w:val="en-US" w:eastAsia="zh-CN"/>
        </w:rPr>
        <w:t>五</w:t>
      </w:r>
      <w:r>
        <w:rPr>
          <w:rFonts w:hint="eastAsia"/>
          <w:b/>
          <w:bCs/>
          <w:sz w:val="28"/>
          <w:szCs w:val="28"/>
        </w:rPr>
        <w:t>、招标技术要求</w:t>
      </w:r>
    </w:p>
    <w:p>
      <w:pPr>
        <w:spacing w:line="240" w:lineRule="auto"/>
        <w:ind w:firstLine="482" w:firstLineChars="200"/>
        <w:rPr>
          <w:b/>
          <w:bCs/>
          <w:sz w:val="24"/>
          <w:szCs w:val="24"/>
        </w:rPr>
      </w:pPr>
      <w:r>
        <w:rPr>
          <w:rFonts w:hint="eastAsia"/>
          <w:b/>
          <w:bCs/>
          <w:sz w:val="24"/>
          <w:szCs w:val="24"/>
        </w:rPr>
        <w:t>（一）系统开发目标</w:t>
      </w:r>
    </w:p>
    <w:p>
      <w:pPr>
        <w:pStyle w:val="12"/>
        <w:widowControl/>
        <w:spacing w:beforeAutospacing="1" w:afterAutospacing="1" w:line="240" w:lineRule="auto"/>
        <w:ind w:firstLine="480"/>
        <w:rPr>
          <w:sz w:val="24"/>
          <w:szCs w:val="24"/>
        </w:rPr>
      </w:pPr>
      <w:r>
        <w:rPr>
          <w:rFonts w:hint="eastAsia"/>
          <w:sz w:val="24"/>
          <w:szCs w:val="24"/>
        </w:rPr>
        <w:t>1</w:t>
      </w:r>
      <w:r>
        <w:rPr>
          <w:rFonts w:hint="eastAsia"/>
          <w:sz w:val="24"/>
          <w:szCs w:val="24"/>
          <w:lang w:eastAsia="zh-CN"/>
        </w:rPr>
        <w:t>、</w:t>
      </w:r>
      <w:r>
        <w:rPr>
          <w:rFonts w:hint="eastAsia"/>
          <w:sz w:val="24"/>
          <w:szCs w:val="24"/>
        </w:rPr>
        <w:t>开发一款功能齐全、易于操作的</w:t>
      </w:r>
      <w:r>
        <w:rPr>
          <w:rFonts w:hint="eastAsia"/>
          <w:sz w:val="24"/>
          <w:szCs w:val="24"/>
          <w:lang w:eastAsia="zh-CN"/>
        </w:rPr>
        <w:t>自助报到系统</w:t>
      </w:r>
      <w:r>
        <w:rPr>
          <w:rFonts w:hint="eastAsia"/>
          <w:sz w:val="24"/>
          <w:szCs w:val="24"/>
        </w:rPr>
        <w:t>。</w:t>
      </w:r>
    </w:p>
    <w:p>
      <w:pPr>
        <w:pStyle w:val="12"/>
        <w:widowControl/>
        <w:spacing w:beforeAutospacing="1" w:afterAutospacing="1" w:line="240" w:lineRule="auto"/>
        <w:ind w:firstLine="480"/>
        <w:rPr>
          <w:sz w:val="24"/>
          <w:szCs w:val="24"/>
        </w:rPr>
      </w:pPr>
      <w:r>
        <w:rPr>
          <w:rFonts w:hint="eastAsia"/>
          <w:sz w:val="24"/>
          <w:szCs w:val="24"/>
        </w:rPr>
        <w:t>2</w:t>
      </w:r>
      <w:r>
        <w:rPr>
          <w:rFonts w:hint="eastAsia"/>
          <w:sz w:val="24"/>
          <w:szCs w:val="24"/>
          <w:lang w:eastAsia="zh-CN"/>
        </w:rPr>
        <w:t>、</w:t>
      </w:r>
      <w:r>
        <w:rPr>
          <w:rFonts w:hint="eastAsia"/>
          <w:sz w:val="24"/>
          <w:szCs w:val="24"/>
        </w:rPr>
        <w:t>实现患者在线取号、预约取号、取号等功能。</w:t>
      </w:r>
    </w:p>
    <w:p>
      <w:pPr>
        <w:pStyle w:val="12"/>
        <w:widowControl/>
        <w:spacing w:beforeAutospacing="1" w:afterAutospacing="1" w:line="240" w:lineRule="auto"/>
        <w:ind w:firstLine="480"/>
        <w:rPr>
          <w:sz w:val="24"/>
          <w:szCs w:val="24"/>
        </w:rPr>
      </w:pPr>
      <w:r>
        <w:rPr>
          <w:rFonts w:hint="eastAsia"/>
          <w:sz w:val="24"/>
          <w:szCs w:val="24"/>
        </w:rPr>
        <w:t>3</w:t>
      </w:r>
      <w:r>
        <w:rPr>
          <w:rFonts w:hint="eastAsia"/>
          <w:sz w:val="24"/>
          <w:szCs w:val="24"/>
          <w:lang w:eastAsia="zh-CN"/>
        </w:rPr>
        <w:t>、</w:t>
      </w:r>
      <w:r>
        <w:rPr>
          <w:rFonts w:hint="eastAsia"/>
          <w:sz w:val="24"/>
          <w:szCs w:val="24"/>
        </w:rPr>
        <w:t>提高医院的服务效率和质量，减少患者排队等候的时间。</w:t>
      </w:r>
    </w:p>
    <w:p>
      <w:pPr>
        <w:pStyle w:val="12"/>
        <w:widowControl/>
        <w:spacing w:beforeAutospacing="1" w:afterAutospacing="1" w:line="240" w:lineRule="auto"/>
        <w:ind w:firstLine="480"/>
        <w:rPr>
          <w:sz w:val="24"/>
          <w:szCs w:val="24"/>
        </w:rPr>
      </w:pPr>
      <w:r>
        <w:rPr>
          <w:rFonts w:hint="eastAsia"/>
          <w:sz w:val="24"/>
          <w:szCs w:val="24"/>
        </w:rPr>
        <w:t>4</w:t>
      </w:r>
      <w:r>
        <w:rPr>
          <w:rFonts w:hint="eastAsia"/>
          <w:sz w:val="24"/>
          <w:szCs w:val="24"/>
          <w:lang w:eastAsia="zh-CN"/>
        </w:rPr>
        <w:t>、</w:t>
      </w:r>
      <w:r>
        <w:rPr>
          <w:rFonts w:hint="eastAsia"/>
          <w:sz w:val="24"/>
          <w:szCs w:val="24"/>
        </w:rPr>
        <w:t>优化医院的管理流程，降低管理成本。</w:t>
      </w:r>
    </w:p>
    <w:p>
      <w:pPr>
        <w:spacing w:line="360" w:lineRule="auto"/>
        <w:ind w:firstLine="482" w:firstLineChars="200"/>
        <w:rPr>
          <w:b/>
          <w:bCs/>
          <w:sz w:val="24"/>
          <w:szCs w:val="24"/>
        </w:rPr>
      </w:pPr>
      <w:r>
        <w:rPr>
          <w:rFonts w:hint="eastAsia"/>
          <w:b/>
          <w:bCs/>
          <w:sz w:val="24"/>
          <w:szCs w:val="24"/>
        </w:rPr>
        <w:t>（二）项目内容</w:t>
      </w:r>
    </w:p>
    <w:p>
      <w:pPr>
        <w:pStyle w:val="12"/>
        <w:widowControl/>
        <w:spacing w:beforeAutospacing="1" w:afterAutospacing="1" w:line="360" w:lineRule="auto"/>
        <w:ind w:firstLine="480"/>
        <w:rPr>
          <w:sz w:val="24"/>
          <w:szCs w:val="24"/>
        </w:rPr>
      </w:pPr>
      <w:r>
        <w:rPr>
          <w:rFonts w:hint="eastAsia"/>
          <w:sz w:val="24"/>
          <w:szCs w:val="24"/>
        </w:rPr>
        <w:t>1</w:t>
      </w:r>
      <w:r>
        <w:rPr>
          <w:rFonts w:hint="eastAsia"/>
          <w:sz w:val="24"/>
          <w:szCs w:val="24"/>
          <w:lang w:eastAsia="zh-CN"/>
        </w:rPr>
        <w:t>、</w:t>
      </w:r>
      <w:r>
        <w:rPr>
          <w:rFonts w:hint="eastAsia"/>
          <w:sz w:val="24"/>
          <w:szCs w:val="24"/>
        </w:rPr>
        <w:t>系统设计：根据医院的实际需求和业务流程，设计</w:t>
      </w:r>
      <w:r>
        <w:rPr>
          <w:rFonts w:hint="eastAsia"/>
          <w:sz w:val="24"/>
          <w:szCs w:val="24"/>
          <w:lang w:eastAsia="zh-CN"/>
        </w:rPr>
        <w:t>自助报到系统</w:t>
      </w:r>
      <w:r>
        <w:rPr>
          <w:rFonts w:hint="eastAsia"/>
          <w:sz w:val="24"/>
          <w:szCs w:val="24"/>
        </w:rPr>
        <w:t>的功能模块和界面布局。</w:t>
      </w:r>
    </w:p>
    <w:p>
      <w:pPr>
        <w:pStyle w:val="12"/>
        <w:widowControl/>
        <w:spacing w:beforeAutospacing="1" w:afterAutospacing="1" w:line="360" w:lineRule="auto"/>
        <w:ind w:firstLine="480"/>
        <w:rPr>
          <w:sz w:val="24"/>
          <w:szCs w:val="24"/>
        </w:rPr>
      </w:pPr>
      <w:r>
        <w:rPr>
          <w:rFonts w:hint="eastAsia"/>
          <w:sz w:val="24"/>
          <w:szCs w:val="24"/>
        </w:rPr>
        <w:t>2</w:t>
      </w:r>
      <w:r>
        <w:rPr>
          <w:rFonts w:hint="eastAsia"/>
          <w:sz w:val="24"/>
          <w:szCs w:val="24"/>
          <w:lang w:eastAsia="zh-CN"/>
        </w:rPr>
        <w:t>、</w:t>
      </w:r>
      <w:r>
        <w:rPr>
          <w:rFonts w:hint="eastAsia"/>
          <w:sz w:val="24"/>
          <w:szCs w:val="24"/>
        </w:rPr>
        <w:t>技术选型：选择合适的技术架构和开发语言，确保系统的稳定性和安全性。</w:t>
      </w:r>
    </w:p>
    <w:p>
      <w:pPr>
        <w:pStyle w:val="12"/>
        <w:widowControl/>
        <w:spacing w:beforeAutospacing="1" w:afterAutospacing="1" w:line="360" w:lineRule="auto"/>
        <w:ind w:firstLine="480"/>
        <w:rPr>
          <w:sz w:val="24"/>
          <w:szCs w:val="24"/>
        </w:rPr>
      </w:pPr>
      <w:r>
        <w:rPr>
          <w:rFonts w:hint="eastAsia"/>
          <w:sz w:val="24"/>
          <w:szCs w:val="24"/>
        </w:rPr>
        <w:t>3</w:t>
      </w:r>
      <w:r>
        <w:rPr>
          <w:rFonts w:hint="eastAsia"/>
          <w:sz w:val="24"/>
          <w:szCs w:val="24"/>
          <w:lang w:eastAsia="zh-CN"/>
        </w:rPr>
        <w:t>、</w:t>
      </w:r>
      <w:r>
        <w:rPr>
          <w:rFonts w:hint="eastAsia"/>
          <w:sz w:val="24"/>
          <w:szCs w:val="24"/>
        </w:rPr>
        <w:t>系统开发：根据系统设计和技术选型，进行系统开发和测试。</w:t>
      </w:r>
    </w:p>
    <w:p>
      <w:pPr>
        <w:pStyle w:val="12"/>
        <w:widowControl/>
        <w:spacing w:beforeAutospacing="1" w:afterAutospacing="1" w:line="360" w:lineRule="auto"/>
        <w:ind w:firstLine="480"/>
        <w:rPr>
          <w:sz w:val="24"/>
          <w:szCs w:val="24"/>
        </w:rPr>
      </w:pPr>
      <w:r>
        <w:rPr>
          <w:rFonts w:hint="eastAsia"/>
          <w:sz w:val="24"/>
          <w:szCs w:val="24"/>
        </w:rPr>
        <w:t>4</w:t>
      </w:r>
      <w:r>
        <w:rPr>
          <w:rFonts w:hint="eastAsia"/>
          <w:sz w:val="24"/>
          <w:szCs w:val="24"/>
          <w:lang w:eastAsia="zh-CN"/>
        </w:rPr>
        <w:t>、</w:t>
      </w:r>
      <w:r>
        <w:rPr>
          <w:rFonts w:hint="eastAsia"/>
          <w:sz w:val="24"/>
          <w:szCs w:val="24"/>
        </w:rPr>
        <w:t>系统集成：将</w:t>
      </w:r>
      <w:r>
        <w:rPr>
          <w:rFonts w:hint="eastAsia"/>
          <w:sz w:val="24"/>
          <w:szCs w:val="24"/>
          <w:lang w:eastAsia="zh-CN"/>
        </w:rPr>
        <w:t>自助报到系统</w:t>
      </w:r>
      <w:r>
        <w:rPr>
          <w:rFonts w:hint="eastAsia"/>
          <w:sz w:val="24"/>
          <w:szCs w:val="24"/>
        </w:rPr>
        <w:t>与医院的现有信息系统进行集成，实现数据共享和交互。</w:t>
      </w:r>
    </w:p>
    <w:p>
      <w:pPr>
        <w:pStyle w:val="12"/>
        <w:widowControl/>
        <w:spacing w:beforeAutospacing="1" w:afterAutospacing="1" w:line="360" w:lineRule="auto"/>
        <w:ind w:firstLine="480"/>
        <w:rPr>
          <w:sz w:val="24"/>
          <w:szCs w:val="24"/>
        </w:rPr>
      </w:pPr>
      <w:r>
        <w:rPr>
          <w:rFonts w:hint="eastAsia"/>
          <w:sz w:val="24"/>
          <w:szCs w:val="24"/>
        </w:rPr>
        <w:t>5</w:t>
      </w:r>
      <w:r>
        <w:rPr>
          <w:rFonts w:hint="eastAsia"/>
          <w:sz w:val="24"/>
          <w:szCs w:val="24"/>
          <w:lang w:eastAsia="zh-CN"/>
        </w:rPr>
        <w:t>、</w:t>
      </w:r>
      <w:r>
        <w:rPr>
          <w:rFonts w:hint="eastAsia"/>
          <w:sz w:val="24"/>
          <w:szCs w:val="24"/>
        </w:rPr>
        <w:t>培训和上线：对医院工作人员进行系统培训，确保其能够熟练操作</w:t>
      </w:r>
      <w:r>
        <w:rPr>
          <w:rFonts w:hint="eastAsia"/>
          <w:sz w:val="24"/>
          <w:szCs w:val="24"/>
          <w:lang w:eastAsia="zh-CN"/>
        </w:rPr>
        <w:t>自助报到系统</w:t>
      </w:r>
      <w:r>
        <w:rPr>
          <w:rFonts w:hint="eastAsia"/>
          <w:sz w:val="24"/>
          <w:szCs w:val="24"/>
        </w:rPr>
        <w:t>。然后将系统上线运行，并进行持续优化和改进。</w:t>
      </w:r>
    </w:p>
    <w:p>
      <w:pPr>
        <w:spacing w:line="360" w:lineRule="auto"/>
        <w:ind w:firstLine="482" w:firstLineChars="200"/>
        <w:rPr>
          <w:b/>
          <w:bCs/>
          <w:sz w:val="24"/>
          <w:szCs w:val="24"/>
        </w:rPr>
      </w:pPr>
      <w:r>
        <w:rPr>
          <w:rFonts w:hint="eastAsia"/>
          <w:b/>
          <w:bCs/>
          <w:sz w:val="24"/>
          <w:szCs w:val="24"/>
          <w:lang w:eastAsia="zh-CN"/>
        </w:rPr>
        <w:t>（</w:t>
      </w:r>
      <w:r>
        <w:rPr>
          <w:rFonts w:hint="eastAsia"/>
          <w:b/>
          <w:bCs/>
          <w:sz w:val="24"/>
          <w:szCs w:val="24"/>
        </w:rPr>
        <w:t>三）项目实施计划</w:t>
      </w:r>
    </w:p>
    <w:p>
      <w:pPr>
        <w:pStyle w:val="12"/>
        <w:widowControl/>
        <w:spacing w:beforeAutospacing="1" w:afterAutospacing="1" w:line="360" w:lineRule="auto"/>
        <w:ind w:firstLine="480"/>
        <w:rPr>
          <w:sz w:val="24"/>
          <w:szCs w:val="24"/>
        </w:rPr>
      </w:pPr>
      <w:r>
        <w:rPr>
          <w:rFonts w:hint="eastAsia"/>
          <w:sz w:val="24"/>
          <w:szCs w:val="24"/>
        </w:rPr>
        <w:t>1</w:t>
      </w:r>
      <w:r>
        <w:rPr>
          <w:rFonts w:hint="eastAsia"/>
          <w:sz w:val="24"/>
          <w:szCs w:val="24"/>
          <w:lang w:eastAsia="zh-CN"/>
        </w:rPr>
        <w:t>、</w:t>
      </w:r>
      <w:r>
        <w:rPr>
          <w:rFonts w:hint="eastAsia"/>
          <w:sz w:val="24"/>
          <w:szCs w:val="24"/>
        </w:rPr>
        <w:t>需求分析：对医院的业务流程和需求进行深入分析，确定系统的功能和性能要求。</w:t>
      </w:r>
    </w:p>
    <w:p>
      <w:pPr>
        <w:pStyle w:val="12"/>
        <w:widowControl/>
        <w:spacing w:beforeAutospacing="1" w:afterAutospacing="1" w:line="360" w:lineRule="auto"/>
        <w:ind w:firstLine="480"/>
        <w:rPr>
          <w:sz w:val="24"/>
          <w:szCs w:val="24"/>
        </w:rPr>
      </w:pPr>
      <w:r>
        <w:rPr>
          <w:rFonts w:hint="eastAsia"/>
          <w:sz w:val="24"/>
          <w:szCs w:val="24"/>
        </w:rPr>
        <w:t>2</w:t>
      </w:r>
      <w:r>
        <w:rPr>
          <w:rFonts w:hint="eastAsia"/>
          <w:sz w:val="24"/>
          <w:szCs w:val="24"/>
          <w:lang w:eastAsia="zh-CN"/>
        </w:rPr>
        <w:t>、</w:t>
      </w:r>
      <w:r>
        <w:rPr>
          <w:rFonts w:hint="eastAsia"/>
          <w:sz w:val="24"/>
          <w:szCs w:val="24"/>
        </w:rPr>
        <w:t>系统设计：根据需求分析结果，设计</w:t>
      </w:r>
      <w:r>
        <w:rPr>
          <w:rFonts w:hint="eastAsia"/>
          <w:sz w:val="24"/>
          <w:szCs w:val="24"/>
          <w:lang w:eastAsia="zh-CN"/>
        </w:rPr>
        <w:t>自助报到系统</w:t>
      </w:r>
      <w:r>
        <w:rPr>
          <w:rFonts w:hint="eastAsia"/>
          <w:sz w:val="24"/>
          <w:szCs w:val="24"/>
        </w:rPr>
        <w:t>的架构和功能模块。</w:t>
      </w:r>
    </w:p>
    <w:p>
      <w:pPr>
        <w:pStyle w:val="12"/>
        <w:widowControl/>
        <w:spacing w:beforeAutospacing="1" w:afterAutospacing="1" w:line="360" w:lineRule="auto"/>
        <w:ind w:firstLine="480"/>
        <w:rPr>
          <w:sz w:val="24"/>
          <w:szCs w:val="24"/>
        </w:rPr>
      </w:pPr>
      <w:r>
        <w:rPr>
          <w:rFonts w:hint="eastAsia"/>
          <w:sz w:val="24"/>
          <w:szCs w:val="24"/>
        </w:rPr>
        <w:t>3</w:t>
      </w:r>
      <w:r>
        <w:rPr>
          <w:rFonts w:hint="eastAsia"/>
          <w:sz w:val="24"/>
          <w:szCs w:val="24"/>
          <w:lang w:eastAsia="zh-CN"/>
        </w:rPr>
        <w:t>、</w:t>
      </w:r>
      <w:r>
        <w:rPr>
          <w:rFonts w:hint="eastAsia"/>
          <w:sz w:val="24"/>
          <w:szCs w:val="24"/>
        </w:rPr>
        <w:t>系统开发：根据系统设计，进行系统开发和测试。</w:t>
      </w:r>
    </w:p>
    <w:p>
      <w:pPr>
        <w:pStyle w:val="12"/>
        <w:widowControl/>
        <w:spacing w:beforeAutospacing="1" w:afterAutospacing="1" w:line="360" w:lineRule="auto"/>
        <w:ind w:firstLine="480"/>
        <w:rPr>
          <w:sz w:val="24"/>
          <w:szCs w:val="24"/>
        </w:rPr>
      </w:pPr>
      <w:r>
        <w:rPr>
          <w:rFonts w:hint="eastAsia"/>
          <w:sz w:val="24"/>
          <w:szCs w:val="24"/>
        </w:rPr>
        <w:t>4</w:t>
      </w:r>
      <w:r>
        <w:rPr>
          <w:rFonts w:hint="eastAsia"/>
          <w:sz w:val="24"/>
          <w:szCs w:val="24"/>
          <w:lang w:eastAsia="zh-CN"/>
        </w:rPr>
        <w:t>、</w:t>
      </w:r>
      <w:r>
        <w:rPr>
          <w:rFonts w:hint="eastAsia"/>
          <w:sz w:val="24"/>
          <w:szCs w:val="24"/>
        </w:rPr>
        <w:t>系统集成：将</w:t>
      </w:r>
      <w:r>
        <w:rPr>
          <w:rFonts w:hint="eastAsia"/>
          <w:sz w:val="24"/>
          <w:szCs w:val="24"/>
          <w:lang w:eastAsia="zh-CN"/>
        </w:rPr>
        <w:t>自助报到系统</w:t>
      </w:r>
      <w:r>
        <w:rPr>
          <w:rFonts w:hint="eastAsia"/>
          <w:sz w:val="24"/>
          <w:szCs w:val="24"/>
        </w:rPr>
        <w:t>与医院的现有信息系统进行集成，实现数据共享和交互。</w:t>
      </w:r>
    </w:p>
    <w:p>
      <w:pPr>
        <w:pStyle w:val="12"/>
        <w:widowControl/>
        <w:spacing w:beforeAutospacing="1" w:afterAutospacing="1" w:line="360" w:lineRule="auto"/>
        <w:ind w:firstLine="480"/>
        <w:rPr>
          <w:sz w:val="24"/>
          <w:szCs w:val="24"/>
        </w:rPr>
      </w:pPr>
      <w:r>
        <w:rPr>
          <w:rFonts w:hint="eastAsia"/>
          <w:sz w:val="24"/>
          <w:szCs w:val="24"/>
        </w:rPr>
        <w:t>5</w:t>
      </w:r>
      <w:r>
        <w:rPr>
          <w:rFonts w:hint="eastAsia"/>
          <w:sz w:val="24"/>
          <w:szCs w:val="24"/>
          <w:lang w:eastAsia="zh-CN"/>
        </w:rPr>
        <w:t>、</w:t>
      </w:r>
      <w:r>
        <w:rPr>
          <w:rFonts w:hint="eastAsia"/>
          <w:sz w:val="24"/>
          <w:szCs w:val="24"/>
        </w:rPr>
        <w:t>上线测试：对系统进行全面测试，确保系统的稳定性和安全性。</w:t>
      </w:r>
    </w:p>
    <w:p>
      <w:pPr>
        <w:pStyle w:val="12"/>
        <w:widowControl/>
        <w:spacing w:beforeAutospacing="1" w:afterAutospacing="1" w:line="360" w:lineRule="auto"/>
        <w:ind w:firstLine="480"/>
        <w:rPr>
          <w:sz w:val="24"/>
          <w:szCs w:val="24"/>
        </w:rPr>
      </w:pPr>
      <w:r>
        <w:rPr>
          <w:rFonts w:hint="eastAsia"/>
          <w:sz w:val="24"/>
          <w:szCs w:val="24"/>
        </w:rPr>
        <w:t>6</w:t>
      </w:r>
      <w:r>
        <w:rPr>
          <w:rFonts w:hint="eastAsia"/>
          <w:sz w:val="24"/>
          <w:szCs w:val="24"/>
          <w:lang w:eastAsia="zh-CN"/>
        </w:rPr>
        <w:t>、</w:t>
      </w:r>
      <w:r>
        <w:rPr>
          <w:rFonts w:hint="eastAsia"/>
          <w:sz w:val="24"/>
          <w:szCs w:val="24"/>
        </w:rPr>
        <w:t>项目验收：组织相关人员对项目进行验收，确保项目符合预期目标和要求。</w:t>
      </w:r>
    </w:p>
    <w:p>
      <w:pPr>
        <w:pStyle w:val="12"/>
        <w:widowControl/>
        <w:spacing w:beforeAutospacing="1" w:afterAutospacing="1" w:line="360" w:lineRule="auto"/>
        <w:ind w:firstLine="480"/>
        <w:rPr>
          <w:sz w:val="24"/>
          <w:szCs w:val="24"/>
        </w:rPr>
      </w:pPr>
      <w:r>
        <w:rPr>
          <w:rFonts w:hint="eastAsia"/>
          <w:sz w:val="24"/>
          <w:szCs w:val="24"/>
        </w:rPr>
        <w:t>7</w:t>
      </w:r>
      <w:r>
        <w:rPr>
          <w:rFonts w:hint="eastAsia"/>
          <w:sz w:val="24"/>
          <w:szCs w:val="24"/>
          <w:lang w:eastAsia="zh-CN"/>
        </w:rPr>
        <w:t>、</w:t>
      </w:r>
      <w:r>
        <w:rPr>
          <w:rFonts w:hint="eastAsia"/>
          <w:sz w:val="24"/>
          <w:szCs w:val="24"/>
        </w:rPr>
        <w:t>项目上线：将系统正式上线运行，并提供技术支持和维护服务。</w:t>
      </w:r>
    </w:p>
    <w:p>
      <w:pPr>
        <w:spacing w:line="360" w:lineRule="auto"/>
        <w:ind w:firstLine="482" w:firstLineChars="200"/>
        <w:rPr>
          <w:sz w:val="24"/>
          <w:szCs w:val="24"/>
        </w:rPr>
      </w:pPr>
      <w:r>
        <w:rPr>
          <w:rFonts w:hint="eastAsia" w:ascii="宋体" w:hAnsi="宋体" w:cs="宋体"/>
          <w:b/>
          <w:bCs/>
          <w:sz w:val="24"/>
          <w:szCs w:val="24"/>
        </w:rPr>
        <w:t>（四）</w:t>
      </w:r>
      <w:r>
        <w:rPr>
          <w:rFonts w:hint="eastAsia"/>
          <w:b/>
          <w:bCs/>
          <w:sz w:val="24"/>
          <w:szCs w:val="24"/>
        </w:rPr>
        <w:t>项目参数需求</w:t>
      </w:r>
    </w:p>
    <w:tbl>
      <w:tblPr>
        <w:tblStyle w:val="14"/>
        <w:tblW w:w="9585" w:type="dxa"/>
        <w:tblInd w:w="115" w:type="dxa"/>
        <w:tblLayout w:type="fixed"/>
        <w:tblCellMar>
          <w:top w:w="0" w:type="dxa"/>
          <w:left w:w="108" w:type="dxa"/>
          <w:bottom w:w="0" w:type="dxa"/>
          <w:right w:w="108" w:type="dxa"/>
        </w:tblCellMar>
      </w:tblPr>
      <w:tblGrid>
        <w:gridCol w:w="1065"/>
        <w:gridCol w:w="1860"/>
        <w:gridCol w:w="1170"/>
        <w:gridCol w:w="1230"/>
        <w:gridCol w:w="4260"/>
      </w:tblGrid>
      <w:tr>
        <w:tblPrEx>
          <w:tblCellMar>
            <w:top w:w="0" w:type="dxa"/>
            <w:left w:w="108" w:type="dxa"/>
            <w:bottom w:w="0" w:type="dxa"/>
            <w:right w:w="108" w:type="dxa"/>
          </w:tblCellMar>
        </w:tblPrEx>
        <w:trPr>
          <w:trHeight w:val="585" w:hRule="atLeast"/>
        </w:trPr>
        <w:tc>
          <w:tcPr>
            <w:tcW w:w="1065"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序号</w:t>
            </w:r>
          </w:p>
        </w:tc>
        <w:tc>
          <w:tcPr>
            <w:tcW w:w="1860" w:type="dxa"/>
            <w:tcBorders>
              <w:top w:val="single" w:color="000000" w:sz="8" w:space="0"/>
              <w:left w:val="nil"/>
              <w:bottom w:val="single" w:color="000000" w:sz="8" w:space="0"/>
              <w:right w:val="single" w:color="000000" w:sz="8" w:space="0"/>
            </w:tcBorders>
            <w:noWrap/>
            <w:vAlign w:val="center"/>
          </w:tcPr>
          <w:p>
            <w:pPr>
              <w:widowControl/>
              <w:spacing w:line="360" w:lineRule="auto"/>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产品名称</w:t>
            </w:r>
          </w:p>
        </w:tc>
        <w:tc>
          <w:tcPr>
            <w:tcW w:w="1170" w:type="dxa"/>
            <w:tcBorders>
              <w:top w:val="single" w:color="000000" w:sz="8" w:space="0"/>
              <w:left w:val="nil"/>
              <w:bottom w:val="single" w:color="000000" w:sz="8" w:space="0"/>
              <w:right w:val="single" w:color="000000" w:sz="8" w:space="0"/>
            </w:tcBorders>
            <w:noWrap/>
            <w:vAlign w:val="center"/>
          </w:tcPr>
          <w:p>
            <w:pPr>
              <w:widowControl/>
              <w:spacing w:line="360" w:lineRule="auto"/>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单位</w:t>
            </w:r>
          </w:p>
        </w:tc>
        <w:tc>
          <w:tcPr>
            <w:tcW w:w="1230" w:type="dxa"/>
            <w:tcBorders>
              <w:top w:val="single" w:color="000000" w:sz="8" w:space="0"/>
              <w:left w:val="nil"/>
              <w:bottom w:val="single" w:color="000000" w:sz="8" w:space="0"/>
              <w:right w:val="single" w:color="000000" w:sz="8" w:space="0"/>
            </w:tcBorders>
            <w:noWrap/>
            <w:vAlign w:val="center"/>
          </w:tcPr>
          <w:p>
            <w:pPr>
              <w:widowControl/>
              <w:spacing w:line="360" w:lineRule="auto"/>
              <w:jc w:val="center"/>
              <w:textAlignment w:val="center"/>
              <w:rPr>
                <w:rFonts w:ascii="宋体" w:hAnsi="宋体" w:cs="宋体"/>
                <w:b/>
                <w:bCs/>
                <w:color w:val="000000"/>
                <w:sz w:val="24"/>
                <w:szCs w:val="24"/>
              </w:rPr>
            </w:pPr>
            <w:r>
              <w:rPr>
                <w:rFonts w:hint="eastAsia" w:ascii="宋体" w:hAnsi="宋体" w:cs="宋体"/>
                <w:b/>
                <w:bCs/>
                <w:color w:val="000000"/>
                <w:sz w:val="24"/>
                <w:szCs w:val="24"/>
              </w:rPr>
              <w:t>数量</w:t>
            </w:r>
          </w:p>
        </w:tc>
        <w:tc>
          <w:tcPr>
            <w:tcW w:w="4260" w:type="dxa"/>
            <w:tcBorders>
              <w:top w:val="single" w:color="000000" w:sz="8" w:space="0"/>
              <w:left w:val="nil"/>
              <w:bottom w:val="single" w:color="000000" w:sz="8" w:space="0"/>
              <w:right w:val="single" w:color="000000" w:sz="8" w:space="0"/>
            </w:tcBorders>
            <w:noWrap/>
            <w:vAlign w:val="center"/>
          </w:tcPr>
          <w:p>
            <w:pPr>
              <w:widowControl/>
              <w:spacing w:line="360" w:lineRule="auto"/>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备注</w:t>
            </w:r>
          </w:p>
        </w:tc>
      </w:tr>
      <w:tr>
        <w:tblPrEx>
          <w:tblCellMar>
            <w:top w:w="0" w:type="dxa"/>
            <w:left w:w="108" w:type="dxa"/>
            <w:bottom w:w="0" w:type="dxa"/>
            <w:right w:w="108" w:type="dxa"/>
          </w:tblCellMar>
        </w:tblPrEx>
        <w:trPr>
          <w:trHeight w:val="813" w:hRule="atLeast"/>
        </w:trPr>
        <w:tc>
          <w:tcPr>
            <w:tcW w:w="1065" w:type="dxa"/>
            <w:tcBorders>
              <w:top w:val="nil"/>
              <w:left w:val="single" w:color="000000" w:sz="8" w:space="0"/>
              <w:bottom w:val="single" w:color="auto" w:sz="4" w:space="0"/>
              <w:right w:val="single" w:color="000000" w:sz="8" w:space="0"/>
            </w:tcBorders>
            <w:noWrap/>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860" w:type="dxa"/>
            <w:tcBorders>
              <w:top w:val="nil"/>
              <w:left w:val="nil"/>
              <w:bottom w:val="single" w:color="auto" w:sz="4" w:space="0"/>
              <w:right w:val="single" w:color="000000" w:sz="8" w:space="0"/>
            </w:tcBorders>
            <w:noWrap/>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sz w:val="24"/>
                <w:szCs w:val="24"/>
              </w:rPr>
              <w:t>壁挂机</w:t>
            </w:r>
          </w:p>
        </w:tc>
        <w:tc>
          <w:tcPr>
            <w:tcW w:w="1170" w:type="dxa"/>
            <w:tcBorders>
              <w:top w:val="nil"/>
              <w:left w:val="nil"/>
              <w:bottom w:val="single" w:color="auto" w:sz="4" w:space="0"/>
              <w:right w:val="single" w:color="000000" w:sz="8" w:space="0"/>
            </w:tcBorders>
            <w:noWrap/>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1230" w:type="dxa"/>
            <w:tcBorders>
              <w:top w:val="nil"/>
              <w:left w:val="nil"/>
              <w:bottom w:val="single" w:color="auto" w:sz="4" w:space="0"/>
              <w:right w:val="single" w:color="000000" w:sz="8" w:space="0"/>
            </w:tcBorders>
            <w:noWrap/>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4260" w:type="dxa"/>
            <w:tcBorders>
              <w:top w:val="nil"/>
              <w:left w:val="nil"/>
              <w:bottom w:val="single" w:color="auto" w:sz="4" w:space="0"/>
              <w:right w:val="single" w:color="000000" w:sz="8" w:space="0"/>
            </w:tcBorders>
            <w:noWrap/>
            <w:vAlign w:val="center"/>
          </w:tcPr>
          <w:p>
            <w:pPr>
              <w:widowControl/>
              <w:spacing w:line="360" w:lineRule="auto"/>
              <w:textAlignment w:val="center"/>
              <w:rPr>
                <w:rFonts w:ascii="宋体" w:hAnsi="宋体" w:cs="宋体"/>
                <w:color w:val="000000"/>
                <w:sz w:val="24"/>
                <w:szCs w:val="24"/>
              </w:rPr>
            </w:pPr>
            <w:r>
              <w:rPr>
                <w:rFonts w:hint="eastAsia" w:ascii="宋体" w:hAnsi="宋体" w:cs="宋体"/>
                <w:color w:val="000000"/>
                <w:sz w:val="24"/>
                <w:szCs w:val="24"/>
              </w:rPr>
              <w:t>见附件参数</w:t>
            </w:r>
          </w:p>
        </w:tc>
      </w:tr>
      <w:tr>
        <w:tblPrEx>
          <w:tblCellMar>
            <w:top w:w="0" w:type="dxa"/>
            <w:left w:w="108" w:type="dxa"/>
            <w:bottom w:w="0" w:type="dxa"/>
            <w:right w:w="108" w:type="dxa"/>
          </w:tblCellMar>
        </w:tblPrEx>
        <w:trPr>
          <w:trHeight w:val="1252" w:hRule="atLeast"/>
        </w:trPr>
        <w:tc>
          <w:tcPr>
            <w:tcW w:w="106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8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软件服务</w:t>
            </w:r>
          </w:p>
        </w:tc>
        <w:tc>
          <w:tcPr>
            <w:tcW w:w="117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项</w:t>
            </w:r>
          </w:p>
        </w:tc>
        <w:tc>
          <w:tcPr>
            <w:tcW w:w="123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426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textAlignment w:val="center"/>
              <w:rPr>
                <w:rFonts w:ascii="宋体" w:hAnsi="宋体" w:cs="宋体"/>
                <w:color w:val="000000"/>
                <w:sz w:val="24"/>
                <w:szCs w:val="24"/>
              </w:rPr>
            </w:pPr>
            <w:r>
              <w:rPr>
                <w:rFonts w:hint="eastAsia" w:ascii="宋体" w:hAnsi="宋体" w:cs="宋体"/>
                <w:color w:val="000000"/>
                <w:sz w:val="24"/>
                <w:szCs w:val="24"/>
              </w:rPr>
              <w:t>功能：</w:t>
            </w:r>
          </w:p>
          <w:p>
            <w:pPr>
              <w:widowControl/>
              <w:spacing w:line="360" w:lineRule="auto"/>
              <w:textAlignment w:val="center"/>
              <w:rPr>
                <w:rFonts w:ascii="宋体" w:hAnsi="宋体" w:cs="宋体"/>
                <w:color w:val="000000"/>
                <w:sz w:val="24"/>
                <w:szCs w:val="24"/>
              </w:rPr>
            </w:pPr>
            <w:r>
              <w:rPr>
                <w:rFonts w:hint="eastAsia" w:ascii="宋体" w:hAnsi="宋体" w:cs="宋体"/>
                <w:color w:val="000000"/>
                <w:sz w:val="24"/>
                <w:szCs w:val="24"/>
              </w:rPr>
              <w:t>1.通过医保电子凭证、二代身份证、刷脸、就诊卡、电子健康卡、市民卡、扫描门诊号二维码（支持有效时间校验，过期失效）等方式进行门诊就诊取排队号；</w:t>
            </w:r>
          </w:p>
          <w:p>
            <w:pPr>
              <w:widowControl/>
              <w:numPr>
                <w:ilvl w:val="0"/>
                <w:numId w:val="1"/>
              </w:numPr>
              <w:spacing w:line="360" w:lineRule="auto"/>
              <w:textAlignment w:val="center"/>
              <w:rPr>
                <w:rFonts w:ascii="宋体" w:hAnsi="宋体" w:cs="宋体"/>
                <w:color w:val="000000"/>
                <w:sz w:val="24"/>
                <w:szCs w:val="24"/>
              </w:rPr>
            </w:pPr>
            <w:r>
              <w:rPr>
                <w:rFonts w:hint="eastAsia" w:ascii="宋体" w:hAnsi="宋体" w:cs="宋体"/>
                <w:color w:val="000000"/>
                <w:sz w:val="24"/>
                <w:szCs w:val="24"/>
              </w:rPr>
              <w:t>操作界面中英文结合；</w:t>
            </w:r>
          </w:p>
          <w:p>
            <w:pPr>
              <w:widowControl/>
              <w:numPr>
                <w:ilvl w:val="0"/>
                <w:numId w:val="1"/>
              </w:numPr>
              <w:spacing w:line="360" w:lineRule="auto"/>
              <w:textAlignment w:val="center"/>
              <w:rPr>
                <w:rFonts w:ascii="宋体" w:hAnsi="宋体" w:cs="宋体"/>
                <w:color w:val="000000"/>
                <w:sz w:val="24"/>
                <w:szCs w:val="24"/>
              </w:rPr>
            </w:pPr>
            <w:r>
              <w:rPr>
                <w:rFonts w:hint="eastAsia" w:ascii="宋体" w:hAnsi="宋体" w:cs="宋体"/>
                <w:color w:val="000000"/>
                <w:sz w:val="24"/>
                <w:szCs w:val="24"/>
              </w:rPr>
              <w:t>只能取当前位置院区的门诊排队号，不同分院区取号时提示失败并提醒去相应分院区进行取号。</w:t>
            </w:r>
          </w:p>
        </w:tc>
      </w:tr>
      <w:tr>
        <w:tblPrEx>
          <w:tblCellMar>
            <w:top w:w="0" w:type="dxa"/>
            <w:left w:w="108" w:type="dxa"/>
            <w:bottom w:w="0" w:type="dxa"/>
            <w:right w:w="108" w:type="dxa"/>
          </w:tblCellMar>
        </w:tblPrEx>
        <w:trPr>
          <w:trHeight w:val="585" w:hRule="atLeast"/>
        </w:trPr>
        <w:tc>
          <w:tcPr>
            <w:tcW w:w="106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86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接口服务</w:t>
            </w:r>
          </w:p>
        </w:tc>
        <w:tc>
          <w:tcPr>
            <w:tcW w:w="117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项</w:t>
            </w:r>
          </w:p>
        </w:tc>
        <w:tc>
          <w:tcPr>
            <w:tcW w:w="123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426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textAlignment w:val="center"/>
              <w:rPr>
                <w:rFonts w:ascii="宋体" w:hAnsi="宋体" w:cs="宋体"/>
                <w:color w:val="000000"/>
                <w:sz w:val="24"/>
                <w:szCs w:val="24"/>
              </w:rPr>
            </w:pPr>
            <w:r>
              <w:rPr>
                <w:rFonts w:hint="eastAsia" w:ascii="宋体" w:hAnsi="宋体" w:cs="宋体"/>
                <w:color w:val="000000"/>
                <w:sz w:val="24"/>
                <w:szCs w:val="24"/>
              </w:rPr>
              <w:t>对接医院信息系统</w:t>
            </w:r>
          </w:p>
        </w:tc>
      </w:tr>
    </w:tbl>
    <w:p>
      <w:pPr>
        <w:spacing w:line="360" w:lineRule="auto"/>
        <w:rPr>
          <w:b/>
          <w:bCs/>
          <w:sz w:val="24"/>
          <w:szCs w:val="24"/>
        </w:rPr>
      </w:pPr>
      <w:r>
        <w:rPr>
          <w:rFonts w:hint="eastAsia"/>
          <w:b/>
          <w:bCs/>
          <w:sz w:val="24"/>
          <w:szCs w:val="24"/>
        </w:rPr>
        <w:t>注：内容不仅限于以上报表，根据实际调整。</w:t>
      </w:r>
    </w:p>
    <w:p>
      <w:pPr>
        <w:pStyle w:val="6"/>
        <w:spacing w:line="360" w:lineRule="auto"/>
        <w:ind w:firstLine="240"/>
        <w:rPr>
          <w:rFonts w:hint="eastAsia"/>
          <w:b/>
          <w:bCs/>
          <w:sz w:val="24"/>
          <w:szCs w:val="24"/>
        </w:rPr>
      </w:pPr>
    </w:p>
    <w:p>
      <w:pPr>
        <w:pStyle w:val="6"/>
        <w:spacing w:line="360" w:lineRule="auto"/>
        <w:ind w:left="0" w:leftChars="0" w:firstLine="0" w:firstLineChars="0"/>
        <w:rPr>
          <w:rFonts w:hint="eastAsia" w:eastAsiaTheme="minorEastAsia"/>
          <w:b/>
          <w:bCs/>
          <w:sz w:val="24"/>
          <w:szCs w:val="24"/>
          <w:lang w:eastAsia="zh-CN"/>
        </w:rPr>
      </w:pPr>
      <w:r>
        <w:rPr>
          <w:rFonts w:hint="eastAsia"/>
          <w:b/>
          <w:bCs/>
          <w:sz w:val="24"/>
          <w:szCs w:val="24"/>
        </w:rPr>
        <w:t>附件参数：壁挂机参数需求</w:t>
      </w:r>
    </w:p>
    <w:tbl>
      <w:tblPr>
        <w:tblStyle w:val="14"/>
        <w:tblW w:w="49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665"/>
        <w:gridCol w:w="6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65" w:type="pct"/>
            <w:noWrap/>
            <w:vAlign w:val="center"/>
          </w:tcPr>
          <w:p>
            <w:pPr>
              <w:spacing w:line="360" w:lineRule="auto"/>
              <w:jc w:val="center"/>
              <w:rPr>
                <w:rFonts w:ascii="宋体" w:hAnsi="宋体" w:cs="宋体"/>
                <w:b/>
                <w:bCs/>
                <w:sz w:val="24"/>
                <w:szCs w:val="24"/>
              </w:rPr>
            </w:pPr>
            <w:r>
              <w:rPr>
                <w:rFonts w:hint="eastAsia" w:ascii="宋体" w:hAnsi="宋体" w:cs="宋体"/>
                <w:b/>
                <w:bCs/>
                <w:sz w:val="24"/>
                <w:szCs w:val="24"/>
              </w:rPr>
              <w:t>序号</w:t>
            </w:r>
          </w:p>
        </w:tc>
        <w:tc>
          <w:tcPr>
            <w:tcW w:w="868" w:type="pct"/>
            <w:noWrap/>
            <w:vAlign w:val="center"/>
          </w:tcPr>
          <w:p>
            <w:pPr>
              <w:spacing w:line="360" w:lineRule="auto"/>
              <w:jc w:val="center"/>
              <w:rPr>
                <w:rFonts w:ascii="宋体" w:hAnsi="宋体" w:cs="宋体"/>
                <w:b/>
                <w:bCs/>
                <w:sz w:val="24"/>
                <w:szCs w:val="24"/>
              </w:rPr>
            </w:pPr>
            <w:r>
              <w:rPr>
                <w:rFonts w:hint="eastAsia" w:ascii="宋体" w:hAnsi="宋体" w:cs="宋体"/>
                <w:b/>
                <w:bCs/>
                <w:sz w:val="24"/>
                <w:szCs w:val="24"/>
              </w:rPr>
              <w:t>品 名</w:t>
            </w:r>
          </w:p>
        </w:tc>
        <w:tc>
          <w:tcPr>
            <w:tcW w:w="3566" w:type="pct"/>
            <w:noWrap/>
            <w:vAlign w:val="center"/>
          </w:tcPr>
          <w:p>
            <w:pPr>
              <w:spacing w:line="360" w:lineRule="auto"/>
              <w:jc w:val="center"/>
              <w:rPr>
                <w:rFonts w:ascii="宋体" w:hAnsi="宋体" w:cs="宋体"/>
                <w:b/>
                <w:bCs/>
                <w:sz w:val="24"/>
                <w:szCs w:val="24"/>
              </w:rPr>
            </w:pPr>
            <w:r>
              <w:rPr>
                <w:rFonts w:hint="eastAsia" w:ascii="宋体" w:hAnsi="宋体" w:cs="宋体"/>
                <w:b/>
                <w:bCs/>
                <w:sz w:val="24"/>
                <w:szCs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65" w:type="pct"/>
            <w:vMerge w:val="restart"/>
            <w:noWrap/>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 </w:t>
            </w:r>
          </w:p>
        </w:tc>
        <w:tc>
          <w:tcPr>
            <w:tcW w:w="868" w:type="pct"/>
            <w:vMerge w:val="restart"/>
            <w:noWrap/>
            <w:vAlign w:val="center"/>
          </w:tcPr>
          <w:p>
            <w:pPr>
              <w:spacing w:line="360" w:lineRule="auto"/>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主控</w:t>
            </w:r>
          </w:p>
        </w:tc>
        <w:tc>
          <w:tcPr>
            <w:tcW w:w="3566" w:type="pct"/>
            <w:vMerge w:val="restart"/>
            <w:noWrap/>
          </w:tcPr>
          <w:p>
            <w:pPr>
              <w:widowControl/>
              <w:spacing w:line="360" w:lineRule="auto"/>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Win10系统64位操作系统</w:t>
            </w:r>
          </w:p>
          <w:p>
            <w:pPr>
              <w:widowControl/>
              <w:spacing w:line="360" w:lineRule="auto"/>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十一代高性能CPU，Core I3 1115G4双核；主频3GHz，最高4.1GHZ</w:t>
            </w:r>
          </w:p>
          <w:p>
            <w:pPr>
              <w:widowControl/>
              <w:spacing w:line="360" w:lineRule="auto"/>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内存：8G DDR4</w:t>
            </w:r>
          </w:p>
          <w:p>
            <w:pPr>
              <w:widowControl/>
              <w:spacing w:line="360" w:lineRule="auto"/>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硬盘：SATA3.0  256G SSD </w:t>
            </w:r>
          </w:p>
          <w:p>
            <w:pPr>
              <w:widowControl/>
              <w:spacing w:line="360" w:lineRule="auto"/>
              <w:jc w:val="left"/>
              <w:textAlignment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支持接口：1×RJ45 LAN (RTL8111H PCIe 总线网卡芯片),1*LPT，1*PS/2,1*M.2M KEY，1*SATA；VGA、HDMI 支持双屏同步/异步显示；2×USB3.0，8×USB2.0，6×COM。自带显卡、声卡、网卡；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65" w:type="pct"/>
            <w:vMerge w:val="continue"/>
            <w:noWrap/>
            <w:vAlign w:val="center"/>
          </w:tcPr>
          <w:p>
            <w:pPr>
              <w:spacing w:line="360" w:lineRule="auto"/>
              <w:jc w:val="center"/>
              <w:rPr>
                <w:rFonts w:asciiTheme="minorEastAsia" w:hAnsiTheme="minorEastAsia" w:eastAsiaTheme="minorEastAsia"/>
                <w:sz w:val="24"/>
                <w:szCs w:val="24"/>
              </w:rPr>
            </w:pPr>
          </w:p>
        </w:tc>
        <w:tc>
          <w:tcPr>
            <w:tcW w:w="868" w:type="pct"/>
            <w:vMerge w:val="continue"/>
            <w:noWrap/>
            <w:vAlign w:val="center"/>
          </w:tcPr>
          <w:p>
            <w:pPr>
              <w:spacing w:line="360" w:lineRule="auto"/>
              <w:jc w:val="center"/>
              <w:rPr>
                <w:rFonts w:asciiTheme="minorEastAsia" w:hAnsiTheme="minorEastAsia" w:eastAsiaTheme="minorEastAsia"/>
                <w:sz w:val="24"/>
                <w:szCs w:val="24"/>
              </w:rPr>
            </w:pPr>
          </w:p>
        </w:tc>
        <w:tc>
          <w:tcPr>
            <w:tcW w:w="3566" w:type="pct"/>
            <w:vMerge w:val="continue"/>
            <w:noWrap/>
          </w:tcPr>
          <w:p>
            <w:pPr>
              <w:spacing w:line="360" w:lineRule="auto"/>
              <w:jc w:val="center"/>
              <w:rPr>
                <w:rFonts w:cs="宋体"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65" w:type="pct"/>
            <w:vMerge w:val="continue"/>
            <w:noWrap/>
            <w:vAlign w:val="center"/>
          </w:tcPr>
          <w:p>
            <w:pPr>
              <w:spacing w:line="360" w:lineRule="auto"/>
              <w:jc w:val="center"/>
              <w:rPr>
                <w:rFonts w:cs="宋体" w:asciiTheme="minorEastAsia" w:hAnsiTheme="minorEastAsia" w:eastAsiaTheme="minorEastAsia"/>
                <w:color w:val="000000"/>
                <w:kern w:val="0"/>
                <w:sz w:val="24"/>
                <w:szCs w:val="24"/>
              </w:rPr>
            </w:pPr>
          </w:p>
        </w:tc>
        <w:tc>
          <w:tcPr>
            <w:tcW w:w="868" w:type="pct"/>
            <w:vMerge w:val="continue"/>
            <w:noWrap/>
            <w:vAlign w:val="center"/>
          </w:tcPr>
          <w:p>
            <w:pPr>
              <w:spacing w:line="360" w:lineRule="auto"/>
              <w:jc w:val="center"/>
              <w:rPr>
                <w:rFonts w:cs="宋体" w:asciiTheme="minorEastAsia" w:hAnsiTheme="minorEastAsia" w:eastAsiaTheme="minorEastAsia"/>
                <w:color w:val="000000"/>
                <w:kern w:val="0"/>
                <w:sz w:val="24"/>
                <w:szCs w:val="24"/>
              </w:rPr>
            </w:pPr>
          </w:p>
        </w:tc>
        <w:tc>
          <w:tcPr>
            <w:tcW w:w="3566" w:type="pct"/>
            <w:vMerge w:val="continue"/>
            <w:noWrap/>
          </w:tcPr>
          <w:p>
            <w:pPr>
              <w:spacing w:line="360" w:lineRule="auto"/>
              <w:jc w:val="center"/>
              <w:rPr>
                <w:rFonts w:cs="宋体"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jc w:val="center"/>
        </w:trPr>
        <w:tc>
          <w:tcPr>
            <w:tcW w:w="565" w:type="pct"/>
            <w:noWrap/>
            <w:vAlign w:val="center"/>
          </w:tcPr>
          <w:p>
            <w:pPr>
              <w:pStyle w:val="23"/>
              <w:spacing w:line="360" w:lineRule="auto"/>
              <w:ind w:firstLine="0" w:firstLineChars="0"/>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 xml:space="preserve">2 </w:t>
            </w:r>
          </w:p>
        </w:tc>
        <w:tc>
          <w:tcPr>
            <w:tcW w:w="868" w:type="pct"/>
            <w:noWrap/>
            <w:vAlign w:val="center"/>
          </w:tcPr>
          <w:p>
            <w:pPr>
              <w:widowControl/>
              <w:spacing w:line="360" w:lineRule="auto"/>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支付宝</w:t>
            </w:r>
          </w:p>
          <w:p>
            <w:pPr>
              <w:spacing w:line="360" w:lineRule="auto"/>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kern w:val="0"/>
                <w:sz w:val="24"/>
                <w:szCs w:val="24"/>
              </w:rPr>
              <w:t>刷脸付摄像头</w:t>
            </w:r>
          </w:p>
        </w:tc>
        <w:tc>
          <w:tcPr>
            <w:tcW w:w="3566" w:type="pct"/>
            <w:noWrap/>
          </w:tcPr>
          <w:p>
            <w:pPr>
              <w:widowControl/>
              <w:spacing w:line="360" w:lineRule="auto"/>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深度图分辨率：480×640@30FPS；</w:t>
            </w:r>
          </w:p>
          <w:p>
            <w:pPr>
              <w:widowControl/>
              <w:spacing w:line="360" w:lineRule="auto"/>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彩色图分辨率：960×1280@30FPS、480×640@30FPS；</w:t>
            </w:r>
          </w:p>
          <w:p>
            <w:pPr>
              <w:widowControl/>
              <w:spacing w:line="360" w:lineRule="auto"/>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深度范围：0.3-1M；</w:t>
            </w:r>
          </w:p>
          <w:p>
            <w:pPr>
              <w:widowControl/>
              <w:spacing w:line="360" w:lineRule="auto"/>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精度：±1mm@300mm ±2mm@600mm ±4mm@1000mm；</w:t>
            </w:r>
          </w:p>
          <w:p>
            <w:pPr>
              <w:widowControl/>
              <w:spacing w:line="360" w:lineRule="auto"/>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深度FOV：H 54 ° ±2° V 68°±3°；</w:t>
            </w:r>
          </w:p>
          <w:p>
            <w:pPr>
              <w:widowControl/>
              <w:spacing w:line="360" w:lineRule="auto"/>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彩色FOV：H 54 ° ±2° V 68°±3°；D2CFOV：H 54 ° ±2° V 68°±3°；</w:t>
            </w:r>
          </w:p>
          <w:p>
            <w:pPr>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kern w:val="0"/>
                <w:sz w:val="24"/>
                <w:szCs w:val="24"/>
              </w:rPr>
              <w:t>数据传输：USB2.0；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4" w:hRule="atLeast"/>
          <w:jc w:val="center"/>
        </w:trPr>
        <w:tc>
          <w:tcPr>
            <w:tcW w:w="565" w:type="pct"/>
            <w:noWrap/>
            <w:vAlign w:val="center"/>
          </w:tcPr>
          <w:p>
            <w:pPr>
              <w:pStyle w:val="23"/>
              <w:spacing w:line="360" w:lineRule="auto"/>
              <w:ind w:firstLine="0" w:firstLineChars="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p>
        </w:tc>
        <w:tc>
          <w:tcPr>
            <w:tcW w:w="868" w:type="pct"/>
            <w:noWrap/>
            <w:vAlign w:val="center"/>
          </w:tcPr>
          <w:p>
            <w:pPr>
              <w:spacing w:line="360" w:lineRule="auto"/>
              <w:rPr>
                <w:rFonts w:cs="宋体" w:asciiTheme="minorEastAsia" w:hAnsiTheme="minorEastAsia" w:eastAsiaTheme="minorEastAsia"/>
                <w:b/>
                <w:sz w:val="24"/>
                <w:szCs w:val="24"/>
              </w:rPr>
            </w:pPr>
          </w:p>
          <w:p>
            <w:pPr>
              <w:spacing w:line="360" w:lineRule="auto"/>
              <w:rPr>
                <w:rFonts w:cs="宋体" w:asciiTheme="minorEastAsia" w:hAnsiTheme="minorEastAsia" w:eastAsiaTheme="minorEastAsia"/>
                <w:b/>
                <w:sz w:val="24"/>
                <w:szCs w:val="24"/>
              </w:rPr>
            </w:pPr>
          </w:p>
          <w:p>
            <w:pPr>
              <w:spacing w:line="360" w:lineRule="auto"/>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触显一体屏</w:t>
            </w:r>
          </w:p>
        </w:tc>
        <w:tc>
          <w:tcPr>
            <w:tcW w:w="3566" w:type="pct"/>
            <w:noWrap/>
          </w:tcPr>
          <w:p>
            <w:pPr>
              <w:widowControl/>
              <w:spacing w:line="360" w:lineRule="auto"/>
              <w:jc w:val="left"/>
              <w:textAlignment w:val="center"/>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b/>
                <w:color w:val="000000"/>
                <w:kern w:val="0"/>
                <w:sz w:val="24"/>
                <w:szCs w:val="24"/>
                <w:highlight w:val="none"/>
              </w:rPr>
              <w:t>★</w:t>
            </w:r>
            <w:r>
              <w:rPr>
                <w:rFonts w:hint="eastAsia" w:cs="宋体" w:asciiTheme="minorEastAsia" w:hAnsiTheme="minorEastAsia" w:eastAsiaTheme="minorEastAsia"/>
                <w:kern w:val="0"/>
                <w:sz w:val="24"/>
                <w:szCs w:val="24"/>
                <w:highlight w:val="none"/>
              </w:rPr>
              <w:t>显示类型</w:t>
            </w:r>
            <w:r>
              <w:rPr>
                <w:rFonts w:hint="eastAsia" w:cs="宋体" w:asciiTheme="minorEastAsia" w:hAnsiTheme="minorEastAsia" w:eastAsiaTheme="minorEastAsia"/>
                <w:kern w:val="0"/>
                <w:sz w:val="24"/>
                <w:szCs w:val="24"/>
                <w:highlight w:val="none"/>
              </w:rPr>
              <w:tab/>
            </w:r>
            <w:r>
              <w:rPr>
                <w:rFonts w:hint="eastAsia" w:cs="宋体" w:asciiTheme="minorEastAsia" w:hAnsiTheme="minorEastAsia" w:eastAsiaTheme="minorEastAsia"/>
                <w:kern w:val="0"/>
                <w:sz w:val="24"/>
                <w:szCs w:val="24"/>
                <w:highlight w:val="none"/>
              </w:rPr>
              <w:t>：≧21.5＂Full HD TFT-LCD</w:t>
            </w:r>
          </w:p>
          <w:p>
            <w:pPr>
              <w:widowControl/>
              <w:spacing w:line="360" w:lineRule="auto"/>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分辨率：1920*1080，像素排列RGB 垂直条状，宽高比：16：9，像素间距0.08265×0.24795mm (H×V),表面硬度：3H，可视区域：476.064*267.786mm,屏幕亮度：250 cd/m²，响应时间：14ms</w:t>
            </w:r>
          </w:p>
          <w:p>
            <w:pPr>
              <w:widowControl/>
              <w:spacing w:line="360" w:lineRule="auto"/>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表面硬度：&gt;6H</w:t>
            </w:r>
          </w:p>
          <w:p>
            <w:pPr>
              <w:widowControl/>
              <w:spacing w:line="360" w:lineRule="auto"/>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透光率：&gt;85%</w:t>
            </w:r>
          </w:p>
          <w:p>
            <w:pPr>
              <w:widowControl/>
              <w:spacing w:line="360" w:lineRule="auto"/>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触摸寿命：＞3亿次</w:t>
            </w:r>
          </w:p>
          <w:p>
            <w:pPr>
              <w:widowControl/>
              <w:spacing w:line="360" w:lineRule="auto"/>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响应时间：&lt;10ms</w:t>
            </w:r>
          </w:p>
          <w:p>
            <w:pPr>
              <w:widowControl/>
              <w:spacing w:line="360" w:lineRule="auto"/>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最大支持点数：10点触控</w:t>
            </w:r>
          </w:p>
          <w:p>
            <w:pPr>
              <w:widowControl/>
              <w:spacing w:line="360" w:lineRule="auto"/>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工作电压：4.75--5.25V</w:t>
            </w:r>
          </w:p>
          <w:p>
            <w:pPr>
              <w:widowControl/>
              <w:spacing w:line="360" w:lineRule="auto"/>
              <w:jc w:val="left"/>
              <w:textAlignment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最大工作电流：130</w:t>
            </w:r>
            <w:r>
              <w:rPr>
                <w:rFonts w:hint="eastAsia" w:cs="宋体" w:asciiTheme="minorEastAsia" w:hAnsiTheme="minorEastAsia" w:eastAsiaTheme="minorEastAsia"/>
                <w:sz w:val="24"/>
                <w:szCs w:val="24"/>
              </w:rPr>
              <w:t>mA</w:t>
            </w:r>
          </w:p>
          <w:p>
            <w:pPr>
              <w:pStyle w:val="6"/>
              <w:spacing w:line="360" w:lineRule="auto"/>
              <w:ind w:firstLine="0" w:firstLineChars="0"/>
              <w:rPr>
                <w:rFonts w:cs="宋体" w:asciiTheme="minorEastAsia" w:hAnsiTheme="minorEastAsia"/>
                <w:sz w:val="24"/>
                <w:szCs w:val="24"/>
                <w:shd w:val="clear" w:color="auto" w:fill="FFFFFF"/>
              </w:rPr>
            </w:pPr>
            <w:r>
              <w:rPr>
                <w:rFonts w:hint="eastAsia" w:cs="宋体" w:asciiTheme="minorEastAsia" w:hAnsiTheme="minorEastAsia"/>
                <w:sz w:val="24"/>
                <w:szCs w:val="24"/>
              </w:rPr>
              <w:t>接口方式：USB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8" w:hRule="atLeast"/>
          <w:jc w:val="center"/>
        </w:trPr>
        <w:tc>
          <w:tcPr>
            <w:tcW w:w="565" w:type="pct"/>
            <w:noWrap/>
            <w:vAlign w:val="center"/>
          </w:tcPr>
          <w:p>
            <w:pPr>
              <w:pStyle w:val="23"/>
              <w:spacing w:line="360" w:lineRule="auto"/>
              <w:ind w:firstLine="0" w:firstLineChars="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w:t>
            </w:r>
          </w:p>
        </w:tc>
        <w:tc>
          <w:tcPr>
            <w:tcW w:w="868" w:type="pct"/>
            <w:noWrap/>
            <w:vAlign w:val="center"/>
          </w:tcPr>
          <w:p>
            <w:pPr>
              <w:spacing w:line="360" w:lineRule="auto"/>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读卡器</w:t>
            </w:r>
          </w:p>
        </w:tc>
        <w:tc>
          <w:tcPr>
            <w:tcW w:w="3566" w:type="pct"/>
            <w:noWrap/>
            <w:vAlign w:val="center"/>
          </w:tcPr>
          <w:p>
            <w:pPr>
              <w:widowControl/>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支持 ISO 7810 和 7811 标准1、2、3轨磁条的读功能，双向刷卡，单面刷卡；</w:t>
            </w:r>
          </w:p>
          <w:p>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支持符合ISO 7816标准的 T=0、T=1的CPU卡的操作；</w:t>
            </w:r>
          </w:p>
          <w:p>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支持ISO/IEC 7816-1/2/3接触式CPU卡、卡座插拔卡寿命至少20万次；</w:t>
            </w:r>
          </w:p>
          <w:p>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支持ISO/IEC14443-A/B/C Mifare卡非接触式卡片；</w:t>
            </w:r>
          </w:p>
          <w:p>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支持4个PSAM卡安全模块；</w:t>
            </w:r>
          </w:p>
          <w:p>
            <w:pPr>
              <w:pStyle w:val="13"/>
              <w:spacing w:line="360" w:lineRule="auto"/>
              <w:ind w:left="0" w:firstLine="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全速USB接口、安装方便、无需额外安装驱动、操作简易支持在线程序升级，提供Windows/Linux/Unix等各种平台下的应用程序标准DLL动态库接口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5" w:type="pct"/>
            <w:noWrap/>
            <w:vAlign w:val="center"/>
          </w:tcPr>
          <w:p>
            <w:pPr>
              <w:pStyle w:val="23"/>
              <w:spacing w:line="360" w:lineRule="auto"/>
              <w:ind w:firstLine="0" w:firstLineChars="0"/>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5</w:t>
            </w:r>
          </w:p>
        </w:tc>
        <w:tc>
          <w:tcPr>
            <w:tcW w:w="868" w:type="pct"/>
            <w:noWrap/>
            <w:vAlign w:val="center"/>
          </w:tcPr>
          <w:p>
            <w:pPr>
              <w:spacing w:line="360" w:lineRule="auto"/>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身份证模块</w:t>
            </w:r>
          </w:p>
        </w:tc>
        <w:tc>
          <w:tcPr>
            <w:tcW w:w="3566" w:type="pct"/>
            <w:noWrap/>
          </w:tcPr>
          <w:p>
            <w:pPr>
              <w:widowControl/>
              <w:spacing w:line="360" w:lineRule="auto"/>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公安部认证模块，USB接口  支持卡型：符合ISO/IEC 14443 TYPE B 标准的非接触卡；工作频率：13.56MHz ；感应面积：55*55mm ；感应距离： </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3</w:t>
            </w:r>
            <w:r>
              <w:rPr>
                <w:rFonts w:cs="宋体" w:asciiTheme="minorEastAsia" w:hAnsiTheme="minorEastAsia" w:eastAsiaTheme="minorEastAsia"/>
                <w:kern w:val="0"/>
                <w:sz w:val="24"/>
                <w:szCs w:val="24"/>
              </w:rPr>
              <w:t>0mm</w:t>
            </w:r>
            <w:r>
              <w:rPr>
                <w:rFonts w:hint="eastAsia" w:cs="宋体" w:asciiTheme="minorEastAsia" w:hAnsiTheme="minorEastAsia" w:eastAsiaTheme="minorEastAsia"/>
                <w:kern w:val="0"/>
                <w:sz w:val="24"/>
                <w:szCs w:val="24"/>
              </w:rPr>
              <w:t xml:space="preserve"> ；软件接口：支持VC、VB、DELPHI、PB等 ；电源：计算机供电（USB接口）；工作电流：220mA/DC ；平均无故障工作时间：大于等于30000小时。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6" w:hRule="atLeast"/>
          <w:jc w:val="center"/>
        </w:trPr>
        <w:tc>
          <w:tcPr>
            <w:tcW w:w="565" w:type="pct"/>
            <w:noWrap/>
            <w:vAlign w:val="center"/>
          </w:tcPr>
          <w:p>
            <w:pPr>
              <w:pStyle w:val="23"/>
              <w:spacing w:line="360" w:lineRule="auto"/>
              <w:ind w:firstLine="0" w:firstLineChars="0"/>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6</w:t>
            </w:r>
          </w:p>
        </w:tc>
        <w:tc>
          <w:tcPr>
            <w:tcW w:w="868" w:type="pct"/>
            <w:noWrap/>
            <w:vAlign w:val="center"/>
          </w:tcPr>
          <w:p>
            <w:pPr>
              <w:spacing w:line="360" w:lineRule="auto"/>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凭条打印机</w:t>
            </w:r>
          </w:p>
        </w:tc>
        <w:tc>
          <w:tcPr>
            <w:tcW w:w="3566" w:type="pct"/>
            <w:noWrap/>
          </w:tcPr>
          <w:p>
            <w:pPr>
              <w:widowControl/>
              <w:spacing w:line="360" w:lineRule="auto"/>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打印机头：8300机头/半切 (带导纸嘴装置）</w:t>
            </w:r>
          </w:p>
          <w:p>
            <w:pPr>
              <w:widowControl/>
              <w:spacing w:line="360" w:lineRule="auto"/>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打印方式：热敏；</w:t>
            </w:r>
          </w:p>
          <w:p>
            <w:pPr>
              <w:widowControl/>
              <w:spacing w:line="360" w:lineRule="auto"/>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打印速度：150mm/S；</w:t>
            </w:r>
          </w:p>
          <w:p>
            <w:pPr>
              <w:widowControl/>
              <w:spacing w:line="360" w:lineRule="auto"/>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切刀寿命：100w；</w:t>
            </w:r>
          </w:p>
          <w:p>
            <w:pPr>
              <w:widowControl/>
              <w:spacing w:line="360" w:lineRule="auto"/>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b/>
                <w:color w:val="000000"/>
                <w:kern w:val="0"/>
                <w:sz w:val="24"/>
                <w:szCs w:val="24"/>
              </w:rPr>
              <w:t>★</w:t>
            </w:r>
            <w:r>
              <w:rPr>
                <w:rFonts w:hint="eastAsia" w:cs="宋体" w:asciiTheme="minorEastAsia" w:hAnsiTheme="minorEastAsia" w:eastAsiaTheme="minorEastAsia"/>
                <w:kern w:val="0"/>
                <w:sz w:val="24"/>
                <w:szCs w:val="24"/>
              </w:rPr>
              <w:t>打印宽度:</w:t>
            </w:r>
            <w:r>
              <w:rPr>
                <w:rFonts w:hint="eastAsia" w:cs="宋体" w:asciiTheme="minorEastAsia" w:hAnsiTheme="minorEastAsia" w:eastAsiaTheme="minorEastAsia"/>
                <w:b/>
                <w:color w:val="000000"/>
                <w:kern w:val="0"/>
                <w:sz w:val="24"/>
                <w:szCs w:val="24"/>
              </w:rPr>
              <w:t>≧</w:t>
            </w:r>
            <w:r>
              <w:rPr>
                <w:rFonts w:hint="eastAsia" w:cs="宋体" w:asciiTheme="minorEastAsia" w:hAnsiTheme="minorEastAsia" w:eastAsiaTheme="minorEastAsia"/>
                <w:kern w:val="0"/>
                <w:sz w:val="24"/>
                <w:szCs w:val="24"/>
              </w:rPr>
              <w:t>80mm</w:t>
            </w:r>
          </w:p>
          <w:p>
            <w:pPr>
              <w:widowControl/>
              <w:spacing w:line="360" w:lineRule="auto"/>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支持的字符集：FONT A： 12 × 24 点阵字符；FONT B： 9×17点阵字符；</w:t>
            </w:r>
          </w:p>
          <w:p>
            <w:pPr>
              <w:widowControl/>
              <w:spacing w:line="360" w:lineRule="auto"/>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汉字：GB18030简体中文（向下兼容GB2312-1980）；</w:t>
            </w:r>
          </w:p>
          <w:p>
            <w:pPr>
              <w:widowControl/>
              <w:spacing w:line="360" w:lineRule="auto"/>
              <w:jc w:val="left"/>
              <w:textAlignment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工作电压：DC 24V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5" w:type="pct"/>
            <w:noWrap/>
            <w:vAlign w:val="center"/>
          </w:tcPr>
          <w:p>
            <w:pPr>
              <w:pStyle w:val="23"/>
              <w:spacing w:line="360" w:lineRule="auto"/>
              <w:ind w:firstLine="0" w:firstLineChars="0"/>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7</w:t>
            </w:r>
          </w:p>
        </w:tc>
        <w:tc>
          <w:tcPr>
            <w:tcW w:w="868" w:type="pct"/>
            <w:noWrap/>
            <w:vAlign w:val="center"/>
          </w:tcPr>
          <w:p>
            <w:pPr>
              <w:spacing w:line="360" w:lineRule="auto"/>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金属键盘</w:t>
            </w:r>
          </w:p>
        </w:tc>
        <w:tc>
          <w:tcPr>
            <w:tcW w:w="3566" w:type="pct"/>
            <w:noWrap/>
            <w:vAlign w:val="center"/>
          </w:tcPr>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4*4键金属数字加密键盘；</w:t>
            </w:r>
          </w:p>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算法支持：DES、Triple DES、RSA、SM2、SM3、SM4，通过银联认证标准；</w:t>
            </w:r>
          </w:p>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功能支持：PIN 加密、MAC 运算、数据加密/解密、远程密钥管理</w:t>
            </w:r>
          </w:p>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符合标准：ISO13491、ISO9564、IBM3624、ANSI X9.8、ANSI X9.9、 ANSI X9.42、ANSI X9.19、 ANSI X9.24、ANSI X9.52 </w:t>
            </w:r>
          </w:p>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以及国密标准GM/T 0002-2012、 GM/T 0003-2012、GM/T 0004-2012 与WIN98/2000/XP/ME兼容；</w:t>
            </w:r>
          </w:p>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安全特性：表面防尘、防暴、防钻（入侵）、防监听、敏感数据拆封自毁等 </w:t>
            </w:r>
          </w:p>
          <w:p>
            <w:pPr>
              <w:pStyle w:val="13"/>
              <w:spacing w:line="360" w:lineRule="auto"/>
              <w:ind w:left="0" w:firstLine="0" w:firstLineChars="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接口：RS232、USB；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9" w:hRule="atLeast"/>
          <w:jc w:val="center"/>
        </w:trPr>
        <w:tc>
          <w:tcPr>
            <w:tcW w:w="565" w:type="pct"/>
            <w:noWrap/>
            <w:vAlign w:val="center"/>
          </w:tcPr>
          <w:p>
            <w:pPr>
              <w:pStyle w:val="23"/>
              <w:spacing w:line="360" w:lineRule="auto"/>
              <w:ind w:firstLine="0" w:firstLineChars="0"/>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8</w:t>
            </w:r>
          </w:p>
        </w:tc>
        <w:tc>
          <w:tcPr>
            <w:tcW w:w="868" w:type="pct"/>
            <w:noWrap/>
            <w:vAlign w:val="center"/>
          </w:tcPr>
          <w:p>
            <w:pPr>
              <w:spacing w:line="360" w:lineRule="auto"/>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扫码器</w:t>
            </w:r>
          </w:p>
        </w:tc>
        <w:tc>
          <w:tcPr>
            <w:tcW w:w="3566" w:type="pct"/>
            <w:noWrap/>
            <w:vAlign w:val="center"/>
          </w:tcPr>
          <w:p>
            <w:pPr>
              <w:widowControl/>
              <w:spacing w:line="360" w:lineRule="auto"/>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传感器：CMOSsensor，pixels：640*480,60fps</w:t>
            </w:r>
          </w:p>
          <w:p>
            <w:pPr>
              <w:widowControl/>
              <w:spacing w:line="360" w:lineRule="auto"/>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照明：LED白光</w:t>
            </w:r>
          </w:p>
          <w:p>
            <w:pPr>
              <w:widowControl/>
              <w:spacing w:line="360" w:lineRule="auto"/>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扫描角度：转角360°，倾斜±60°，偏转±55°</w:t>
            </w:r>
          </w:p>
          <w:p>
            <w:pPr>
              <w:widowControl/>
              <w:spacing w:line="360" w:lineRule="auto"/>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识别精度：≥4mil；</w:t>
            </w:r>
          </w:p>
          <w:p>
            <w:pPr>
              <w:widowControl/>
              <w:spacing w:line="360" w:lineRule="auto"/>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识读景深：35-330mm</w:t>
            </w:r>
          </w:p>
          <w:p>
            <w:pPr>
              <w:widowControl/>
              <w:spacing w:line="360" w:lineRule="auto"/>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码制：符合国际、国内通用二维码标准:</w:t>
            </w:r>
          </w:p>
          <w:p>
            <w:pPr>
              <w:widowControl/>
              <w:spacing w:line="360" w:lineRule="auto"/>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QR Code, Data Matrix, PDF417等；</w:t>
            </w:r>
          </w:p>
          <w:p>
            <w:pPr>
              <w:widowControl/>
              <w:spacing w:line="360" w:lineRule="auto"/>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符合国际、国内通用一维码标准:</w:t>
            </w:r>
          </w:p>
          <w:p>
            <w:pPr>
              <w:widowControl/>
              <w:spacing w:line="360" w:lineRule="auto"/>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Interleaved 2 of 5, ISBN, Code 93, Code 11,UCC/EAN-128 </w:t>
            </w:r>
          </w:p>
          <w:p>
            <w:pPr>
              <w:widowControl/>
              <w:spacing w:line="360" w:lineRule="auto"/>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GS1 Databar, Matrix 2 of 5, Industrial 2 of 5,Code 128, EAN-13, </w:t>
            </w:r>
          </w:p>
          <w:p>
            <w:pPr>
              <w:widowControl/>
              <w:spacing w:line="360" w:lineRule="auto"/>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EAN-8, Code 39, UPC-A, UPC-E, Codabar,Standard 2 of 5, </w:t>
            </w:r>
          </w:p>
          <w:p>
            <w:pPr>
              <w:widowControl/>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MSI-Plessey,GS1 composite code,等；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565" w:type="pct"/>
            <w:noWrap/>
            <w:vAlign w:val="center"/>
          </w:tcPr>
          <w:p>
            <w:pPr>
              <w:pStyle w:val="23"/>
              <w:spacing w:line="360" w:lineRule="auto"/>
              <w:ind w:firstLine="0" w:firstLineChars="0"/>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9</w:t>
            </w:r>
          </w:p>
        </w:tc>
        <w:tc>
          <w:tcPr>
            <w:tcW w:w="868" w:type="pct"/>
            <w:noWrap/>
            <w:vAlign w:val="center"/>
          </w:tcPr>
          <w:p>
            <w:pPr>
              <w:spacing w:line="360" w:lineRule="auto"/>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kern w:val="0"/>
                <w:sz w:val="24"/>
                <w:szCs w:val="24"/>
              </w:rPr>
              <w:t>★</w:t>
            </w:r>
            <w:r>
              <w:rPr>
                <w:rFonts w:hint="eastAsia" w:cs="宋体" w:asciiTheme="minorEastAsia" w:hAnsiTheme="minorEastAsia" w:eastAsiaTheme="minorEastAsia"/>
                <w:b/>
                <w:color w:val="000000"/>
                <w:sz w:val="24"/>
                <w:szCs w:val="24"/>
              </w:rPr>
              <w:t>投影灯</w:t>
            </w:r>
          </w:p>
        </w:tc>
        <w:tc>
          <w:tcPr>
            <w:tcW w:w="3566" w:type="pct"/>
            <w:noWrap/>
          </w:tcPr>
          <w:p>
            <w:pPr>
              <w:widowControl/>
              <w:spacing w:line="360" w:lineRule="auto"/>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电源类型：LED</w:t>
            </w:r>
          </w:p>
          <w:p>
            <w:pPr>
              <w:widowControl/>
              <w:spacing w:line="360" w:lineRule="auto"/>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色温：6000K</w:t>
            </w:r>
          </w:p>
          <w:p>
            <w:pPr>
              <w:widowControl/>
              <w:spacing w:line="360" w:lineRule="auto"/>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投影距离：20cm -1m</w:t>
            </w:r>
          </w:p>
          <w:p>
            <w:pPr>
              <w:widowControl/>
              <w:spacing w:line="360" w:lineRule="auto"/>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供电电压：12V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7" w:hRule="atLeast"/>
          <w:jc w:val="center"/>
        </w:trPr>
        <w:tc>
          <w:tcPr>
            <w:tcW w:w="565" w:type="pct"/>
            <w:noWrap/>
            <w:vAlign w:val="center"/>
          </w:tcPr>
          <w:p>
            <w:pPr>
              <w:pStyle w:val="23"/>
              <w:spacing w:line="360" w:lineRule="auto"/>
              <w:ind w:firstLine="0" w:firstLineChars="0"/>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10</w:t>
            </w:r>
          </w:p>
        </w:tc>
        <w:tc>
          <w:tcPr>
            <w:tcW w:w="868" w:type="pct"/>
            <w:noWrap/>
            <w:vAlign w:val="center"/>
          </w:tcPr>
          <w:p>
            <w:pPr>
              <w:spacing w:line="360" w:lineRule="auto"/>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多功能控制</w:t>
            </w:r>
          </w:p>
        </w:tc>
        <w:tc>
          <w:tcPr>
            <w:tcW w:w="3566" w:type="pct"/>
            <w:noWrap/>
          </w:tcPr>
          <w:p>
            <w:pPr>
              <w:widowControl/>
              <w:spacing w:line="360" w:lineRule="auto"/>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补光灯：支持RGB三色补光</w:t>
            </w:r>
          </w:p>
          <w:p>
            <w:pPr>
              <w:widowControl/>
              <w:spacing w:line="360" w:lineRule="auto"/>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人体感应：有效感应距离：80cm以内</w:t>
            </w:r>
          </w:p>
          <w:p>
            <w:pPr>
              <w:widowControl/>
              <w:spacing w:line="360" w:lineRule="auto"/>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有效感应角度：40°</w:t>
            </w:r>
          </w:p>
          <w:p>
            <w:pPr>
              <w:widowControl/>
              <w:spacing w:line="360" w:lineRule="auto"/>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平均功耗：30mA </w:t>
            </w:r>
          </w:p>
          <w:p>
            <w:pPr>
              <w:widowControl/>
              <w:spacing w:line="360" w:lineRule="auto"/>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反映时间：5ms；</w:t>
            </w:r>
          </w:p>
          <w:p>
            <w:pPr>
              <w:widowControl/>
              <w:spacing w:line="360" w:lineRule="auto"/>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补光灯：支持RGB三色补光</w:t>
            </w:r>
          </w:p>
          <w:p>
            <w:pPr>
              <w:widowControl/>
              <w:spacing w:line="360" w:lineRule="auto"/>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复位/打印机开锁键：隐藏式</w:t>
            </w:r>
          </w:p>
          <w:p>
            <w:pPr>
              <w:widowControl/>
              <w:spacing w:line="360" w:lineRule="auto"/>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定时开关机：支持</w:t>
            </w:r>
          </w:p>
          <w:p>
            <w:pPr>
              <w:widowControl/>
              <w:spacing w:line="360" w:lineRule="auto"/>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对外接口：DC：DC5.5*2.5 *1,USB：USB2.0 *2,网络：RJ45 100M *1</w:t>
            </w:r>
          </w:p>
          <w:p>
            <w:pPr>
              <w:widowControl/>
              <w:spacing w:line="360" w:lineRule="auto"/>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串口：RS232 *1</w:t>
            </w:r>
          </w:p>
          <w:p>
            <w:pPr>
              <w:widowControl/>
              <w:spacing w:line="360" w:lineRule="auto"/>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门禁控制：开关信号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65" w:type="pct"/>
            <w:noWrap/>
            <w:vAlign w:val="center"/>
          </w:tcPr>
          <w:p>
            <w:pPr>
              <w:pStyle w:val="23"/>
              <w:spacing w:line="360" w:lineRule="auto"/>
              <w:ind w:firstLine="0" w:firstLineChars="0"/>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11</w:t>
            </w:r>
          </w:p>
        </w:tc>
        <w:tc>
          <w:tcPr>
            <w:tcW w:w="868" w:type="pct"/>
            <w:noWrap/>
            <w:vAlign w:val="center"/>
          </w:tcPr>
          <w:p>
            <w:pPr>
              <w:spacing w:line="360" w:lineRule="auto"/>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外壳</w:t>
            </w:r>
          </w:p>
        </w:tc>
        <w:tc>
          <w:tcPr>
            <w:tcW w:w="3566" w:type="pct"/>
            <w:noWrap/>
            <w:vAlign w:val="center"/>
          </w:tcPr>
          <w:p>
            <w:pPr>
              <w:widowControl/>
              <w:spacing w:line="360" w:lineRule="auto"/>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开模:一体成型</w:t>
            </w:r>
          </w:p>
          <w:p>
            <w:pPr>
              <w:widowControl/>
              <w:spacing w:line="360" w:lineRule="auto"/>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材质：ABS制作，坚固厚实</w:t>
            </w:r>
          </w:p>
          <w:p>
            <w:pPr>
              <w:widowControl/>
              <w:spacing w:line="360" w:lineRule="auto"/>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环境：在高温高寒的环境下不会变形</w:t>
            </w:r>
          </w:p>
          <w:p>
            <w:pPr>
              <w:widowControl/>
              <w:spacing w:line="360" w:lineRule="auto"/>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镜片：采用高透，高强度钢化玻璃，耐磨防腐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565" w:type="pct"/>
            <w:noWrap/>
            <w:vAlign w:val="center"/>
          </w:tcPr>
          <w:p>
            <w:pPr>
              <w:pStyle w:val="23"/>
              <w:spacing w:line="360" w:lineRule="auto"/>
              <w:ind w:firstLine="0" w:firstLineChars="0"/>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12</w:t>
            </w:r>
          </w:p>
        </w:tc>
        <w:tc>
          <w:tcPr>
            <w:tcW w:w="868" w:type="pct"/>
            <w:noWrap/>
            <w:vAlign w:val="center"/>
          </w:tcPr>
          <w:p>
            <w:pPr>
              <w:spacing w:line="360" w:lineRule="auto"/>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包装</w:t>
            </w:r>
          </w:p>
        </w:tc>
        <w:tc>
          <w:tcPr>
            <w:tcW w:w="3566" w:type="pct"/>
            <w:noWrap/>
            <w:vAlign w:val="center"/>
          </w:tcPr>
          <w:p>
            <w:pPr>
              <w:widowControl/>
              <w:spacing w:line="360" w:lineRule="auto"/>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电源：DC24V  5A</w:t>
            </w:r>
          </w:p>
          <w:p>
            <w:pPr>
              <w:widowControl/>
              <w:spacing w:line="360" w:lineRule="auto"/>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包装材料：珍珠棉+纸箱</w:t>
            </w:r>
          </w:p>
        </w:tc>
      </w:tr>
    </w:tbl>
    <w:p>
      <w:pPr>
        <w:spacing w:line="240" w:lineRule="auto"/>
        <w:rPr>
          <w:sz w:val="24"/>
          <w:szCs w:val="24"/>
        </w:rPr>
      </w:pPr>
    </w:p>
    <w:p>
      <w:pPr>
        <w:spacing w:line="240" w:lineRule="auto"/>
        <w:ind w:firstLine="482" w:firstLineChars="200"/>
        <w:rPr>
          <w:rFonts w:ascii="宋体" w:hAnsi="宋体" w:cs="宋体"/>
          <w:sz w:val="24"/>
          <w:szCs w:val="24"/>
        </w:rPr>
      </w:pPr>
      <w:r>
        <w:rPr>
          <w:rFonts w:hint="eastAsia" w:ascii="宋体" w:hAnsi="宋体" w:cs="宋体"/>
          <w:b/>
          <w:bCs/>
          <w:sz w:val="24"/>
          <w:szCs w:val="24"/>
        </w:rPr>
        <w:t>（五）项目风险及对策</w:t>
      </w:r>
    </w:p>
    <w:p>
      <w:pPr>
        <w:pStyle w:val="12"/>
        <w:widowControl/>
        <w:spacing w:beforeAutospacing="1" w:afterAutospacing="1" w:line="240" w:lineRule="auto"/>
        <w:ind w:firstLine="480" w:firstLineChars="200"/>
        <w:rPr>
          <w:sz w:val="24"/>
          <w:szCs w:val="24"/>
        </w:rPr>
      </w:pPr>
      <w:r>
        <w:rPr>
          <w:rFonts w:hint="eastAsia"/>
          <w:sz w:val="24"/>
          <w:szCs w:val="24"/>
        </w:rPr>
        <w:t>1</w:t>
      </w:r>
      <w:r>
        <w:rPr>
          <w:rFonts w:hint="eastAsia"/>
          <w:sz w:val="24"/>
          <w:szCs w:val="24"/>
          <w:lang w:eastAsia="zh-CN"/>
        </w:rPr>
        <w:t>、</w:t>
      </w:r>
      <w:r>
        <w:rPr>
          <w:rFonts w:hint="eastAsia"/>
          <w:sz w:val="24"/>
          <w:szCs w:val="24"/>
        </w:rPr>
        <w:t>技术风险：技术选型不当、系统开发过程中出现技术难题等。</w:t>
      </w:r>
    </w:p>
    <w:p>
      <w:pPr>
        <w:pStyle w:val="12"/>
        <w:widowControl/>
        <w:spacing w:beforeAutospacing="1" w:afterAutospacing="1" w:line="240" w:lineRule="auto"/>
        <w:ind w:firstLine="480"/>
        <w:rPr>
          <w:sz w:val="24"/>
          <w:szCs w:val="24"/>
        </w:rPr>
      </w:pPr>
      <w:r>
        <w:rPr>
          <w:rFonts w:hint="eastAsia"/>
          <w:sz w:val="24"/>
          <w:szCs w:val="24"/>
        </w:rPr>
        <w:t>对策：进行充分的技术评估和选型，确保技术方案的可行性和可靠性。建立有效的技术沟通机制，及时解决开发过程中出现的问题。</w:t>
      </w:r>
    </w:p>
    <w:p>
      <w:pPr>
        <w:pStyle w:val="12"/>
        <w:widowControl/>
        <w:spacing w:beforeAutospacing="1" w:afterAutospacing="1" w:line="240" w:lineRule="auto"/>
        <w:ind w:firstLine="480" w:firstLineChars="200"/>
        <w:rPr>
          <w:sz w:val="24"/>
          <w:szCs w:val="24"/>
        </w:rPr>
      </w:pPr>
      <w:r>
        <w:rPr>
          <w:rFonts w:hint="eastAsia"/>
          <w:sz w:val="24"/>
          <w:szCs w:val="24"/>
        </w:rPr>
        <w:t>2</w:t>
      </w:r>
      <w:r>
        <w:rPr>
          <w:rFonts w:hint="eastAsia"/>
          <w:sz w:val="24"/>
          <w:szCs w:val="24"/>
          <w:lang w:eastAsia="zh-CN"/>
        </w:rPr>
        <w:t>、</w:t>
      </w:r>
      <w:r>
        <w:rPr>
          <w:rFonts w:hint="eastAsia"/>
          <w:sz w:val="24"/>
          <w:szCs w:val="24"/>
        </w:rPr>
        <w:t>项目管理风险：项目进度延迟、成本超支、质量问题等。</w:t>
      </w:r>
    </w:p>
    <w:p>
      <w:pPr>
        <w:pStyle w:val="12"/>
        <w:widowControl/>
        <w:spacing w:beforeAutospacing="1" w:afterAutospacing="1" w:line="240" w:lineRule="auto"/>
        <w:ind w:firstLine="480"/>
        <w:rPr>
          <w:sz w:val="24"/>
          <w:szCs w:val="24"/>
        </w:rPr>
      </w:pPr>
      <w:r>
        <w:rPr>
          <w:rFonts w:hint="eastAsia"/>
          <w:sz w:val="24"/>
          <w:szCs w:val="24"/>
        </w:rPr>
        <w:t>对策：制定详细的项目计划和进度控制措施，确保项目按时完成。严格控制项目成本，避免超支。建立完善的质量管理体系，确保项目质量符合要求。</w:t>
      </w:r>
    </w:p>
    <w:p>
      <w:pPr>
        <w:pStyle w:val="12"/>
        <w:widowControl/>
        <w:spacing w:beforeAutospacing="1" w:afterAutospacing="1" w:line="240" w:lineRule="auto"/>
        <w:ind w:firstLine="480" w:firstLineChars="200"/>
        <w:rPr>
          <w:sz w:val="24"/>
          <w:szCs w:val="24"/>
        </w:rPr>
      </w:pPr>
      <w:r>
        <w:rPr>
          <w:rFonts w:hint="eastAsia"/>
          <w:sz w:val="24"/>
          <w:szCs w:val="24"/>
        </w:rPr>
        <w:t>3</w:t>
      </w:r>
      <w:r>
        <w:rPr>
          <w:rFonts w:hint="eastAsia"/>
          <w:sz w:val="24"/>
          <w:szCs w:val="24"/>
          <w:lang w:eastAsia="zh-CN"/>
        </w:rPr>
        <w:t>、</w:t>
      </w:r>
      <w:r>
        <w:rPr>
          <w:rFonts w:hint="eastAsia"/>
          <w:sz w:val="24"/>
          <w:szCs w:val="24"/>
        </w:rPr>
        <w:t>市场风险：市场竞争激烈、用户需求变化等。</w:t>
      </w:r>
    </w:p>
    <w:p>
      <w:pPr>
        <w:pStyle w:val="12"/>
        <w:widowControl/>
        <w:spacing w:beforeAutospacing="1" w:afterAutospacing="1" w:line="240" w:lineRule="auto"/>
        <w:ind w:firstLine="480"/>
        <w:rPr>
          <w:sz w:val="24"/>
          <w:szCs w:val="24"/>
        </w:rPr>
      </w:pPr>
      <w:r>
        <w:rPr>
          <w:rFonts w:hint="eastAsia"/>
          <w:sz w:val="24"/>
          <w:szCs w:val="24"/>
        </w:rPr>
        <w:t>对策：进行充分的市场调研，了解市场需求和竞争情况。不断优化和改进系统功能和用户体验，提高系统的竞争力。积极拓展市场渠道，提高市场占有率。</w:t>
      </w:r>
    </w:p>
    <w:p>
      <w:pPr>
        <w:spacing w:line="240" w:lineRule="auto"/>
        <w:ind w:firstLine="482" w:firstLineChars="200"/>
        <w:rPr>
          <w:rFonts w:ascii="宋体" w:hAnsi="宋体" w:cs="宋体"/>
          <w:sz w:val="24"/>
          <w:szCs w:val="24"/>
        </w:rPr>
      </w:pPr>
      <w:r>
        <w:rPr>
          <w:rFonts w:hint="eastAsia" w:ascii="宋体" w:hAnsi="宋体" w:cs="宋体"/>
          <w:b/>
          <w:bCs/>
          <w:sz w:val="24"/>
          <w:szCs w:val="24"/>
        </w:rPr>
        <w:t>（六）项目预期效果</w:t>
      </w:r>
    </w:p>
    <w:p>
      <w:pPr>
        <w:pStyle w:val="12"/>
        <w:widowControl/>
        <w:spacing w:beforeAutospacing="1" w:afterAutospacing="1" w:line="240" w:lineRule="auto"/>
        <w:ind w:firstLine="480" w:firstLineChars="200"/>
        <w:rPr>
          <w:sz w:val="24"/>
          <w:szCs w:val="24"/>
        </w:rPr>
      </w:pPr>
      <w:r>
        <w:rPr>
          <w:rFonts w:hint="eastAsia"/>
          <w:sz w:val="24"/>
          <w:szCs w:val="24"/>
        </w:rPr>
        <w:t>1</w:t>
      </w:r>
      <w:r>
        <w:rPr>
          <w:rFonts w:hint="eastAsia"/>
          <w:sz w:val="24"/>
          <w:szCs w:val="24"/>
          <w:lang w:eastAsia="zh-CN"/>
        </w:rPr>
        <w:t>、</w:t>
      </w:r>
      <w:r>
        <w:rPr>
          <w:rFonts w:hint="eastAsia"/>
          <w:sz w:val="24"/>
          <w:szCs w:val="24"/>
        </w:rPr>
        <w:t>提高医院的服务效率和质量，减少患者排队等候的时间。</w:t>
      </w:r>
    </w:p>
    <w:p>
      <w:pPr>
        <w:pStyle w:val="12"/>
        <w:widowControl/>
        <w:spacing w:beforeAutospacing="1" w:afterAutospacing="1" w:line="240" w:lineRule="auto"/>
        <w:ind w:firstLine="480" w:firstLineChars="200"/>
        <w:rPr>
          <w:sz w:val="24"/>
          <w:szCs w:val="24"/>
        </w:rPr>
      </w:pPr>
      <w:r>
        <w:rPr>
          <w:rFonts w:hint="eastAsia"/>
          <w:sz w:val="24"/>
          <w:szCs w:val="24"/>
        </w:rPr>
        <w:t>2</w:t>
      </w:r>
      <w:r>
        <w:rPr>
          <w:rFonts w:hint="eastAsia"/>
          <w:sz w:val="24"/>
          <w:szCs w:val="24"/>
          <w:lang w:eastAsia="zh-CN"/>
        </w:rPr>
        <w:t>、</w:t>
      </w:r>
      <w:r>
        <w:rPr>
          <w:rFonts w:hint="eastAsia"/>
          <w:sz w:val="24"/>
          <w:szCs w:val="24"/>
        </w:rPr>
        <w:t>优化医院的管理流程，降低管理成本。</w:t>
      </w:r>
    </w:p>
    <w:p>
      <w:pPr>
        <w:pStyle w:val="12"/>
        <w:widowControl/>
        <w:spacing w:beforeAutospacing="1" w:afterAutospacing="1" w:line="240" w:lineRule="auto"/>
        <w:ind w:firstLine="480" w:firstLineChars="200"/>
        <w:rPr>
          <w:sz w:val="24"/>
          <w:szCs w:val="24"/>
        </w:rPr>
      </w:pPr>
      <w:r>
        <w:rPr>
          <w:rFonts w:hint="eastAsia"/>
          <w:sz w:val="24"/>
          <w:szCs w:val="24"/>
        </w:rPr>
        <w:t>3</w:t>
      </w:r>
      <w:r>
        <w:rPr>
          <w:rFonts w:hint="eastAsia"/>
          <w:sz w:val="24"/>
          <w:szCs w:val="24"/>
          <w:lang w:eastAsia="zh-CN"/>
        </w:rPr>
        <w:t>、</w:t>
      </w:r>
      <w:r>
        <w:rPr>
          <w:rFonts w:hint="eastAsia"/>
          <w:sz w:val="24"/>
          <w:szCs w:val="24"/>
        </w:rPr>
        <w:t>提升医院的品牌形象和竞争力。</w:t>
      </w:r>
    </w:p>
    <w:p>
      <w:pPr>
        <w:pStyle w:val="12"/>
        <w:widowControl/>
        <w:spacing w:beforeAutospacing="1" w:afterAutospacing="1" w:line="240" w:lineRule="auto"/>
        <w:ind w:firstLine="480"/>
        <w:rPr>
          <w:sz w:val="24"/>
          <w:szCs w:val="24"/>
        </w:rPr>
      </w:pPr>
      <w:r>
        <w:rPr>
          <w:rFonts w:hint="eastAsia"/>
          <w:sz w:val="24"/>
          <w:szCs w:val="24"/>
        </w:rPr>
        <w:t>通过开发</w:t>
      </w:r>
      <w:r>
        <w:rPr>
          <w:rFonts w:hint="eastAsia"/>
          <w:sz w:val="24"/>
          <w:szCs w:val="24"/>
          <w:lang w:eastAsia="zh-CN"/>
        </w:rPr>
        <w:t>自助报到系统</w:t>
      </w:r>
      <w:r>
        <w:rPr>
          <w:rFonts w:hint="eastAsia"/>
          <w:sz w:val="24"/>
          <w:szCs w:val="24"/>
        </w:rPr>
        <w:t>，我们将为患者提供更加便捷、快速的取号服务，同时也能够提高医院的服务效率和质量，降低管理成本。在项目实施过程中，我们将严格按照项目管理规范进行操作，确保项目的顺利实施和成功上线。</w:t>
      </w:r>
    </w:p>
    <w:p>
      <w:pPr>
        <w:keepNext w:val="0"/>
        <w:keepLines w:val="0"/>
        <w:pageBreakBefore w:val="0"/>
        <w:kinsoku/>
        <w:wordWrap/>
        <w:topLinePunct w:val="0"/>
        <w:autoSpaceDE/>
        <w:autoSpaceDN/>
        <w:bidi w:val="0"/>
        <w:adjustRightInd/>
        <w:snapToGrid/>
        <w:spacing w:line="360" w:lineRule="auto"/>
        <w:rPr>
          <w:rFonts w:hint="eastAsia" w:ascii="宋体" w:hAnsi="宋体" w:eastAsia="宋体" w:cs="宋体"/>
          <w:sz w:val="24"/>
          <w:szCs w:val="24"/>
          <w:lang w:val="en-US" w:eastAsia="zh-CN"/>
        </w:rPr>
      </w:pPr>
    </w:p>
    <w:p>
      <w:pPr>
        <w:spacing w:line="360" w:lineRule="auto"/>
        <w:rPr>
          <w:b/>
          <w:bCs/>
          <w:sz w:val="28"/>
          <w:szCs w:val="28"/>
        </w:rPr>
      </w:pPr>
      <w:r>
        <w:rPr>
          <w:rFonts w:hint="eastAsia"/>
          <w:b/>
          <w:bCs/>
          <w:sz w:val="28"/>
          <w:szCs w:val="28"/>
          <w:lang w:val="en-US" w:eastAsia="zh-CN"/>
        </w:rPr>
        <w:t>六</w:t>
      </w:r>
      <w:r>
        <w:rPr>
          <w:rFonts w:hint="eastAsia"/>
          <w:b/>
          <w:bCs/>
          <w:sz w:val="28"/>
          <w:szCs w:val="28"/>
        </w:rPr>
        <w:t>、商务要求</w:t>
      </w:r>
    </w:p>
    <w:p>
      <w:pPr>
        <w:spacing w:line="360" w:lineRule="auto"/>
        <w:ind w:firstLine="482" w:firstLineChars="200"/>
        <w:rPr>
          <w:rFonts w:ascii="宋体" w:hAnsi="宋体" w:cs="宋体"/>
          <w:b/>
          <w:bCs/>
          <w:sz w:val="24"/>
        </w:rPr>
      </w:pPr>
      <w:r>
        <w:rPr>
          <w:rFonts w:hint="eastAsia" w:ascii="宋体" w:hAnsi="宋体" w:cs="宋体"/>
          <w:b/>
          <w:bCs/>
          <w:sz w:val="24"/>
        </w:rPr>
        <w:t>（一）项目建设要求</w:t>
      </w:r>
    </w:p>
    <w:p>
      <w:pPr>
        <w:spacing w:line="360" w:lineRule="auto"/>
        <w:ind w:firstLine="480" w:firstLineChars="200"/>
        <w:rPr>
          <w:rFonts w:ascii="宋体" w:hAnsi="宋体" w:cs="宋体"/>
          <w:sz w:val="24"/>
        </w:rPr>
      </w:pPr>
      <w:r>
        <w:rPr>
          <w:rFonts w:hint="eastAsia" w:ascii="宋体" w:hAnsi="宋体" w:cs="宋体"/>
          <w:sz w:val="24"/>
        </w:rPr>
        <w:t>1、免费维保期：整体免费维保</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eastAsia="zh-CN"/>
        </w:rPr>
        <w:t>，</w:t>
      </w:r>
      <w:r>
        <w:rPr>
          <w:rFonts w:hint="eastAsia" w:ascii="宋体" w:hAnsi="宋体" w:cs="宋体"/>
          <w:sz w:val="24"/>
          <w:lang w:val="en-US" w:eastAsia="zh-CN"/>
        </w:rPr>
        <w:t>自项目总体完成最终通过</w:t>
      </w:r>
      <w:r>
        <w:rPr>
          <w:rFonts w:hint="eastAsia" w:ascii="宋体" w:hAnsi="宋体" w:cs="宋体"/>
          <w:sz w:val="24"/>
        </w:rPr>
        <w:t>采购</w:t>
      </w:r>
      <w:r>
        <w:rPr>
          <w:rFonts w:hint="eastAsia" w:ascii="宋体" w:hAnsi="宋体" w:cs="宋体"/>
          <w:sz w:val="24"/>
          <w:lang w:val="en-US" w:eastAsia="zh-CN"/>
        </w:rPr>
        <w:t>人验收之日起计</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2、项目实施进度要求：合同签订后，中标人需在2个月内完成项目的建设并通过采购人验收、交付采购人使用。</w:t>
      </w:r>
    </w:p>
    <w:p>
      <w:pPr>
        <w:spacing w:line="360" w:lineRule="auto"/>
        <w:ind w:firstLine="480" w:firstLineChars="200"/>
        <w:rPr>
          <w:rFonts w:ascii="宋体" w:hAnsi="宋体" w:cs="宋体"/>
          <w:sz w:val="24"/>
        </w:rPr>
      </w:pPr>
      <w:r>
        <w:rPr>
          <w:rFonts w:hint="eastAsia" w:ascii="宋体" w:hAnsi="宋体" w:cs="宋体"/>
          <w:sz w:val="24"/>
        </w:rPr>
        <w:t>3、项目培训要求：</w:t>
      </w:r>
    </w:p>
    <w:p>
      <w:pPr>
        <w:spacing w:line="360" w:lineRule="auto"/>
        <w:ind w:firstLine="480" w:firstLineChars="200"/>
        <w:rPr>
          <w:rFonts w:ascii="宋体" w:hAnsi="宋体" w:cs="宋体"/>
          <w:sz w:val="24"/>
        </w:rPr>
      </w:pPr>
      <w:r>
        <w:rPr>
          <w:rFonts w:hint="eastAsia" w:ascii="宋体" w:hAnsi="宋体" w:cs="宋体"/>
          <w:sz w:val="24"/>
        </w:rPr>
        <w:t>投标人须提出详细的项目培训计划，具体如下：</w:t>
      </w:r>
    </w:p>
    <w:p>
      <w:pPr>
        <w:spacing w:line="360" w:lineRule="auto"/>
        <w:ind w:firstLine="480" w:firstLineChars="200"/>
        <w:rPr>
          <w:rFonts w:ascii="宋体" w:hAnsi="宋体" w:cs="宋体"/>
          <w:sz w:val="24"/>
        </w:rPr>
      </w:pPr>
      <w:r>
        <w:rPr>
          <w:rFonts w:hint="eastAsia" w:ascii="宋体" w:hAnsi="宋体" w:cs="宋体"/>
          <w:sz w:val="24"/>
        </w:rPr>
        <w:t>（1）对系统使用人员、系统运行维护管理人员等不同对象的培训计划；</w:t>
      </w:r>
    </w:p>
    <w:p>
      <w:pPr>
        <w:spacing w:line="360" w:lineRule="auto"/>
        <w:ind w:firstLine="480" w:firstLineChars="200"/>
        <w:rPr>
          <w:rFonts w:ascii="宋体" w:hAnsi="宋体" w:cs="宋体"/>
          <w:sz w:val="24"/>
        </w:rPr>
      </w:pPr>
      <w:r>
        <w:rPr>
          <w:rFonts w:hint="eastAsia" w:ascii="宋体" w:hAnsi="宋体" w:cs="宋体"/>
          <w:sz w:val="24"/>
        </w:rPr>
        <w:t>（2）培训课程安排、培训方式及时间，地点场所由采购人提供；</w:t>
      </w:r>
    </w:p>
    <w:p>
      <w:pPr>
        <w:spacing w:line="360" w:lineRule="auto"/>
        <w:ind w:firstLine="480" w:firstLineChars="200"/>
        <w:rPr>
          <w:rFonts w:ascii="宋体" w:hAnsi="宋体" w:cs="宋体"/>
          <w:sz w:val="24"/>
        </w:rPr>
      </w:pPr>
      <w:r>
        <w:rPr>
          <w:rFonts w:hint="eastAsia" w:ascii="宋体" w:hAnsi="宋体" w:cs="宋体"/>
          <w:sz w:val="24"/>
        </w:rPr>
        <w:t>（3）提供系统操作培训：主要面向医院财务科、院领导等使用系统的人员，提供操作培训；</w:t>
      </w:r>
    </w:p>
    <w:p>
      <w:pPr>
        <w:spacing w:line="360" w:lineRule="auto"/>
        <w:ind w:firstLine="480" w:firstLineChars="200"/>
        <w:rPr>
          <w:rFonts w:ascii="宋体" w:hAnsi="宋体" w:cs="宋体"/>
          <w:sz w:val="24"/>
        </w:rPr>
      </w:pPr>
      <w:r>
        <w:rPr>
          <w:rFonts w:hint="eastAsia" w:ascii="宋体" w:hAnsi="宋体" w:cs="宋体"/>
          <w:sz w:val="24"/>
        </w:rPr>
        <w:t>（4）提供系统日常维护系统培训：主要面向医院信息管理技术人员（至少1名）进行培训，使其具备独立进行系统日常维护、故障的诊断与处理等方面的培训。</w:t>
      </w:r>
    </w:p>
    <w:p>
      <w:pPr>
        <w:spacing w:line="360" w:lineRule="auto"/>
        <w:ind w:firstLine="480" w:firstLineChars="200"/>
        <w:rPr>
          <w:rFonts w:ascii="宋体" w:hAnsi="宋体" w:cs="宋体"/>
          <w:sz w:val="24"/>
        </w:rPr>
      </w:pPr>
      <w:r>
        <w:rPr>
          <w:rFonts w:hint="eastAsia" w:ascii="宋体" w:hAnsi="宋体" w:cs="宋体"/>
          <w:sz w:val="24"/>
        </w:rPr>
        <w:t>4、项目验收要求：</w:t>
      </w:r>
    </w:p>
    <w:p>
      <w:pPr>
        <w:spacing w:line="360" w:lineRule="auto"/>
        <w:ind w:firstLine="480" w:firstLineChars="200"/>
        <w:rPr>
          <w:rFonts w:ascii="宋体" w:hAnsi="宋体" w:cs="宋体"/>
          <w:sz w:val="24"/>
        </w:rPr>
      </w:pPr>
      <w:r>
        <w:rPr>
          <w:rFonts w:hint="eastAsia" w:ascii="宋体" w:hAnsi="宋体" w:cs="宋体"/>
          <w:sz w:val="24"/>
        </w:rPr>
        <w:t>项目的工作内容及成果文档的提交应覆盖以下内容，电子文档是成果不可分割的部分。</w:t>
      </w:r>
    </w:p>
    <w:p>
      <w:pPr>
        <w:spacing w:line="360" w:lineRule="auto"/>
        <w:ind w:firstLine="480" w:firstLineChars="200"/>
        <w:rPr>
          <w:rFonts w:ascii="宋体" w:hAnsi="宋体" w:cs="宋体"/>
          <w:sz w:val="24"/>
        </w:rPr>
      </w:pPr>
      <w:r>
        <w:rPr>
          <w:rFonts w:hint="eastAsia" w:ascii="宋体" w:hAnsi="宋体" w:cs="宋体"/>
          <w:sz w:val="24"/>
        </w:rPr>
        <w:t>（1）系统的体系架构及描述；</w:t>
      </w:r>
    </w:p>
    <w:p>
      <w:pPr>
        <w:spacing w:line="360" w:lineRule="auto"/>
        <w:ind w:firstLine="480" w:firstLineChars="200"/>
        <w:rPr>
          <w:rFonts w:ascii="宋体" w:hAnsi="宋体" w:cs="宋体"/>
          <w:sz w:val="24"/>
        </w:rPr>
      </w:pPr>
      <w:r>
        <w:rPr>
          <w:rFonts w:hint="eastAsia" w:ascii="宋体" w:hAnsi="宋体" w:cs="宋体"/>
          <w:sz w:val="24"/>
        </w:rPr>
        <w:t>（2）在维保期满后提供本项目软件系统的部分源码（用于系统对接部分），以便后续的自行更新维护；</w:t>
      </w:r>
    </w:p>
    <w:p>
      <w:pPr>
        <w:spacing w:line="360" w:lineRule="auto"/>
        <w:ind w:firstLine="480" w:firstLineChars="200"/>
        <w:rPr>
          <w:rFonts w:ascii="宋体" w:hAnsi="宋体" w:cs="宋体"/>
          <w:sz w:val="24"/>
        </w:rPr>
      </w:pPr>
      <w:r>
        <w:rPr>
          <w:rFonts w:hint="eastAsia" w:ascii="宋体" w:hAnsi="宋体" w:cs="宋体"/>
          <w:sz w:val="24"/>
        </w:rPr>
        <w:t>（3）提供的其它技术手册，包括：</w:t>
      </w:r>
    </w:p>
    <w:p>
      <w:pPr>
        <w:spacing w:line="360" w:lineRule="auto"/>
        <w:ind w:firstLine="480" w:firstLineChars="200"/>
        <w:rPr>
          <w:rFonts w:ascii="宋体" w:hAnsi="宋体" w:cs="宋体"/>
          <w:sz w:val="24"/>
        </w:rPr>
      </w:pPr>
      <w:r>
        <w:rPr>
          <w:rFonts w:hint="eastAsia" w:ascii="宋体" w:hAnsi="宋体" w:cs="宋体"/>
          <w:sz w:val="24"/>
        </w:rPr>
        <w:t>1）需求分析报告（含软件功能需求）；</w:t>
      </w:r>
    </w:p>
    <w:p>
      <w:pPr>
        <w:spacing w:line="360" w:lineRule="auto"/>
        <w:ind w:firstLine="480" w:firstLineChars="200"/>
        <w:rPr>
          <w:rFonts w:ascii="宋体" w:hAnsi="宋体" w:cs="宋体"/>
          <w:sz w:val="24"/>
        </w:rPr>
      </w:pPr>
      <w:r>
        <w:rPr>
          <w:rFonts w:hint="eastAsia" w:ascii="宋体" w:hAnsi="宋体" w:cs="宋体"/>
          <w:sz w:val="24"/>
        </w:rPr>
        <w:t>2）系统实施确认书；</w:t>
      </w:r>
    </w:p>
    <w:p>
      <w:pPr>
        <w:spacing w:line="360" w:lineRule="auto"/>
        <w:ind w:firstLine="480" w:firstLineChars="200"/>
        <w:rPr>
          <w:rFonts w:ascii="宋体" w:hAnsi="宋体" w:cs="宋体"/>
          <w:sz w:val="24"/>
        </w:rPr>
      </w:pPr>
      <w:r>
        <w:rPr>
          <w:rFonts w:hint="eastAsia" w:ascii="宋体" w:hAnsi="宋体" w:cs="宋体"/>
          <w:sz w:val="24"/>
        </w:rPr>
        <w:t>3）培训资料；</w:t>
      </w:r>
    </w:p>
    <w:p>
      <w:pPr>
        <w:spacing w:line="360" w:lineRule="auto"/>
        <w:ind w:firstLine="480" w:firstLineChars="200"/>
        <w:rPr>
          <w:rFonts w:ascii="宋体" w:hAnsi="宋体" w:cs="宋体"/>
          <w:sz w:val="24"/>
        </w:rPr>
      </w:pPr>
      <w:r>
        <w:rPr>
          <w:rFonts w:hint="eastAsia" w:ascii="宋体" w:hAnsi="宋体" w:cs="宋体"/>
          <w:sz w:val="24"/>
        </w:rPr>
        <w:t xml:space="preserve">4）项目验收报告。 </w:t>
      </w:r>
    </w:p>
    <w:p>
      <w:pPr>
        <w:spacing w:line="360" w:lineRule="auto"/>
        <w:ind w:firstLine="480" w:firstLineChars="200"/>
        <w:rPr>
          <w:rFonts w:ascii="宋体" w:hAnsi="宋体" w:cs="宋体"/>
          <w:sz w:val="24"/>
        </w:rPr>
      </w:pPr>
      <w:r>
        <w:rPr>
          <w:rFonts w:hint="eastAsia" w:ascii="宋体" w:hAnsi="宋体" w:cs="宋体"/>
          <w:sz w:val="24"/>
        </w:rPr>
        <w:t>5、项目售后服务要求：</w:t>
      </w:r>
    </w:p>
    <w:p>
      <w:pPr>
        <w:spacing w:line="360" w:lineRule="auto"/>
        <w:ind w:firstLine="480" w:firstLineChars="200"/>
        <w:rPr>
          <w:rFonts w:ascii="宋体" w:hAnsi="宋体" w:cs="宋体"/>
          <w:sz w:val="24"/>
        </w:rPr>
      </w:pPr>
      <w:r>
        <w:rPr>
          <w:rFonts w:hint="eastAsia" w:ascii="宋体" w:hAnsi="宋体" w:cs="宋体"/>
          <w:sz w:val="24"/>
        </w:rPr>
        <w:t>（1）投标人必须根据本次招标文件所制定的目标和范围，提出相应的售后服务方案。</w:t>
      </w:r>
    </w:p>
    <w:p>
      <w:pPr>
        <w:spacing w:line="360" w:lineRule="auto"/>
        <w:ind w:firstLine="480" w:firstLineChars="200"/>
        <w:rPr>
          <w:rFonts w:ascii="宋体" w:hAnsi="宋体" w:cs="宋体"/>
          <w:sz w:val="24"/>
        </w:rPr>
      </w:pPr>
      <w:r>
        <w:rPr>
          <w:rFonts w:hint="eastAsia" w:ascii="宋体" w:hAnsi="宋体" w:cs="宋体"/>
          <w:sz w:val="24"/>
        </w:rPr>
        <w:t>（2）为了保证本次项目顺利成功，要求投标人承诺项目验收后提供7*24小时售后技术服务，质保期内均提供免费上门维护、升级服务，对故障即时响应，24小时以内解决问题所采取的措施。包括免费升级、功能完善、故障排除、性能调优、技术咨询等。</w:t>
      </w:r>
    </w:p>
    <w:p>
      <w:pPr>
        <w:spacing w:line="360" w:lineRule="auto"/>
        <w:ind w:firstLine="480" w:firstLineChars="200"/>
        <w:rPr>
          <w:rFonts w:ascii="宋体" w:hAnsi="宋体" w:cs="宋体"/>
          <w:sz w:val="24"/>
        </w:rPr>
      </w:pPr>
      <w:r>
        <w:rPr>
          <w:rFonts w:hint="eastAsia" w:ascii="宋体" w:hAnsi="宋体" w:cs="宋体"/>
          <w:sz w:val="24"/>
        </w:rPr>
        <w:t>（3）投标人须保证所提供产品具有合法的版权或使用权，本项目采购的产品，如在本项目范围内使用过程中出现版权或使用权纠纷，应由中标人负责，采购人和采购机构不承担任何责任。</w:t>
      </w:r>
    </w:p>
    <w:p>
      <w:pPr>
        <w:spacing w:line="360" w:lineRule="auto"/>
        <w:ind w:firstLine="480" w:firstLineChars="200"/>
        <w:rPr>
          <w:rFonts w:ascii="宋体" w:hAnsi="宋体" w:cs="宋体"/>
          <w:sz w:val="24"/>
        </w:rPr>
      </w:pPr>
      <w:r>
        <w:rPr>
          <w:rFonts w:hint="eastAsia" w:ascii="宋体" w:hAnsi="宋体" w:cs="宋体"/>
          <w:sz w:val="24"/>
        </w:rPr>
        <w:t>（4）投标人应为用户提供系统培训，使其能对系统熟练的操作和日常的维护以及能对一般系统故障进行处置。</w:t>
      </w:r>
    </w:p>
    <w:p>
      <w:pPr>
        <w:spacing w:line="360" w:lineRule="auto"/>
        <w:ind w:firstLine="482" w:firstLineChars="200"/>
        <w:rPr>
          <w:rFonts w:ascii="宋体" w:hAnsi="宋体" w:cs="宋体"/>
          <w:b/>
          <w:bCs/>
          <w:sz w:val="24"/>
        </w:rPr>
      </w:pPr>
      <w:r>
        <w:rPr>
          <w:rFonts w:hint="eastAsia" w:ascii="宋体" w:hAnsi="宋体" w:cs="宋体"/>
          <w:b/>
          <w:bCs/>
          <w:sz w:val="24"/>
        </w:rPr>
        <w:t>（二）报价要求</w:t>
      </w:r>
    </w:p>
    <w:p>
      <w:pPr>
        <w:spacing w:line="360" w:lineRule="auto"/>
        <w:ind w:firstLine="480" w:firstLineChars="200"/>
        <w:rPr>
          <w:rFonts w:ascii="宋体" w:hAnsi="宋体" w:cs="宋体"/>
          <w:sz w:val="24"/>
        </w:rPr>
      </w:pPr>
      <w:r>
        <w:rPr>
          <w:rFonts w:hint="eastAsia" w:ascii="宋体" w:hAnsi="宋体" w:cs="宋体"/>
          <w:sz w:val="24"/>
        </w:rPr>
        <w:t>本次采购范围涉及上述系统完整稳定运行所需的所有软件、授权、工具、备品备件、消耗品、资料及人工服务等，上述内容所需的所有费用均必须计入本次投标报价。除招标文件已明确不在本次采购范围内的项目外，有关费用如未单独分项报价且投标文件偏离表中无明确偏离的，未单独分项报价的内容视为满足招标文件要求且已经平均分摊计入其他分项报价。</w:t>
      </w:r>
    </w:p>
    <w:p>
      <w:pPr>
        <w:spacing w:line="360" w:lineRule="auto"/>
        <w:ind w:firstLine="482" w:firstLineChars="200"/>
        <w:rPr>
          <w:rFonts w:ascii="宋体" w:hAnsi="宋体" w:cs="宋体"/>
          <w:b/>
          <w:bCs/>
          <w:sz w:val="24"/>
        </w:rPr>
      </w:pPr>
      <w:r>
        <w:rPr>
          <w:rFonts w:hint="eastAsia" w:ascii="宋体" w:hAnsi="宋体" w:cs="宋体"/>
          <w:b/>
          <w:bCs/>
          <w:sz w:val="24"/>
        </w:rPr>
        <w:t>（三）付款方式</w:t>
      </w:r>
    </w:p>
    <w:p>
      <w:pPr>
        <w:spacing w:line="360" w:lineRule="auto"/>
        <w:ind w:firstLine="480" w:firstLineChars="200"/>
        <w:rPr>
          <w:rFonts w:ascii="宋体" w:hAnsi="宋体" w:cs="宋体"/>
          <w:sz w:val="24"/>
        </w:rPr>
      </w:pPr>
      <w:r>
        <w:rPr>
          <w:rFonts w:hint="eastAsia" w:ascii="宋体" w:hAnsi="宋体" w:cs="宋体"/>
          <w:sz w:val="24"/>
        </w:rPr>
        <w:t>合同签订实施后，验收合格收到发票后，在三个月内一次性支付相应的款项。</w:t>
      </w: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cs="黑体"/>
          <w:b/>
          <w:bCs/>
          <w:kern w:val="2"/>
          <w:sz w:val="28"/>
          <w:szCs w:val="28"/>
          <w:lang w:val="en-US" w:eastAsia="zh-CN" w:bidi="ar-SA"/>
        </w:rPr>
      </w:pP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eastAsia="宋体" w:cs="黑体"/>
          <w:b/>
          <w:bCs/>
          <w:sz w:val="28"/>
          <w:szCs w:val="28"/>
          <w:lang w:val="en-US" w:eastAsia="zh-CN"/>
        </w:rPr>
      </w:pPr>
      <w:r>
        <w:rPr>
          <w:rFonts w:hint="eastAsia" w:ascii="宋体" w:hAnsi="宋体" w:cs="黑体"/>
          <w:b/>
          <w:bCs/>
          <w:kern w:val="2"/>
          <w:sz w:val="28"/>
          <w:szCs w:val="28"/>
          <w:lang w:val="en-US" w:eastAsia="zh-CN" w:bidi="ar-SA"/>
        </w:rPr>
        <w:t>七</w:t>
      </w:r>
      <w:r>
        <w:rPr>
          <w:rFonts w:hint="eastAsia" w:ascii="宋体" w:hAnsi="宋体" w:eastAsia="宋体" w:cs="黑体"/>
          <w:b/>
          <w:bCs/>
          <w:kern w:val="2"/>
          <w:sz w:val="28"/>
          <w:szCs w:val="28"/>
          <w:lang w:val="en-US" w:eastAsia="zh-CN" w:bidi="ar-SA"/>
        </w:rPr>
        <w:t>、</w:t>
      </w:r>
      <w:r>
        <w:rPr>
          <w:rFonts w:hint="eastAsia" w:ascii="宋体" w:hAnsi="宋体" w:eastAsia="宋体" w:cs="黑体"/>
          <w:b/>
          <w:bCs/>
          <w:sz w:val="28"/>
          <w:szCs w:val="28"/>
          <w:lang w:val="en-US" w:eastAsia="zh-CN"/>
        </w:rPr>
        <w:t>定标方法</w:t>
      </w:r>
    </w:p>
    <w:p>
      <w:pPr>
        <w:pStyle w:val="4"/>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1、确定中标候选人</w:t>
      </w:r>
    </w:p>
    <w:p>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1.1由评标委员会确定中标候选人。</w:t>
      </w:r>
    </w:p>
    <w:p>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1.2评标委员会依据法律、法规及</w:t>
      </w:r>
      <w:r>
        <w:rPr>
          <w:rFonts w:hint="eastAsia" w:ascii="宋体" w:hAnsi="宋体" w:eastAsia="宋体" w:cs="宋体"/>
          <w:sz w:val="24"/>
          <w:szCs w:val="24"/>
          <w:lang w:val="en-US" w:eastAsia="zh-CN"/>
        </w:rPr>
        <w:t>招标</w:t>
      </w:r>
      <w:r>
        <w:rPr>
          <w:rFonts w:hint="eastAsia" w:ascii="宋体" w:hAnsi="宋体" w:eastAsia="宋体" w:cs="宋体"/>
          <w:sz w:val="24"/>
          <w:szCs w:val="24"/>
        </w:rPr>
        <w:t>文件有关规定按评审后得分（即技术分与商务分之和）由高到低顺序排序，得分前二名的</w:t>
      </w:r>
      <w:r>
        <w:rPr>
          <w:rFonts w:hint="eastAsia" w:ascii="宋体" w:hAnsi="宋体" w:eastAsia="宋体" w:cs="宋体"/>
          <w:sz w:val="24"/>
          <w:szCs w:val="24"/>
          <w:lang w:val="en-US" w:eastAsia="zh-CN"/>
        </w:rPr>
        <w:t>投标</w:t>
      </w:r>
      <w:r>
        <w:rPr>
          <w:rFonts w:hint="eastAsia" w:ascii="宋体" w:hAnsi="宋体" w:eastAsia="宋体" w:cs="宋体"/>
          <w:sz w:val="24"/>
          <w:szCs w:val="24"/>
        </w:rPr>
        <w:t>人确定为该项目的第一和第二中标候选人（得分相同报价低的排序第一；得分且报价相同的，技术指标优的排序第一）向</w:t>
      </w:r>
      <w:r>
        <w:rPr>
          <w:rFonts w:hint="eastAsia" w:ascii="宋体" w:hAnsi="宋体" w:eastAsia="宋体" w:cs="宋体"/>
          <w:sz w:val="24"/>
          <w:szCs w:val="24"/>
          <w:lang w:val="en-US" w:eastAsia="zh-CN"/>
        </w:rPr>
        <w:t>采购</w:t>
      </w:r>
      <w:r>
        <w:rPr>
          <w:rFonts w:hint="eastAsia" w:ascii="宋体" w:hAnsi="宋体" w:eastAsia="宋体" w:cs="宋体"/>
          <w:sz w:val="24"/>
          <w:szCs w:val="24"/>
        </w:rPr>
        <w:t>人推荐。</w:t>
      </w:r>
    </w:p>
    <w:p>
      <w:pPr>
        <w:pStyle w:val="4"/>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2、确定中标人</w:t>
      </w:r>
    </w:p>
    <w:p>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采购</w:t>
      </w:r>
      <w:r>
        <w:rPr>
          <w:rFonts w:hint="eastAsia" w:ascii="宋体" w:hAnsi="宋体" w:eastAsia="宋体" w:cs="宋体"/>
          <w:sz w:val="24"/>
          <w:szCs w:val="24"/>
        </w:rPr>
        <w:t>人按照评标报告中推荐的中标候选供应商顺序确定中标人；也可以事先授权评标委员会按照推荐的中标候选供应商顺序直接确定中标人。中标候选人并列的，采取随机抽取的方式确定。</w:t>
      </w:r>
    </w:p>
    <w:p>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2.2如中标人放弃中标、或未能在规定时间内与采购单位签订合同的；或者经质疑，</w:t>
      </w:r>
      <w:r>
        <w:rPr>
          <w:rFonts w:hint="eastAsia" w:ascii="宋体" w:hAnsi="宋体" w:eastAsia="宋体" w:cs="宋体"/>
          <w:sz w:val="24"/>
          <w:szCs w:val="24"/>
          <w:lang w:val="en-US" w:eastAsia="zh-CN"/>
        </w:rPr>
        <w:t>采购</w:t>
      </w:r>
      <w:r>
        <w:rPr>
          <w:rFonts w:hint="eastAsia" w:ascii="宋体" w:hAnsi="宋体" w:eastAsia="宋体" w:cs="宋体"/>
          <w:sz w:val="24"/>
          <w:szCs w:val="24"/>
        </w:rPr>
        <w:t>人审查后，确因排名第一的候选人在本次采购活动中存在违法违规行为或其他原因使质疑成立的，</w:t>
      </w:r>
      <w:r>
        <w:rPr>
          <w:rFonts w:hint="eastAsia" w:ascii="宋体" w:hAnsi="宋体" w:eastAsia="宋体" w:cs="宋体"/>
          <w:sz w:val="24"/>
          <w:szCs w:val="24"/>
          <w:lang w:val="en-US" w:eastAsia="zh-CN"/>
        </w:rPr>
        <w:t>采购</w:t>
      </w:r>
      <w:r>
        <w:rPr>
          <w:rFonts w:hint="eastAsia" w:ascii="宋体" w:hAnsi="宋体" w:eastAsia="宋体" w:cs="宋体"/>
          <w:sz w:val="24"/>
          <w:szCs w:val="24"/>
        </w:rPr>
        <w:t>人可以视情况直接确定排名第二的候选人为中标人或重新组织</w:t>
      </w:r>
      <w:r>
        <w:rPr>
          <w:rFonts w:hint="eastAsia" w:ascii="宋体" w:hAnsi="宋体" w:eastAsia="宋体" w:cs="宋体"/>
          <w:sz w:val="24"/>
          <w:szCs w:val="24"/>
          <w:lang w:val="en-US" w:eastAsia="zh-CN"/>
        </w:rPr>
        <w:t>招标</w:t>
      </w:r>
      <w:r>
        <w:rPr>
          <w:rFonts w:hint="eastAsia" w:ascii="宋体" w:hAnsi="宋体" w:eastAsia="宋体" w:cs="宋体"/>
          <w:sz w:val="24"/>
          <w:szCs w:val="24"/>
        </w:rPr>
        <w:t>。</w:t>
      </w:r>
    </w:p>
    <w:p>
      <w:pPr>
        <w:pStyle w:val="4"/>
        <w:numPr>
          <w:ilvl w:val="0"/>
          <w:numId w:val="0"/>
        </w:num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中标人确定后，</w:t>
      </w:r>
      <w:r>
        <w:rPr>
          <w:rFonts w:hint="eastAsia" w:ascii="宋体" w:hAnsi="宋体" w:eastAsia="宋体" w:cs="宋体"/>
          <w:sz w:val="24"/>
          <w:szCs w:val="24"/>
          <w:lang w:val="en-US" w:eastAsia="zh-CN"/>
        </w:rPr>
        <w:t>采购</w:t>
      </w:r>
      <w:r>
        <w:rPr>
          <w:rFonts w:hint="eastAsia" w:ascii="宋体" w:hAnsi="宋体" w:eastAsia="宋体" w:cs="宋体"/>
          <w:sz w:val="24"/>
          <w:szCs w:val="24"/>
        </w:rPr>
        <w:t>人将在温州市中医院官网公告中标结果，</w:t>
      </w:r>
      <w:r>
        <w:rPr>
          <w:rFonts w:hint="eastAsia" w:ascii="宋体" w:hAnsi="宋体" w:eastAsia="宋体" w:cs="宋体"/>
          <w:sz w:val="24"/>
          <w:szCs w:val="24"/>
          <w:lang w:val="en-US" w:eastAsia="zh-CN"/>
        </w:rPr>
        <w:t>采购</w:t>
      </w:r>
      <w:r>
        <w:rPr>
          <w:rFonts w:hint="eastAsia" w:ascii="宋体" w:hAnsi="宋体" w:eastAsia="宋体" w:cs="宋体"/>
          <w:sz w:val="24"/>
          <w:szCs w:val="24"/>
        </w:rPr>
        <w:t>人向中标人发出中标通知书。</w:t>
      </w:r>
    </w:p>
    <w:p>
      <w:pPr>
        <w:rPr>
          <w:rFonts w:hint="eastAsia"/>
          <w:lang w:eastAsia="zh-CN"/>
        </w:rPr>
      </w:pPr>
    </w:p>
    <w:p>
      <w:pPr>
        <w:numPr>
          <w:ilvl w:val="0"/>
          <w:numId w:val="0"/>
        </w:numPr>
        <w:rPr>
          <w:rFonts w:hint="eastAsia"/>
          <w:b/>
          <w:bCs/>
          <w:sz w:val="28"/>
          <w:szCs w:val="28"/>
          <w:lang w:val="en-US" w:eastAsia="zh-CN"/>
        </w:rPr>
      </w:pPr>
    </w:p>
    <w:p>
      <w:pPr>
        <w:numPr>
          <w:ilvl w:val="0"/>
          <w:numId w:val="0"/>
        </w:numPr>
        <w:rPr>
          <w:rFonts w:hint="eastAsia"/>
          <w:b/>
          <w:bCs/>
          <w:sz w:val="28"/>
          <w:szCs w:val="28"/>
          <w:lang w:val="en-US" w:eastAsia="zh-CN"/>
        </w:rPr>
      </w:pPr>
    </w:p>
    <w:p>
      <w:pPr>
        <w:numPr>
          <w:ilvl w:val="0"/>
          <w:numId w:val="0"/>
        </w:numPr>
        <w:rPr>
          <w:rFonts w:hint="eastAsia"/>
          <w:b/>
          <w:bCs/>
          <w:sz w:val="28"/>
          <w:szCs w:val="28"/>
          <w:lang w:val="en-US" w:eastAsia="zh-CN"/>
        </w:rPr>
      </w:pPr>
    </w:p>
    <w:p>
      <w:pPr>
        <w:numPr>
          <w:ilvl w:val="0"/>
          <w:numId w:val="0"/>
        </w:numPr>
        <w:rPr>
          <w:rFonts w:hint="eastAsia"/>
          <w:b/>
          <w:bCs/>
          <w:sz w:val="28"/>
          <w:szCs w:val="28"/>
          <w:lang w:val="en-US" w:eastAsia="zh-CN"/>
        </w:rPr>
      </w:pPr>
    </w:p>
    <w:p>
      <w:pPr>
        <w:numPr>
          <w:ilvl w:val="0"/>
          <w:numId w:val="0"/>
        </w:numPr>
        <w:rPr>
          <w:rFonts w:hint="eastAsia"/>
          <w:b/>
          <w:bCs/>
          <w:sz w:val="28"/>
          <w:szCs w:val="28"/>
        </w:rPr>
      </w:pPr>
      <w:r>
        <w:rPr>
          <w:rFonts w:hint="eastAsia"/>
          <w:b/>
          <w:bCs/>
          <w:sz w:val="28"/>
          <w:szCs w:val="28"/>
          <w:lang w:val="en-US" w:eastAsia="zh-CN"/>
        </w:rPr>
        <w:t>八</w:t>
      </w:r>
      <w:r>
        <w:rPr>
          <w:rFonts w:hint="eastAsia"/>
          <w:b/>
          <w:bCs/>
          <w:sz w:val="28"/>
          <w:szCs w:val="28"/>
        </w:rPr>
        <w:t>、评分细则</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1、技术分的评定（</w:t>
      </w:r>
      <w:r>
        <w:rPr>
          <w:rFonts w:hint="eastAsia" w:ascii="宋体" w:hAnsi="宋体" w:cs="宋体"/>
          <w:sz w:val="24"/>
          <w:szCs w:val="24"/>
          <w:lang w:val="en-US" w:eastAsia="zh-CN"/>
        </w:rPr>
        <w:t>7</w:t>
      </w:r>
      <w:r>
        <w:rPr>
          <w:rFonts w:hint="eastAsia" w:ascii="宋体" w:hAnsi="宋体" w:eastAsia="宋体" w:cs="宋体"/>
          <w:sz w:val="24"/>
          <w:szCs w:val="24"/>
        </w:rPr>
        <w:t>0分)（权值</w:t>
      </w:r>
      <w:r>
        <w:rPr>
          <w:rFonts w:hint="eastAsia" w:ascii="宋体" w:hAnsi="宋体" w:cs="宋体"/>
          <w:sz w:val="24"/>
          <w:szCs w:val="24"/>
          <w:lang w:val="en-US" w:eastAsia="zh-CN"/>
        </w:rPr>
        <w:t>7</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各评委成员按下列评分项目进行评判，每人一张评分计算票，并记名。</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文件各项评分内容由评标委员会成员各自评分，如某张票的一个因素项目超过规定的范围，则该张票无效。各评标委员会成员对各</w:t>
      </w:r>
      <w:r>
        <w:rPr>
          <w:rFonts w:hint="eastAsia" w:ascii="宋体" w:hAnsi="宋体" w:eastAsia="宋体" w:cs="宋体"/>
          <w:sz w:val="24"/>
          <w:szCs w:val="24"/>
          <w:lang w:val="en-US" w:eastAsia="zh-CN"/>
        </w:rPr>
        <w:t>投标</w:t>
      </w:r>
      <w:r>
        <w:rPr>
          <w:rFonts w:hint="eastAsia" w:ascii="宋体" w:hAnsi="宋体" w:eastAsia="宋体" w:cs="宋体"/>
          <w:sz w:val="24"/>
          <w:szCs w:val="24"/>
        </w:rPr>
        <w:t>人的各项评分内容评分的算术平均值为各</w:t>
      </w:r>
      <w:r>
        <w:rPr>
          <w:rFonts w:hint="eastAsia" w:ascii="宋体" w:hAnsi="宋体" w:eastAsia="宋体" w:cs="宋体"/>
          <w:sz w:val="24"/>
          <w:szCs w:val="24"/>
          <w:lang w:val="en-US" w:eastAsia="zh-CN"/>
        </w:rPr>
        <w:t>投标</w:t>
      </w:r>
      <w:r>
        <w:rPr>
          <w:rFonts w:hint="eastAsia" w:ascii="宋体" w:hAnsi="宋体" w:eastAsia="宋体" w:cs="宋体"/>
          <w:sz w:val="24"/>
          <w:szCs w:val="24"/>
        </w:rPr>
        <w:t>人技术分得分（小数点后按四舍五入保留2位）。</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2、商务标（报价）</w:t>
      </w:r>
      <w:r>
        <w:rPr>
          <w:rFonts w:hint="eastAsia" w:ascii="宋体" w:hAnsi="宋体" w:cs="宋体"/>
          <w:sz w:val="24"/>
          <w:szCs w:val="24"/>
          <w:lang w:val="en-US" w:eastAsia="zh-CN"/>
        </w:rPr>
        <w:t>3</w:t>
      </w:r>
      <w:r>
        <w:rPr>
          <w:rFonts w:hint="eastAsia" w:ascii="宋体" w:hAnsi="宋体" w:eastAsia="宋体" w:cs="宋体"/>
          <w:sz w:val="24"/>
          <w:szCs w:val="24"/>
        </w:rPr>
        <w:t>0分（权值</w:t>
      </w:r>
      <w:r>
        <w:rPr>
          <w:rFonts w:hint="eastAsia" w:ascii="宋体" w:hAnsi="宋体" w:cs="宋体"/>
          <w:sz w:val="24"/>
          <w:szCs w:val="24"/>
          <w:lang w:val="en-US" w:eastAsia="zh-CN"/>
        </w:rPr>
        <w:t>3</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文件要求且报价最低的报价为评审基准价，其余</w:t>
      </w:r>
      <w:r>
        <w:rPr>
          <w:rFonts w:hint="eastAsia" w:ascii="宋体" w:hAnsi="宋体" w:eastAsia="宋体" w:cs="宋体"/>
          <w:sz w:val="24"/>
          <w:szCs w:val="24"/>
          <w:lang w:val="en-US" w:eastAsia="zh-CN"/>
        </w:rPr>
        <w:t>投标</w:t>
      </w:r>
      <w:r>
        <w:rPr>
          <w:rFonts w:hint="eastAsia" w:ascii="宋体" w:hAnsi="宋体" w:eastAsia="宋体" w:cs="宋体"/>
          <w:sz w:val="24"/>
          <w:szCs w:val="24"/>
        </w:rPr>
        <w:t>人报价与该基准价对比，计算出商务报价评分值（保留小数2位）：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人的报价等于评审基准价时其报价分为满分</w:t>
      </w:r>
      <w:r>
        <w:rPr>
          <w:rFonts w:hint="eastAsia" w:ascii="宋体" w:hAnsi="宋体" w:cs="宋体"/>
          <w:sz w:val="24"/>
          <w:szCs w:val="24"/>
          <w:lang w:val="en-US" w:eastAsia="zh-CN"/>
        </w:rPr>
        <w:t>3</w:t>
      </w:r>
      <w:r>
        <w:rPr>
          <w:rFonts w:hint="eastAsia" w:ascii="宋体" w:hAnsi="宋体" w:eastAsia="宋体" w:cs="宋体"/>
          <w:sz w:val="24"/>
          <w:szCs w:val="24"/>
        </w:rPr>
        <w:t>0分；</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2）其他</w:t>
      </w:r>
      <w:r>
        <w:rPr>
          <w:rFonts w:hint="eastAsia" w:ascii="宋体" w:hAnsi="宋体" w:eastAsia="宋体" w:cs="宋体"/>
          <w:sz w:val="24"/>
          <w:szCs w:val="24"/>
          <w:lang w:val="en-US" w:eastAsia="zh-CN"/>
        </w:rPr>
        <w:t>投标</w:t>
      </w:r>
      <w:r>
        <w:rPr>
          <w:rFonts w:hint="eastAsia" w:ascii="宋体" w:hAnsi="宋体" w:eastAsia="宋体" w:cs="宋体"/>
          <w:sz w:val="24"/>
          <w:szCs w:val="24"/>
        </w:rPr>
        <w:t>人的价格分按以下公式计算：</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报价得分=（评分基准价/</w:t>
      </w:r>
      <w:r>
        <w:rPr>
          <w:rFonts w:hint="eastAsia" w:ascii="宋体" w:hAnsi="宋体" w:eastAsia="宋体" w:cs="宋体"/>
          <w:sz w:val="24"/>
          <w:szCs w:val="24"/>
          <w:lang w:val="en-US" w:eastAsia="zh-CN"/>
        </w:rPr>
        <w:t>投标</w:t>
      </w:r>
      <w:r>
        <w:rPr>
          <w:rFonts w:hint="eastAsia" w:ascii="宋体" w:hAnsi="宋体" w:eastAsia="宋体" w:cs="宋体"/>
          <w:sz w:val="24"/>
          <w:szCs w:val="24"/>
        </w:rPr>
        <w:t>人</w:t>
      </w:r>
      <w:r>
        <w:rPr>
          <w:rFonts w:hint="eastAsia" w:ascii="宋体" w:hAnsi="宋体" w:eastAsia="宋体" w:cs="宋体"/>
          <w:sz w:val="24"/>
          <w:szCs w:val="24"/>
          <w:lang w:val="en-US" w:eastAsia="zh-CN"/>
        </w:rPr>
        <w:t>投标</w:t>
      </w:r>
      <w:r>
        <w:rPr>
          <w:rFonts w:hint="eastAsia" w:ascii="宋体" w:hAnsi="宋体" w:eastAsia="宋体" w:cs="宋体"/>
          <w:sz w:val="24"/>
          <w:szCs w:val="24"/>
        </w:rPr>
        <w:t>报价）× 价格权值 ×100（保留小数2位）</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3、有效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人的综合得分为技术分和商务（报价）分的总和。</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4、评标委员会认为</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人的报价明显低于其他通过符合性审查</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人的报价，有可能影响产品质量或者不能诚信履约的，应当要求其在评标现场合理的时间内提供书面说明，必要时提交相关证明材料；</w:t>
      </w:r>
      <w:r>
        <w:rPr>
          <w:rFonts w:hint="eastAsia" w:ascii="宋体" w:hAnsi="宋体" w:eastAsia="宋体" w:cs="宋体"/>
          <w:sz w:val="24"/>
          <w:szCs w:val="24"/>
          <w:lang w:val="en-US" w:eastAsia="zh-CN"/>
        </w:rPr>
        <w:t>投标</w:t>
      </w:r>
      <w:r>
        <w:rPr>
          <w:rFonts w:hint="eastAsia" w:ascii="宋体" w:hAnsi="宋体" w:eastAsia="宋体" w:cs="宋体"/>
          <w:sz w:val="24"/>
          <w:szCs w:val="24"/>
        </w:rPr>
        <w:t>人不能证明其报价合理性的，评标委员会应当将其作为无效</w:t>
      </w:r>
      <w:r>
        <w:rPr>
          <w:rFonts w:hint="eastAsia" w:ascii="宋体" w:hAnsi="宋体" w:eastAsia="宋体" w:cs="宋体"/>
          <w:sz w:val="24"/>
          <w:szCs w:val="24"/>
          <w:lang w:val="en-US" w:eastAsia="zh-CN"/>
        </w:rPr>
        <w:t>投标</w:t>
      </w:r>
      <w:r>
        <w:rPr>
          <w:rFonts w:hint="eastAsia" w:ascii="宋体" w:hAnsi="宋体" w:eastAsia="宋体" w:cs="宋体"/>
          <w:sz w:val="24"/>
          <w:szCs w:val="24"/>
        </w:rPr>
        <w:t>处理。</w:t>
      </w:r>
    </w:p>
    <w:p>
      <w:pPr>
        <w:pStyle w:val="4"/>
        <w:rPr>
          <w:rFonts w:hint="eastAsia"/>
          <w:lang w:val="en-US" w:eastAsia="zh-CN"/>
        </w:rPr>
      </w:pPr>
    </w:p>
    <w:p>
      <w:pPr>
        <w:rPr>
          <w:rFonts w:hint="eastAsia"/>
          <w:lang w:val="en-US" w:eastAsia="zh-CN"/>
        </w:rPr>
      </w:pPr>
    </w:p>
    <w:p>
      <w:pPr>
        <w:pStyle w:val="4"/>
        <w:rPr>
          <w:rFonts w:hint="eastAsia"/>
          <w:lang w:val="en-US" w:eastAsia="zh-CN"/>
        </w:rPr>
      </w:pPr>
    </w:p>
    <w:p>
      <w:pPr>
        <w:rPr>
          <w:rFonts w:hint="eastAsia"/>
          <w:lang w:val="en-US" w:eastAsia="zh-CN"/>
        </w:rPr>
      </w:pPr>
    </w:p>
    <w:p>
      <w:pPr>
        <w:pStyle w:val="4"/>
        <w:rPr>
          <w:rFonts w:hint="eastAsia"/>
          <w:lang w:val="en-US" w:eastAsia="zh-CN"/>
        </w:rPr>
      </w:pPr>
    </w:p>
    <w:p>
      <w:pPr>
        <w:rPr>
          <w:rFonts w:hint="eastAsia"/>
          <w:lang w:val="en-US" w:eastAsia="zh-CN"/>
        </w:rPr>
      </w:pPr>
    </w:p>
    <w:p>
      <w:pPr>
        <w:pStyle w:val="4"/>
        <w:rPr>
          <w:rFonts w:hint="eastAsia"/>
          <w:lang w:val="en-US" w:eastAsia="zh-CN"/>
        </w:rPr>
      </w:pPr>
    </w:p>
    <w:p>
      <w:pPr>
        <w:rPr>
          <w:rFonts w:hint="eastAsia"/>
          <w:lang w:val="en-US" w:eastAsia="zh-CN"/>
        </w:rPr>
      </w:pPr>
    </w:p>
    <w:p>
      <w:pPr>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2"/>
        <w:spacing w:line="360" w:lineRule="auto"/>
        <w:rPr>
          <w:rFonts w:hint="default" w:eastAsia="宋体"/>
          <w:sz w:val="28"/>
          <w:szCs w:val="28"/>
          <w:lang w:val="en-US" w:eastAsia="zh-CN"/>
        </w:rPr>
      </w:pPr>
      <w:r>
        <w:rPr>
          <w:rFonts w:hint="eastAsia"/>
          <w:sz w:val="28"/>
          <w:szCs w:val="28"/>
          <w:lang w:val="en-US" w:eastAsia="zh-CN"/>
        </w:rPr>
        <w:t>九、附件</w:t>
      </w:r>
    </w:p>
    <w:p>
      <w:pPr>
        <w:spacing w:line="360" w:lineRule="auto"/>
        <w:rPr>
          <w:rFonts w:hint="eastAsia" w:ascii="宋体" w:hAnsi="宋体"/>
          <w:b/>
          <w:sz w:val="22"/>
          <w:szCs w:val="22"/>
        </w:rPr>
      </w:pPr>
      <w:r>
        <w:rPr>
          <w:rFonts w:hint="eastAsia" w:ascii="宋体" w:hAnsi="宋体"/>
          <w:b/>
          <w:sz w:val="22"/>
          <w:szCs w:val="22"/>
          <w:lang w:val="en-US" w:eastAsia="zh-CN"/>
        </w:rPr>
        <w:t>1、</w:t>
      </w:r>
      <w:r>
        <w:rPr>
          <w:rFonts w:hint="eastAsia" w:ascii="宋体" w:hAnsi="宋体"/>
          <w:b/>
          <w:sz w:val="22"/>
          <w:szCs w:val="22"/>
        </w:rPr>
        <w:t>技术</w:t>
      </w:r>
      <w:r>
        <w:rPr>
          <w:rFonts w:hint="eastAsia" w:ascii="宋体" w:hAnsi="宋体"/>
          <w:b/>
          <w:sz w:val="22"/>
          <w:szCs w:val="22"/>
          <w:lang w:val="en-US" w:eastAsia="zh-CN"/>
        </w:rPr>
        <w:t>评分：满分7</w:t>
      </w:r>
      <w:r>
        <w:rPr>
          <w:rFonts w:hint="eastAsia" w:ascii="宋体" w:hAnsi="宋体"/>
          <w:b/>
          <w:sz w:val="22"/>
          <w:szCs w:val="22"/>
        </w:rPr>
        <w:t>0分</w:t>
      </w:r>
    </w:p>
    <w:tbl>
      <w:tblPr>
        <w:tblStyle w:val="14"/>
        <w:tblW w:w="9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328"/>
        <w:gridCol w:w="6517"/>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8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s="新宋体"/>
                <w:bCs/>
                <w:sz w:val="22"/>
                <w:szCs w:val="22"/>
              </w:rPr>
            </w:pPr>
            <w:r>
              <w:rPr>
                <w:rFonts w:hint="eastAsia" w:ascii="新宋体" w:hAnsi="新宋体" w:eastAsia="新宋体" w:cs="新宋体"/>
                <w:bCs/>
                <w:sz w:val="22"/>
                <w:szCs w:val="22"/>
              </w:rPr>
              <w:t>序号</w:t>
            </w:r>
          </w:p>
        </w:tc>
        <w:tc>
          <w:tcPr>
            <w:tcW w:w="132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s="新宋体"/>
                <w:bCs/>
                <w:sz w:val="22"/>
                <w:szCs w:val="22"/>
              </w:rPr>
            </w:pPr>
            <w:r>
              <w:rPr>
                <w:rFonts w:hint="eastAsia" w:ascii="新宋体" w:hAnsi="新宋体" w:eastAsia="新宋体" w:cs="新宋体"/>
                <w:bCs/>
                <w:sz w:val="22"/>
                <w:szCs w:val="22"/>
              </w:rPr>
              <w:t>评分内容</w:t>
            </w:r>
          </w:p>
        </w:tc>
        <w:tc>
          <w:tcPr>
            <w:tcW w:w="65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s="新宋体"/>
                <w:bCs/>
                <w:sz w:val="22"/>
                <w:szCs w:val="22"/>
              </w:rPr>
            </w:pPr>
            <w:r>
              <w:rPr>
                <w:rFonts w:hint="eastAsia" w:ascii="新宋体" w:hAnsi="新宋体" w:eastAsia="新宋体" w:cs="新宋体"/>
                <w:bCs/>
                <w:sz w:val="22"/>
                <w:szCs w:val="22"/>
              </w:rPr>
              <w:t>评分标准</w:t>
            </w:r>
          </w:p>
        </w:tc>
        <w:tc>
          <w:tcPr>
            <w:tcW w:w="10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s="新宋体"/>
                <w:bCs/>
                <w:sz w:val="22"/>
                <w:szCs w:val="22"/>
              </w:rPr>
            </w:pPr>
            <w:r>
              <w:rPr>
                <w:rFonts w:hint="eastAsia" w:ascii="新宋体" w:hAnsi="新宋体" w:eastAsia="新宋体" w:cs="新宋体"/>
                <w:bCs/>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88" w:type="dxa"/>
            <w:vMerge w:val="restart"/>
            <w:tcBorders>
              <w:top w:val="single" w:color="auto" w:sz="4" w:space="0"/>
              <w:left w:val="single" w:color="auto" w:sz="4" w:space="0"/>
              <w:right w:val="single" w:color="auto" w:sz="4" w:space="0"/>
            </w:tcBorders>
            <w:noWrap/>
            <w:vAlign w:val="center"/>
          </w:tcPr>
          <w:p>
            <w:pPr>
              <w:spacing w:line="360" w:lineRule="auto"/>
              <w:jc w:val="center"/>
              <w:rPr>
                <w:rFonts w:ascii="新宋体" w:hAnsi="新宋体" w:eastAsia="新宋体" w:cs="新宋体"/>
                <w:bCs/>
                <w:sz w:val="22"/>
                <w:szCs w:val="22"/>
              </w:rPr>
            </w:pPr>
            <w:r>
              <w:rPr>
                <w:rFonts w:hint="eastAsia" w:ascii="新宋体" w:hAnsi="新宋体" w:eastAsia="新宋体" w:cs="新宋体"/>
                <w:bCs/>
                <w:sz w:val="22"/>
                <w:szCs w:val="22"/>
              </w:rPr>
              <w:t>1</w:t>
            </w:r>
          </w:p>
        </w:tc>
        <w:tc>
          <w:tcPr>
            <w:tcW w:w="1328" w:type="dxa"/>
            <w:tcBorders>
              <w:top w:val="single" w:color="auto" w:sz="4" w:space="0"/>
              <w:left w:val="single" w:color="auto" w:sz="4" w:space="0"/>
              <w:right w:val="single" w:color="auto" w:sz="4" w:space="0"/>
            </w:tcBorders>
            <w:noWrap/>
            <w:vAlign w:val="center"/>
          </w:tcPr>
          <w:p>
            <w:pPr>
              <w:widowControl/>
              <w:spacing w:line="360" w:lineRule="auto"/>
              <w:textAlignment w:val="center"/>
              <w:rPr>
                <w:rFonts w:ascii="新宋体" w:hAnsi="新宋体" w:eastAsia="新宋体" w:cs="新宋体"/>
                <w:bCs/>
                <w:kern w:val="0"/>
                <w:sz w:val="22"/>
                <w:szCs w:val="22"/>
              </w:rPr>
            </w:pPr>
            <w:r>
              <w:rPr>
                <w:rFonts w:hint="eastAsia" w:ascii="新宋体" w:hAnsi="新宋体" w:eastAsia="新宋体" w:cs="新宋体"/>
                <w:bCs/>
                <w:kern w:val="0"/>
                <w:sz w:val="22"/>
                <w:szCs w:val="22"/>
              </w:rPr>
              <w:t>投标人综合实力</w:t>
            </w:r>
          </w:p>
        </w:tc>
        <w:tc>
          <w:tcPr>
            <w:tcW w:w="6517" w:type="dxa"/>
            <w:tcBorders>
              <w:top w:val="single" w:color="auto" w:sz="4" w:space="0"/>
              <w:left w:val="single" w:color="auto" w:sz="4" w:space="0"/>
              <w:right w:val="single" w:color="auto" w:sz="4" w:space="0"/>
            </w:tcBorders>
            <w:noWrap/>
            <w:vAlign w:val="center"/>
          </w:tcPr>
          <w:p>
            <w:pPr>
              <w:widowControl/>
              <w:spacing w:line="360" w:lineRule="auto"/>
              <w:textAlignment w:val="center"/>
              <w:rPr>
                <w:rFonts w:ascii="新宋体" w:hAnsi="新宋体" w:eastAsia="新宋体" w:cs="新宋体"/>
                <w:bCs/>
                <w:kern w:val="0"/>
                <w:sz w:val="22"/>
                <w:szCs w:val="22"/>
              </w:rPr>
            </w:pPr>
            <w:r>
              <w:rPr>
                <w:rFonts w:hint="eastAsia" w:ascii="新宋体" w:hAnsi="新宋体" w:eastAsia="新宋体" w:cs="新宋体"/>
                <w:bCs/>
                <w:kern w:val="0"/>
                <w:sz w:val="22"/>
                <w:szCs w:val="22"/>
              </w:rPr>
              <w:t>投标人具有</w:t>
            </w:r>
            <w:r>
              <w:fldChar w:fldCharType="begin"/>
            </w:r>
            <w:r>
              <w:instrText xml:space="preserve"> HYPERLINK "http://证书\\高新企业证书\\高新技术企业.pdf" </w:instrText>
            </w:r>
            <w:r>
              <w:fldChar w:fldCharType="separate"/>
            </w:r>
            <w:r>
              <w:rPr>
                <w:rFonts w:hint="eastAsia" w:ascii="新宋体" w:hAnsi="新宋体" w:eastAsia="新宋体" w:cs="新宋体"/>
                <w:bCs/>
                <w:kern w:val="0"/>
                <w:sz w:val="22"/>
                <w:szCs w:val="22"/>
              </w:rPr>
              <w:t>高新技术企业证书</w:t>
            </w:r>
            <w:r>
              <w:rPr>
                <w:rFonts w:hint="eastAsia" w:ascii="新宋体" w:hAnsi="新宋体" w:eastAsia="新宋体" w:cs="新宋体"/>
                <w:bCs/>
                <w:kern w:val="0"/>
                <w:sz w:val="22"/>
                <w:szCs w:val="22"/>
              </w:rPr>
              <w:fldChar w:fldCharType="end"/>
            </w:r>
            <w:r>
              <w:rPr>
                <w:rFonts w:hint="eastAsia" w:ascii="新宋体" w:hAnsi="新宋体" w:eastAsia="新宋体" w:cs="新宋体"/>
                <w:bCs/>
                <w:kern w:val="0"/>
                <w:sz w:val="22"/>
                <w:szCs w:val="22"/>
              </w:rPr>
              <w:t>，得2分</w:t>
            </w:r>
          </w:p>
          <w:p>
            <w:pPr>
              <w:widowControl/>
              <w:spacing w:line="360" w:lineRule="auto"/>
              <w:textAlignment w:val="center"/>
              <w:rPr>
                <w:rFonts w:ascii="新宋体" w:hAnsi="新宋体" w:eastAsia="新宋体" w:cs="新宋体"/>
                <w:bCs/>
                <w:kern w:val="0"/>
                <w:sz w:val="22"/>
                <w:szCs w:val="22"/>
              </w:rPr>
            </w:pPr>
            <w:r>
              <w:rPr>
                <w:rFonts w:hint="eastAsia" w:ascii="新宋体" w:hAnsi="新宋体" w:eastAsia="新宋体" w:cs="新宋体"/>
                <w:bCs/>
                <w:kern w:val="0"/>
                <w:sz w:val="22"/>
                <w:szCs w:val="22"/>
              </w:rPr>
              <w:t>投标人具有</w:t>
            </w:r>
            <w:r>
              <w:fldChar w:fldCharType="begin"/>
            </w:r>
            <w:r>
              <w:instrText xml:space="preserve"> HYPERLINK "http://证书\\浙江省专精特新\\浙江省" </w:instrText>
            </w:r>
            <w:r>
              <w:fldChar w:fldCharType="separate"/>
            </w:r>
            <w:r>
              <w:rPr>
                <w:rFonts w:hint="eastAsia" w:ascii="新宋体" w:hAnsi="新宋体" w:eastAsia="新宋体" w:cs="新宋体"/>
                <w:bCs/>
                <w:kern w:val="0"/>
                <w:sz w:val="22"/>
                <w:szCs w:val="22"/>
              </w:rPr>
              <w:t>浙江省专精特新证书</w:t>
            </w:r>
            <w:r>
              <w:rPr>
                <w:rFonts w:hint="eastAsia" w:ascii="新宋体" w:hAnsi="新宋体" w:eastAsia="新宋体" w:cs="新宋体"/>
                <w:bCs/>
                <w:kern w:val="0"/>
                <w:sz w:val="22"/>
                <w:szCs w:val="22"/>
              </w:rPr>
              <w:fldChar w:fldCharType="end"/>
            </w:r>
            <w:r>
              <w:rPr>
                <w:rFonts w:hint="eastAsia" w:ascii="新宋体" w:hAnsi="新宋体" w:eastAsia="新宋体" w:cs="新宋体"/>
                <w:bCs/>
                <w:kern w:val="0"/>
                <w:sz w:val="22"/>
                <w:szCs w:val="22"/>
              </w:rPr>
              <w:t>，得2分</w:t>
            </w:r>
          </w:p>
          <w:p>
            <w:pPr>
              <w:widowControl/>
              <w:spacing w:line="360" w:lineRule="auto"/>
              <w:textAlignment w:val="center"/>
              <w:rPr>
                <w:rFonts w:ascii="新宋体" w:hAnsi="新宋体" w:eastAsia="新宋体" w:cs="新宋体"/>
                <w:bCs/>
                <w:kern w:val="0"/>
                <w:sz w:val="22"/>
                <w:szCs w:val="22"/>
              </w:rPr>
            </w:pPr>
            <w:r>
              <w:rPr>
                <w:rFonts w:hint="eastAsia" w:ascii="新宋体" w:hAnsi="新宋体" w:eastAsia="新宋体" w:cs="新宋体"/>
                <w:bCs/>
                <w:kern w:val="0"/>
                <w:sz w:val="22"/>
                <w:szCs w:val="22"/>
              </w:rPr>
              <w:t>投标人具有</w:t>
            </w:r>
            <w:r>
              <w:fldChar w:fldCharType="begin"/>
            </w:r>
            <w:r>
              <w:instrText xml:space="preserve"> HYPERLINK "http://证书\\守合同重信用\\守合同重信用.jpg" </w:instrText>
            </w:r>
            <w:r>
              <w:fldChar w:fldCharType="separate"/>
            </w:r>
            <w:r>
              <w:rPr>
                <w:rFonts w:hint="eastAsia" w:ascii="新宋体" w:hAnsi="新宋体" w:eastAsia="新宋体" w:cs="新宋体"/>
                <w:bCs/>
                <w:kern w:val="0"/>
                <w:sz w:val="22"/>
                <w:szCs w:val="22"/>
              </w:rPr>
              <w:t>A级守合同重信用</w:t>
            </w:r>
            <w:r>
              <w:rPr>
                <w:rFonts w:hint="eastAsia" w:ascii="新宋体" w:hAnsi="新宋体" w:eastAsia="新宋体" w:cs="新宋体"/>
                <w:bCs/>
                <w:kern w:val="0"/>
                <w:sz w:val="22"/>
                <w:szCs w:val="22"/>
              </w:rPr>
              <w:fldChar w:fldCharType="end"/>
            </w:r>
            <w:r>
              <w:rPr>
                <w:rFonts w:hint="eastAsia" w:ascii="新宋体" w:hAnsi="新宋体" w:eastAsia="新宋体" w:cs="新宋体"/>
                <w:bCs/>
                <w:kern w:val="0"/>
                <w:sz w:val="22"/>
                <w:szCs w:val="22"/>
              </w:rPr>
              <w:t>证书，得2分</w:t>
            </w:r>
          </w:p>
          <w:p>
            <w:pPr>
              <w:widowControl/>
              <w:spacing w:line="360" w:lineRule="auto"/>
              <w:textAlignment w:val="center"/>
              <w:rPr>
                <w:rFonts w:hint="default" w:ascii="新宋体" w:hAnsi="新宋体" w:eastAsia="新宋体" w:cs="新宋体"/>
                <w:bCs/>
                <w:kern w:val="0"/>
                <w:sz w:val="22"/>
                <w:szCs w:val="22"/>
                <w:lang w:val="en-US" w:eastAsia="zh-CN"/>
              </w:rPr>
            </w:pPr>
            <w:r>
              <w:rPr>
                <w:rFonts w:hint="eastAsia" w:ascii="新宋体" w:hAnsi="新宋体" w:eastAsia="新宋体" w:cs="新宋体"/>
                <w:bCs/>
                <w:kern w:val="0"/>
                <w:sz w:val="22"/>
                <w:szCs w:val="22"/>
                <w:lang w:val="en-US" w:eastAsia="zh-CN"/>
              </w:rPr>
              <w:t>提供相关证书复印件并加盖投标人公章，否则不得分。</w:t>
            </w:r>
          </w:p>
        </w:tc>
        <w:tc>
          <w:tcPr>
            <w:tcW w:w="10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s="新宋体"/>
                <w:bCs/>
                <w:sz w:val="22"/>
                <w:szCs w:val="22"/>
              </w:rPr>
            </w:pPr>
            <w:r>
              <w:rPr>
                <w:rFonts w:hint="eastAsia" w:ascii="新宋体" w:hAnsi="新宋体" w:eastAsia="新宋体" w:cs="新宋体"/>
                <w:bCs/>
                <w:sz w:val="22"/>
                <w:szCs w:val="22"/>
                <w:lang w:val="en-US" w:eastAsia="zh-CN"/>
              </w:rPr>
              <w:t>6</w:t>
            </w:r>
            <w:r>
              <w:rPr>
                <w:rFonts w:hint="eastAsia" w:ascii="新宋体" w:hAnsi="新宋体" w:eastAsia="新宋体" w:cs="新宋体"/>
                <w:bCs/>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688" w:type="dxa"/>
            <w:vMerge w:val="continue"/>
            <w:tcBorders>
              <w:left w:val="single" w:color="auto" w:sz="4" w:space="0"/>
              <w:right w:val="single" w:color="auto" w:sz="4" w:space="0"/>
            </w:tcBorders>
            <w:noWrap/>
            <w:vAlign w:val="center"/>
          </w:tcPr>
          <w:p>
            <w:pPr>
              <w:spacing w:line="360" w:lineRule="auto"/>
              <w:jc w:val="center"/>
              <w:rPr>
                <w:rFonts w:ascii="新宋体" w:hAnsi="新宋体" w:eastAsia="新宋体" w:cs="新宋体"/>
                <w:bCs/>
                <w:sz w:val="22"/>
                <w:szCs w:val="22"/>
              </w:rPr>
            </w:pPr>
          </w:p>
        </w:tc>
        <w:tc>
          <w:tcPr>
            <w:tcW w:w="1328" w:type="dxa"/>
            <w:vMerge w:val="restart"/>
            <w:tcBorders>
              <w:left w:val="single" w:color="auto" w:sz="4" w:space="0"/>
              <w:right w:val="single" w:color="auto" w:sz="4" w:space="0"/>
            </w:tcBorders>
            <w:noWrap/>
            <w:vAlign w:val="center"/>
          </w:tcPr>
          <w:p>
            <w:pPr>
              <w:widowControl/>
              <w:spacing w:line="360" w:lineRule="auto"/>
              <w:textAlignment w:val="center"/>
              <w:rPr>
                <w:rFonts w:ascii="新宋体" w:hAnsi="新宋体" w:eastAsia="新宋体" w:cs="新宋体"/>
                <w:bCs/>
                <w:kern w:val="0"/>
                <w:sz w:val="22"/>
                <w:szCs w:val="22"/>
              </w:rPr>
            </w:pPr>
            <w:r>
              <w:rPr>
                <w:rFonts w:hint="eastAsia" w:ascii="新宋体" w:hAnsi="新宋体" w:eastAsia="新宋体" w:cs="新宋体"/>
                <w:bCs/>
                <w:kern w:val="0"/>
                <w:sz w:val="22"/>
                <w:szCs w:val="22"/>
              </w:rPr>
              <w:t>软件著作权证书</w:t>
            </w:r>
          </w:p>
        </w:tc>
        <w:tc>
          <w:tcPr>
            <w:tcW w:w="6517" w:type="dxa"/>
            <w:tcBorders>
              <w:top w:val="single" w:color="auto" w:sz="4" w:space="0"/>
              <w:left w:val="single" w:color="auto" w:sz="4" w:space="0"/>
              <w:bottom w:val="single" w:color="auto" w:sz="4" w:space="0"/>
              <w:right w:val="single" w:color="auto" w:sz="4" w:space="0"/>
            </w:tcBorders>
            <w:noWrap/>
            <w:vAlign w:val="center"/>
          </w:tcPr>
          <w:p>
            <w:pPr>
              <w:widowControl/>
              <w:shd w:val="clear"/>
              <w:spacing w:line="360" w:lineRule="auto"/>
              <w:textAlignment w:val="center"/>
              <w:rPr>
                <w:rFonts w:ascii="新宋体" w:hAnsi="新宋体" w:eastAsia="新宋体" w:cs="新宋体"/>
                <w:bCs/>
                <w:kern w:val="0"/>
                <w:sz w:val="22"/>
                <w:szCs w:val="22"/>
                <w:highlight w:val="none"/>
              </w:rPr>
            </w:pPr>
            <w:r>
              <w:rPr>
                <w:rFonts w:hint="eastAsia" w:ascii="新宋体" w:hAnsi="新宋体" w:eastAsia="新宋体" w:cs="新宋体"/>
                <w:bCs/>
                <w:kern w:val="0"/>
                <w:sz w:val="22"/>
                <w:szCs w:val="22"/>
                <w:highlight w:val="none"/>
              </w:rPr>
              <w:t>1、提供</w:t>
            </w:r>
            <w:r>
              <w:rPr>
                <w:rFonts w:hint="eastAsia" w:ascii="宋体" w:hAnsi="宋体" w:cs="宋体"/>
                <w:color w:val="000000"/>
                <w:szCs w:val="21"/>
                <w:highlight w:val="none"/>
              </w:rPr>
              <w:t>消息推送服务软件著作权证书</w:t>
            </w:r>
            <w:r>
              <w:rPr>
                <w:rFonts w:hint="eastAsia" w:ascii="新宋体" w:hAnsi="新宋体" w:eastAsia="新宋体" w:cs="新宋体"/>
                <w:bCs/>
                <w:kern w:val="0"/>
                <w:sz w:val="22"/>
                <w:szCs w:val="22"/>
                <w:highlight w:val="none"/>
              </w:rPr>
              <w:t>；</w:t>
            </w:r>
          </w:p>
          <w:p>
            <w:pPr>
              <w:widowControl/>
              <w:shd w:val="clear"/>
              <w:spacing w:line="360" w:lineRule="auto"/>
              <w:textAlignment w:val="center"/>
              <w:rPr>
                <w:rFonts w:ascii="新宋体" w:hAnsi="新宋体" w:eastAsia="新宋体" w:cs="新宋体"/>
                <w:bCs/>
                <w:kern w:val="0"/>
                <w:sz w:val="22"/>
                <w:szCs w:val="22"/>
                <w:highlight w:val="none"/>
              </w:rPr>
            </w:pPr>
            <w:r>
              <w:rPr>
                <w:rFonts w:hint="eastAsia" w:ascii="新宋体" w:hAnsi="新宋体" w:eastAsia="新宋体" w:cs="新宋体"/>
                <w:bCs/>
                <w:kern w:val="0"/>
                <w:sz w:val="22"/>
                <w:szCs w:val="22"/>
                <w:highlight w:val="none"/>
              </w:rPr>
              <w:t>2、提供安防系统软件著作权证书；</w:t>
            </w:r>
          </w:p>
          <w:p>
            <w:pPr>
              <w:widowControl/>
              <w:shd w:val="clear"/>
              <w:spacing w:line="360" w:lineRule="auto"/>
              <w:textAlignment w:val="center"/>
              <w:rPr>
                <w:rFonts w:ascii="新宋体" w:hAnsi="新宋体" w:eastAsia="新宋体" w:cs="新宋体"/>
                <w:bCs/>
                <w:kern w:val="0"/>
                <w:sz w:val="22"/>
                <w:szCs w:val="22"/>
                <w:highlight w:val="none"/>
              </w:rPr>
            </w:pPr>
            <w:r>
              <w:rPr>
                <w:rFonts w:hint="eastAsia" w:ascii="新宋体" w:hAnsi="新宋体" w:eastAsia="新宋体" w:cs="新宋体"/>
                <w:bCs/>
                <w:kern w:val="0"/>
                <w:sz w:val="22"/>
                <w:szCs w:val="22"/>
                <w:highlight w:val="none"/>
              </w:rPr>
              <w:t>3、提供统一身份认证平台软件著作权证书；</w:t>
            </w:r>
          </w:p>
          <w:p>
            <w:pPr>
              <w:widowControl/>
              <w:shd w:val="clear"/>
              <w:spacing w:line="360" w:lineRule="auto"/>
              <w:textAlignment w:val="center"/>
              <w:rPr>
                <w:rFonts w:ascii="新宋体" w:hAnsi="新宋体" w:eastAsia="新宋体" w:cs="新宋体"/>
                <w:bCs/>
                <w:kern w:val="0"/>
                <w:sz w:val="22"/>
                <w:szCs w:val="22"/>
                <w:highlight w:val="none"/>
              </w:rPr>
            </w:pPr>
            <w:r>
              <w:rPr>
                <w:rFonts w:hint="eastAsia" w:ascii="新宋体" w:hAnsi="新宋体" w:eastAsia="新宋体" w:cs="新宋体"/>
                <w:bCs/>
                <w:kern w:val="0"/>
                <w:sz w:val="22"/>
                <w:szCs w:val="22"/>
                <w:highlight w:val="none"/>
              </w:rPr>
              <w:t>4、提供刷脸支付软件著作权证书；</w:t>
            </w:r>
          </w:p>
          <w:p>
            <w:pPr>
              <w:widowControl/>
              <w:shd w:val="clear"/>
              <w:spacing w:line="360" w:lineRule="auto"/>
              <w:textAlignment w:val="center"/>
              <w:rPr>
                <w:rFonts w:ascii="新宋体" w:hAnsi="新宋体" w:eastAsia="新宋体" w:cs="新宋体"/>
                <w:bCs/>
                <w:kern w:val="0"/>
                <w:sz w:val="22"/>
                <w:szCs w:val="22"/>
                <w:highlight w:val="none"/>
              </w:rPr>
            </w:pPr>
            <w:r>
              <w:rPr>
                <w:rFonts w:hint="eastAsia" w:ascii="新宋体" w:hAnsi="新宋体" w:eastAsia="新宋体" w:cs="新宋体"/>
                <w:bCs/>
                <w:kern w:val="0"/>
                <w:sz w:val="22"/>
                <w:szCs w:val="22"/>
                <w:highlight w:val="none"/>
              </w:rPr>
              <w:t>5、提供CMMI三级证书；</w:t>
            </w:r>
          </w:p>
          <w:p>
            <w:pPr>
              <w:widowControl/>
              <w:shd w:val="clear"/>
              <w:spacing w:line="360" w:lineRule="auto"/>
              <w:textAlignment w:val="center"/>
              <w:rPr>
                <w:rFonts w:ascii="新宋体" w:hAnsi="新宋体" w:eastAsia="新宋体" w:cs="新宋体"/>
                <w:bCs/>
                <w:kern w:val="0"/>
                <w:sz w:val="22"/>
                <w:szCs w:val="22"/>
                <w:highlight w:val="none"/>
              </w:rPr>
            </w:pPr>
            <w:r>
              <w:rPr>
                <w:rFonts w:hint="eastAsia" w:ascii="新宋体" w:hAnsi="新宋体" w:eastAsia="新宋体" w:cs="新宋体"/>
                <w:bCs/>
                <w:kern w:val="0"/>
                <w:sz w:val="22"/>
                <w:szCs w:val="22"/>
                <w:highlight w:val="none"/>
              </w:rPr>
              <w:t>6、提供电子健康卡管理系统软件著作权证书；</w:t>
            </w:r>
          </w:p>
          <w:p>
            <w:pPr>
              <w:widowControl/>
              <w:shd w:val="clear"/>
              <w:spacing w:line="360" w:lineRule="auto"/>
              <w:textAlignment w:val="center"/>
              <w:rPr>
                <w:rFonts w:ascii="新宋体" w:hAnsi="新宋体" w:eastAsia="新宋体" w:cs="新宋体"/>
                <w:bCs/>
                <w:kern w:val="0"/>
                <w:sz w:val="22"/>
                <w:szCs w:val="22"/>
                <w:highlight w:val="none"/>
              </w:rPr>
            </w:pPr>
            <w:r>
              <w:rPr>
                <w:rFonts w:hint="eastAsia" w:ascii="新宋体" w:hAnsi="新宋体" w:eastAsia="新宋体" w:cs="新宋体"/>
                <w:bCs/>
                <w:kern w:val="0"/>
                <w:sz w:val="22"/>
                <w:szCs w:val="22"/>
                <w:highlight w:val="none"/>
              </w:rPr>
              <w:t>7、提供门诊自助服务软件著作权证书；</w:t>
            </w:r>
          </w:p>
          <w:p>
            <w:pPr>
              <w:widowControl/>
              <w:shd w:val="clear"/>
              <w:spacing w:line="360" w:lineRule="auto"/>
              <w:textAlignment w:val="center"/>
              <w:rPr>
                <w:rFonts w:ascii="新宋体" w:hAnsi="新宋体" w:eastAsia="新宋体" w:cs="新宋体"/>
                <w:bCs/>
                <w:kern w:val="0"/>
                <w:sz w:val="22"/>
                <w:szCs w:val="22"/>
                <w:highlight w:val="none"/>
              </w:rPr>
            </w:pPr>
            <w:r>
              <w:rPr>
                <w:rFonts w:hint="eastAsia" w:ascii="新宋体" w:hAnsi="新宋体" w:eastAsia="新宋体" w:cs="新宋体"/>
                <w:bCs/>
                <w:kern w:val="0"/>
                <w:sz w:val="22"/>
                <w:szCs w:val="22"/>
                <w:highlight w:val="none"/>
              </w:rPr>
              <w:t>8、提供医院门诊自动分诊导医系统软件著作权证书；</w:t>
            </w:r>
          </w:p>
          <w:p>
            <w:pPr>
              <w:widowControl/>
              <w:shd w:val="clear"/>
              <w:spacing w:line="360" w:lineRule="auto"/>
              <w:textAlignment w:val="center"/>
              <w:rPr>
                <w:rFonts w:ascii="新宋体" w:hAnsi="新宋体" w:eastAsia="新宋体" w:cs="新宋体"/>
                <w:bCs/>
                <w:kern w:val="0"/>
                <w:sz w:val="22"/>
                <w:szCs w:val="22"/>
                <w:highlight w:val="none"/>
              </w:rPr>
            </w:pPr>
            <w:r>
              <w:rPr>
                <w:rFonts w:hint="eastAsia" w:ascii="新宋体" w:hAnsi="新宋体" w:eastAsia="新宋体" w:cs="新宋体"/>
                <w:bCs/>
                <w:kern w:val="0"/>
                <w:sz w:val="22"/>
                <w:szCs w:val="22"/>
                <w:highlight w:val="none"/>
              </w:rPr>
              <w:t>每提供一项得</w:t>
            </w:r>
            <w:r>
              <w:rPr>
                <w:rFonts w:hint="eastAsia" w:ascii="新宋体" w:hAnsi="新宋体" w:eastAsia="新宋体" w:cs="新宋体"/>
                <w:bCs/>
                <w:kern w:val="0"/>
                <w:sz w:val="22"/>
                <w:szCs w:val="22"/>
                <w:highlight w:val="none"/>
                <w:lang w:val="en-US" w:eastAsia="zh-CN"/>
              </w:rPr>
              <w:t>1</w:t>
            </w:r>
            <w:r>
              <w:rPr>
                <w:rFonts w:hint="eastAsia" w:ascii="新宋体" w:hAnsi="新宋体" w:eastAsia="新宋体" w:cs="新宋体"/>
                <w:bCs/>
                <w:kern w:val="0"/>
                <w:sz w:val="22"/>
                <w:szCs w:val="22"/>
                <w:highlight w:val="none"/>
              </w:rPr>
              <w:t>分，最高得</w:t>
            </w:r>
            <w:r>
              <w:rPr>
                <w:rFonts w:hint="eastAsia" w:ascii="新宋体" w:hAnsi="新宋体" w:eastAsia="新宋体" w:cs="新宋体"/>
                <w:bCs/>
                <w:kern w:val="0"/>
                <w:sz w:val="22"/>
                <w:szCs w:val="22"/>
                <w:highlight w:val="none"/>
                <w:lang w:val="en-US" w:eastAsia="zh-CN"/>
              </w:rPr>
              <w:t>8</w:t>
            </w:r>
            <w:r>
              <w:rPr>
                <w:rFonts w:hint="eastAsia" w:ascii="新宋体" w:hAnsi="新宋体" w:eastAsia="新宋体" w:cs="新宋体"/>
                <w:bCs/>
                <w:kern w:val="0"/>
                <w:sz w:val="22"/>
                <w:szCs w:val="22"/>
                <w:highlight w:val="none"/>
              </w:rPr>
              <w:t>分；</w:t>
            </w:r>
          </w:p>
          <w:p>
            <w:pPr>
              <w:widowControl/>
              <w:shd w:val="clear"/>
              <w:spacing w:line="360" w:lineRule="auto"/>
              <w:textAlignment w:val="center"/>
              <w:rPr>
                <w:rFonts w:ascii="新宋体" w:hAnsi="新宋体" w:eastAsia="新宋体" w:cs="新宋体"/>
                <w:bCs/>
                <w:kern w:val="0"/>
                <w:sz w:val="22"/>
                <w:szCs w:val="22"/>
              </w:rPr>
            </w:pPr>
            <w:r>
              <w:rPr>
                <w:rFonts w:hint="eastAsia" w:ascii="新宋体" w:hAnsi="新宋体" w:eastAsia="新宋体" w:cs="新宋体"/>
                <w:bCs/>
                <w:kern w:val="0"/>
                <w:sz w:val="22"/>
                <w:szCs w:val="22"/>
                <w:highlight w:val="none"/>
              </w:rPr>
              <w:t>（须提供复印件并加盖公章，原件备查）</w:t>
            </w:r>
          </w:p>
        </w:tc>
        <w:tc>
          <w:tcPr>
            <w:tcW w:w="10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s="新宋体"/>
                <w:bCs/>
                <w:sz w:val="22"/>
                <w:szCs w:val="22"/>
              </w:rPr>
            </w:pPr>
            <w:r>
              <w:rPr>
                <w:rFonts w:hint="eastAsia" w:ascii="新宋体" w:hAnsi="新宋体" w:eastAsia="新宋体" w:cs="新宋体"/>
                <w:bCs/>
                <w:sz w:val="22"/>
                <w:szCs w:val="22"/>
                <w:lang w:val="en-US" w:eastAsia="zh-CN"/>
              </w:rPr>
              <w:t>8</w:t>
            </w:r>
            <w:r>
              <w:rPr>
                <w:rFonts w:hint="eastAsia" w:ascii="新宋体" w:hAnsi="新宋体" w:eastAsia="新宋体" w:cs="新宋体"/>
                <w:bCs/>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688" w:type="dxa"/>
            <w:vMerge w:val="continue"/>
            <w:tcBorders>
              <w:left w:val="single" w:color="auto" w:sz="4" w:space="0"/>
              <w:right w:val="single" w:color="auto" w:sz="4" w:space="0"/>
            </w:tcBorders>
            <w:noWrap/>
            <w:vAlign w:val="center"/>
          </w:tcPr>
          <w:p>
            <w:pPr>
              <w:spacing w:line="360" w:lineRule="auto"/>
              <w:jc w:val="center"/>
              <w:rPr>
                <w:rFonts w:ascii="新宋体" w:hAnsi="新宋体" w:eastAsia="新宋体" w:cs="新宋体"/>
                <w:bCs/>
                <w:sz w:val="22"/>
                <w:szCs w:val="22"/>
              </w:rPr>
            </w:pPr>
          </w:p>
        </w:tc>
        <w:tc>
          <w:tcPr>
            <w:tcW w:w="1328" w:type="dxa"/>
            <w:vMerge w:val="continue"/>
            <w:tcBorders>
              <w:left w:val="single" w:color="auto" w:sz="4" w:space="0"/>
              <w:right w:val="single" w:color="auto" w:sz="4" w:space="0"/>
            </w:tcBorders>
            <w:noWrap/>
            <w:vAlign w:val="center"/>
          </w:tcPr>
          <w:p>
            <w:pPr>
              <w:spacing w:line="360" w:lineRule="auto"/>
              <w:jc w:val="center"/>
              <w:rPr>
                <w:rFonts w:ascii="新宋体" w:hAnsi="新宋体" w:eastAsia="新宋体" w:cs="新宋体"/>
                <w:bCs/>
                <w:sz w:val="22"/>
                <w:szCs w:val="22"/>
              </w:rPr>
            </w:pPr>
          </w:p>
        </w:tc>
        <w:tc>
          <w:tcPr>
            <w:tcW w:w="6517" w:type="dxa"/>
            <w:tcBorders>
              <w:top w:val="single" w:color="auto" w:sz="4" w:space="0"/>
              <w:left w:val="single" w:color="auto" w:sz="4" w:space="0"/>
              <w:bottom w:val="single" w:color="auto" w:sz="4" w:space="0"/>
              <w:right w:val="single" w:color="auto" w:sz="4" w:space="0"/>
            </w:tcBorders>
            <w:noWrap/>
            <w:vAlign w:val="center"/>
          </w:tcPr>
          <w:p>
            <w:pPr>
              <w:pStyle w:val="26"/>
              <w:spacing w:beforeLines="0" w:afterLines="0" w:line="360" w:lineRule="auto"/>
              <w:rPr>
                <w:rFonts w:ascii="新宋体" w:hAnsi="新宋体" w:eastAsia="新宋体" w:cs="新宋体"/>
                <w:bCs/>
                <w:sz w:val="22"/>
                <w:szCs w:val="22"/>
              </w:rPr>
            </w:pPr>
            <w:r>
              <w:rPr>
                <w:rFonts w:hint="eastAsia" w:ascii="新宋体" w:hAnsi="新宋体" w:eastAsia="新宋体" w:cs="新宋体"/>
                <w:bCs/>
                <w:sz w:val="22"/>
                <w:szCs w:val="22"/>
              </w:rPr>
              <w:t>提供</w:t>
            </w:r>
            <w:r>
              <w:rPr>
                <w:rFonts w:hint="eastAsia" w:ascii="新宋体" w:hAnsi="新宋体" w:eastAsia="新宋体" w:cs="新宋体"/>
                <w:bCs/>
                <w:kern w:val="0"/>
                <w:sz w:val="22"/>
                <w:szCs w:val="22"/>
              </w:rPr>
              <w:t>医保业务综合服务终端（Ⅲ类）检测报告，</w:t>
            </w:r>
            <w:r>
              <w:rPr>
                <w:rFonts w:hint="eastAsia" w:ascii="新宋体" w:hAnsi="新宋体" w:eastAsia="新宋体" w:cs="新宋体"/>
                <w:bCs/>
                <w:sz w:val="22"/>
                <w:szCs w:val="22"/>
              </w:rPr>
              <w:t>得4分，</w:t>
            </w:r>
            <w:r>
              <w:rPr>
                <w:rFonts w:hint="eastAsia" w:ascii="新宋体" w:hAnsi="新宋体" w:eastAsia="新宋体" w:cs="新宋体"/>
                <w:bCs/>
                <w:kern w:val="0"/>
                <w:sz w:val="22"/>
                <w:szCs w:val="22"/>
              </w:rPr>
              <w:t>（须提供复印件并加盖公章，原件备查）</w:t>
            </w:r>
          </w:p>
        </w:tc>
        <w:tc>
          <w:tcPr>
            <w:tcW w:w="10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s="新宋体"/>
                <w:bCs/>
                <w:sz w:val="22"/>
                <w:szCs w:val="22"/>
              </w:rPr>
            </w:pPr>
            <w:r>
              <w:rPr>
                <w:rFonts w:hint="eastAsia" w:ascii="新宋体" w:hAnsi="新宋体" w:eastAsia="新宋体" w:cs="新宋体"/>
                <w:bCs/>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688" w:type="dxa"/>
            <w:tcBorders>
              <w:left w:val="single" w:color="auto" w:sz="4" w:space="0"/>
              <w:right w:val="single" w:color="auto" w:sz="4" w:space="0"/>
            </w:tcBorders>
            <w:noWrap/>
            <w:vAlign w:val="center"/>
          </w:tcPr>
          <w:p>
            <w:pPr>
              <w:spacing w:line="360" w:lineRule="auto"/>
              <w:jc w:val="center"/>
              <w:rPr>
                <w:rFonts w:ascii="新宋体" w:hAnsi="新宋体" w:eastAsia="新宋体" w:cs="新宋体"/>
                <w:bCs/>
                <w:sz w:val="22"/>
                <w:szCs w:val="22"/>
              </w:rPr>
            </w:pPr>
            <w:r>
              <w:rPr>
                <w:rFonts w:hint="eastAsia" w:ascii="新宋体" w:hAnsi="新宋体" w:eastAsia="新宋体" w:cs="新宋体"/>
                <w:bCs/>
                <w:sz w:val="22"/>
                <w:szCs w:val="22"/>
              </w:rPr>
              <w:t>2</w:t>
            </w:r>
          </w:p>
        </w:tc>
        <w:tc>
          <w:tcPr>
            <w:tcW w:w="1328" w:type="dxa"/>
            <w:tcBorders>
              <w:left w:val="single" w:color="auto" w:sz="4" w:space="0"/>
              <w:right w:val="single" w:color="auto" w:sz="4" w:space="0"/>
            </w:tcBorders>
            <w:noWrap/>
            <w:vAlign w:val="center"/>
          </w:tcPr>
          <w:p>
            <w:pPr>
              <w:spacing w:line="360" w:lineRule="auto"/>
              <w:jc w:val="center"/>
              <w:rPr>
                <w:rFonts w:ascii="新宋体" w:hAnsi="新宋体" w:eastAsia="新宋体" w:cs="新宋体"/>
                <w:bCs/>
                <w:sz w:val="22"/>
                <w:szCs w:val="22"/>
              </w:rPr>
            </w:pPr>
            <w:r>
              <w:rPr>
                <w:rFonts w:hint="eastAsia" w:ascii="新宋体" w:hAnsi="新宋体" w:eastAsia="新宋体" w:cs="新宋体"/>
                <w:bCs/>
                <w:kern w:val="0"/>
                <w:sz w:val="22"/>
                <w:szCs w:val="22"/>
              </w:rPr>
              <w:t>技术性能指标要求</w:t>
            </w:r>
          </w:p>
        </w:tc>
        <w:tc>
          <w:tcPr>
            <w:tcW w:w="651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新宋体" w:hAnsi="新宋体" w:eastAsia="新宋体" w:cs="新宋体"/>
                <w:bCs/>
                <w:sz w:val="22"/>
                <w:szCs w:val="22"/>
              </w:rPr>
            </w:pPr>
            <w:r>
              <w:rPr>
                <w:rFonts w:hint="eastAsia" w:ascii="新宋体" w:hAnsi="新宋体" w:eastAsia="新宋体" w:cs="新宋体"/>
                <w:bCs/>
                <w:kern w:val="0"/>
                <w:sz w:val="22"/>
                <w:szCs w:val="22"/>
              </w:rPr>
              <w:t>对招标文件技术规格要求的响应程度：技术指标全部满足招标要求的为15分，含“★”项如出现负偏离，每有一项偏离的扣3分,其它项每出现一个负偏离，扣2分，扣完为止。具体偏离情况在技术偏离表中列明。</w:t>
            </w:r>
          </w:p>
        </w:tc>
        <w:tc>
          <w:tcPr>
            <w:tcW w:w="10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s="新宋体"/>
                <w:bCs/>
                <w:sz w:val="22"/>
                <w:szCs w:val="22"/>
              </w:rPr>
            </w:pPr>
            <w:r>
              <w:rPr>
                <w:rFonts w:hint="eastAsia" w:ascii="新宋体" w:hAnsi="新宋体" w:eastAsia="新宋体" w:cs="新宋体"/>
                <w:bCs/>
                <w:sz w:val="22"/>
                <w:szCs w:val="22"/>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688" w:type="dxa"/>
            <w:tcBorders>
              <w:left w:val="single" w:color="auto" w:sz="4" w:space="0"/>
              <w:bottom w:val="single" w:color="auto" w:sz="4" w:space="0"/>
              <w:right w:val="single" w:color="auto" w:sz="4" w:space="0"/>
            </w:tcBorders>
            <w:noWrap/>
            <w:vAlign w:val="center"/>
          </w:tcPr>
          <w:p>
            <w:pPr>
              <w:tabs>
                <w:tab w:val="left" w:pos="420"/>
              </w:tabs>
              <w:spacing w:line="360" w:lineRule="auto"/>
              <w:jc w:val="center"/>
              <w:rPr>
                <w:rFonts w:ascii="新宋体" w:hAnsi="新宋体" w:eastAsia="新宋体" w:cs="新宋体"/>
                <w:bCs/>
                <w:sz w:val="22"/>
                <w:szCs w:val="22"/>
              </w:rPr>
            </w:pPr>
            <w:r>
              <w:rPr>
                <w:rFonts w:hint="eastAsia" w:ascii="新宋体" w:hAnsi="新宋体" w:eastAsia="新宋体" w:cs="新宋体"/>
                <w:bCs/>
                <w:sz w:val="22"/>
                <w:szCs w:val="22"/>
              </w:rPr>
              <w:t>3</w:t>
            </w:r>
          </w:p>
        </w:tc>
        <w:tc>
          <w:tcPr>
            <w:tcW w:w="1328" w:type="dxa"/>
            <w:tcBorders>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s="新宋体"/>
                <w:bCs/>
                <w:sz w:val="22"/>
                <w:szCs w:val="22"/>
                <w:lang w:val="zh-CN"/>
              </w:rPr>
            </w:pPr>
            <w:r>
              <w:rPr>
                <w:rFonts w:hint="eastAsia" w:ascii="新宋体" w:hAnsi="新宋体" w:eastAsia="新宋体" w:cs="新宋体"/>
                <w:bCs/>
                <w:kern w:val="0"/>
                <w:sz w:val="22"/>
                <w:szCs w:val="22"/>
              </w:rPr>
              <w:t>技术方案</w:t>
            </w:r>
          </w:p>
        </w:tc>
        <w:tc>
          <w:tcPr>
            <w:tcW w:w="651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新宋体" w:hAnsi="新宋体" w:eastAsia="新宋体" w:cs="新宋体"/>
                <w:bCs/>
                <w:kern w:val="0"/>
                <w:sz w:val="22"/>
                <w:szCs w:val="22"/>
              </w:rPr>
            </w:pPr>
            <w:r>
              <w:rPr>
                <w:rFonts w:hint="eastAsia" w:ascii="新宋体" w:hAnsi="新宋体" w:eastAsia="新宋体" w:cs="新宋体"/>
                <w:bCs/>
                <w:kern w:val="0"/>
                <w:sz w:val="22"/>
                <w:szCs w:val="22"/>
              </w:rPr>
              <w:t>根据投标人技术方案的合理性、完整性、准确性，方案内容对实际需求的符合性等进行综合考虑比较打分。</w:t>
            </w:r>
          </w:p>
        </w:tc>
        <w:tc>
          <w:tcPr>
            <w:tcW w:w="10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s="新宋体"/>
                <w:bCs/>
                <w:sz w:val="22"/>
                <w:szCs w:val="22"/>
              </w:rPr>
            </w:pPr>
            <w:r>
              <w:rPr>
                <w:rFonts w:hint="eastAsia" w:ascii="新宋体" w:hAnsi="新宋体" w:eastAsia="新宋体" w:cs="新宋体"/>
                <w:bCs/>
                <w:sz w:val="22"/>
                <w:szCs w:val="22"/>
                <w:lang w:val="en-US" w:eastAsia="zh-CN"/>
              </w:rPr>
              <w:t>10</w:t>
            </w:r>
            <w:r>
              <w:rPr>
                <w:rFonts w:hint="eastAsia" w:ascii="新宋体" w:hAnsi="新宋体" w:eastAsia="新宋体" w:cs="新宋体"/>
                <w:bCs/>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688" w:type="dxa"/>
            <w:tcBorders>
              <w:left w:val="single" w:color="auto" w:sz="4" w:space="0"/>
              <w:bottom w:val="single" w:color="auto" w:sz="4" w:space="0"/>
              <w:right w:val="single" w:color="auto" w:sz="4" w:space="0"/>
            </w:tcBorders>
            <w:noWrap/>
            <w:vAlign w:val="center"/>
          </w:tcPr>
          <w:p>
            <w:pPr>
              <w:tabs>
                <w:tab w:val="left" w:pos="420"/>
              </w:tabs>
              <w:spacing w:line="360" w:lineRule="auto"/>
              <w:jc w:val="center"/>
              <w:rPr>
                <w:rFonts w:ascii="新宋体" w:hAnsi="新宋体" w:eastAsia="新宋体" w:cs="新宋体"/>
                <w:bCs/>
                <w:sz w:val="22"/>
                <w:szCs w:val="22"/>
              </w:rPr>
            </w:pPr>
            <w:r>
              <w:rPr>
                <w:rFonts w:hint="eastAsia" w:ascii="新宋体" w:hAnsi="新宋体" w:eastAsia="新宋体" w:cs="新宋体"/>
                <w:bCs/>
                <w:sz w:val="22"/>
                <w:szCs w:val="22"/>
              </w:rPr>
              <w:t>4</w:t>
            </w:r>
          </w:p>
        </w:tc>
        <w:tc>
          <w:tcPr>
            <w:tcW w:w="1328" w:type="dxa"/>
            <w:tcBorders>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s="新宋体"/>
                <w:bCs/>
                <w:sz w:val="22"/>
                <w:szCs w:val="22"/>
              </w:rPr>
            </w:pPr>
            <w:r>
              <w:rPr>
                <w:rFonts w:hint="eastAsia" w:ascii="新宋体" w:hAnsi="新宋体" w:eastAsia="新宋体" w:cs="新宋体"/>
                <w:bCs/>
                <w:kern w:val="0"/>
                <w:sz w:val="22"/>
                <w:szCs w:val="22"/>
              </w:rPr>
              <w:t>实施方案</w:t>
            </w:r>
          </w:p>
        </w:tc>
        <w:tc>
          <w:tcPr>
            <w:tcW w:w="651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新宋体" w:hAnsi="新宋体" w:eastAsia="新宋体" w:cs="新宋体"/>
                <w:bCs/>
                <w:kern w:val="0"/>
                <w:sz w:val="22"/>
                <w:szCs w:val="22"/>
                <w:lang w:val="zh-CN"/>
              </w:rPr>
            </w:pPr>
            <w:r>
              <w:rPr>
                <w:rFonts w:hint="eastAsia" w:ascii="新宋体" w:hAnsi="新宋体" w:eastAsia="新宋体" w:cs="新宋体"/>
                <w:bCs/>
                <w:kern w:val="0"/>
                <w:sz w:val="22"/>
                <w:szCs w:val="22"/>
              </w:rPr>
              <w:t>根据实施方案的完整性、合理性和科学性，评委根据实施计划、工期管理等进行综合比较打分。</w:t>
            </w:r>
          </w:p>
        </w:tc>
        <w:tc>
          <w:tcPr>
            <w:tcW w:w="10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s="新宋体"/>
                <w:bCs/>
                <w:sz w:val="22"/>
                <w:szCs w:val="22"/>
              </w:rPr>
            </w:pPr>
            <w:r>
              <w:rPr>
                <w:rFonts w:hint="eastAsia" w:ascii="新宋体" w:hAnsi="新宋体" w:eastAsia="新宋体" w:cs="新宋体"/>
                <w:bCs/>
                <w:sz w:val="22"/>
                <w:szCs w:val="22"/>
                <w:lang w:val="en-US" w:eastAsia="zh-CN"/>
              </w:rPr>
              <w:t>8</w:t>
            </w:r>
            <w:r>
              <w:rPr>
                <w:rFonts w:hint="eastAsia" w:ascii="新宋体" w:hAnsi="新宋体" w:eastAsia="新宋体" w:cs="新宋体"/>
                <w:bCs/>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688" w:type="dxa"/>
            <w:tcBorders>
              <w:top w:val="single" w:color="auto" w:sz="4" w:space="0"/>
              <w:left w:val="single" w:color="auto" w:sz="4" w:space="0"/>
              <w:right w:val="single" w:color="auto" w:sz="4" w:space="0"/>
            </w:tcBorders>
            <w:noWrap/>
            <w:vAlign w:val="center"/>
          </w:tcPr>
          <w:p>
            <w:pPr>
              <w:spacing w:line="360" w:lineRule="auto"/>
              <w:jc w:val="center"/>
              <w:rPr>
                <w:rFonts w:ascii="新宋体" w:hAnsi="新宋体" w:eastAsia="新宋体" w:cs="新宋体"/>
                <w:bCs/>
                <w:sz w:val="22"/>
                <w:szCs w:val="22"/>
              </w:rPr>
            </w:pPr>
            <w:r>
              <w:rPr>
                <w:rFonts w:hint="eastAsia" w:ascii="新宋体" w:hAnsi="新宋体" w:eastAsia="新宋体" w:cs="新宋体"/>
                <w:bCs/>
                <w:sz w:val="22"/>
                <w:szCs w:val="22"/>
              </w:rPr>
              <w:t>5</w:t>
            </w:r>
          </w:p>
        </w:tc>
        <w:tc>
          <w:tcPr>
            <w:tcW w:w="1328" w:type="dxa"/>
            <w:tcBorders>
              <w:top w:val="single" w:color="auto" w:sz="4" w:space="0"/>
              <w:left w:val="single" w:color="auto" w:sz="4" w:space="0"/>
              <w:right w:val="single" w:color="auto" w:sz="4" w:space="0"/>
            </w:tcBorders>
            <w:noWrap/>
            <w:vAlign w:val="center"/>
          </w:tcPr>
          <w:p>
            <w:pPr>
              <w:spacing w:line="360" w:lineRule="auto"/>
              <w:jc w:val="center"/>
              <w:rPr>
                <w:rFonts w:ascii="新宋体" w:hAnsi="新宋体" w:eastAsia="新宋体" w:cs="新宋体"/>
                <w:bCs/>
                <w:sz w:val="22"/>
                <w:szCs w:val="22"/>
              </w:rPr>
            </w:pPr>
            <w:r>
              <w:rPr>
                <w:rFonts w:hint="eastAsia" w:ascii="新宋体" w:hAnsi="新宋体" w:eastAsia="新宋体" w:cs="新宋体"/>
                <w:bCs/>
                <w:kern w:val="0"/>
                <w:sz w:val="22"/>
                <w:szCs w:val="22"/>
              </w:rPr>
              <w:t>技术力量</w:t>
            </w:r>
          </w:p>
        </w:tc>
        <w:tc>
          <w:tcPr>
            <w:tcW w:w="651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新宋体" w:hAnsi="新宋体" w:eastAsia="新宋体" w:cs="新宋体"/>
                <w:bCs/>
                <w:sz w:val="22"/>
                <w:szCs w:val="22"/>
              </w:rPr>
            </w:pPr>
            <w:r>
              <w:rPr>
                <w:rFonts w:hint="eastAsia" w:ascii="新宋体" w:hAnsi="新宋体" w:eastAsia="新宋体" w:cs="新宋体"/>
                <w:bCs/>
                <w:kern w:val="0"/>
                <w:sz w:val="22"/>
                <w:szCs w:val="22"/>
              </w:rPr>
              <w:t>投标人拟担任本项目经理、技术负责人和项目组实施人员、维护人员的专业素质、技术能力、经验等情况，数量是否充足，配置是否合理等，是否具有同类项目建设经验等情况进行综合比较打分（</w:t>
            </w:r>
            <w:r>
              <w:rPr>
                <w:rFonts w:hint="eastAsia" w:ascii="新宋体" w:hAnsi="新宋体" w:eastAsia="新宋体" w:cs="新宋体"/>
                <w:bCs/>
                <w:kern w:val="0"/>
                <w:sz w:val="22"/>
                <w:szCs w:val="22"/>
                <w:lang w:val="en-US" w:eastAsia="zh-CN"/>
              </w:rPr>
              <w:t>6</w:t>
            </w:r>
            <w:r>
              <w:rPr>
                <w:rFonts w:hint="eastAsia" w:ascii="新宋体" w:hAnsi="新宋体" w:eastAsia="新宋体" w:cs="新宋体"/>
                <w:bCs/>
                <w:kern w:val="0"/>
                <w:sz w:val="22"/>
                <w:szCs w:val="22"/>
              </w:rPr>
              <w:t>-0分）。</w:t>
            </w:r>
          </w:p>
        </w:tc>
        <w:tc>
          <w:tcPr>
            <w:tcW w:w="10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s="新宋体"/>
                <w:bCs/>
                <w:sz w:val="22"/>
                <w:szCs w:val="22"/>
              </w:rPr>
            </w:pPr>
            <w:r>
              <w:rPr>
                <w:rFonts w:hint="eastAsia" w:ascii="新宋体" w:hAnsi="新宋体" w:eastAsia="新宋体" w:cs="新宋体"/>
                <w:bCs/>
                <w:sz w:val="22"/>
                <w:szCs w:val="22"/>
                <w:lang w:val="en-US" w:eastAsia="zh-CN"/>
              </w:rPr>
              <w:t>6</w:t>
            </w:r>
            <w:r>
              <w:rPr>
                <w:rFonts w:hint="eastAsia" w:ascii="新宋体" w:hAnsi="新宋体" w:eastAsia="新宋体" w:cs="新宋体"/>
                <w:bCs/>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688" w:type="dxa"/>
            <w:vMerge w:val="restart"/>
            <w:tcBorders>
              <w:top w:val="single" w:color="auto" w:sz="4" w:space="0"/>
              <w:left w:val="single" w:color="auto" w:sz="4" w:space="0"/>
              <w:right w:val="single" w:color="auto" w:sz="4" w:space="0"/>
            </w:tcBorders>
            <w:noWrap/>
            <w:vAlign w:val="center"/>
          </w:tcPr>
          <w:p>
            <w:pPr>
              <w:spacing w:line="360" w:lineRule="auto"/>
              <w:jc w:val="center"/>
              <w:rPr>
                <w:rFonts w:ascii="新宋体" w:hAnsi="新宋体" w:eastAsia="新宋体" w:cs="新宋体"/>
                <w:bCs/>
                <w:sz w:val="22"/>
                <w:szCs w:val="22"/>
              </w:rPr>
            </w:pPr>
            <w:r>
              <w:rPr>
                <w:rFonts w:hint="eastAsia" w:ascii="新宋体" w:hAnsi="新宋体" w:eastAsia="新宋体" w:cs="新宋体"/>
                <w:bCs/>
                <w:sz w:val="22"/>
                <w:szCs w:val="22"/>
              </w:rPr>
              <w:t>6</w:t>
            </w:r>
          </w:p>
        </w:tc>
        <w:tc>
          <w:tcPr>
            <w:tcW w:w="1328" w:type="dxa"/>
            <w:vMerge w:val="restart"/>
            <w:tcBorders>
              <w:top w:val="single" w:color="auto" w:sz="4" w:space="0"/>
              <w:left w:val="single" w:color="auto" w:sz="4" w:space="0"/>
              <w:right w:val="single" w:color="auto" w:sz="4" w:space="0"/>
            </w:tcBorders>
            <w:noWrap/>
            <w:vAlign w:val="center"/>
          </w:tcPr>
          <w:p>
            <w:pPr>
              <w:spacing w:line="360" w:lineRule="auto"/>
              <w:jc w:val="center"/>
              <w:rPr>
                <w:rFonts w:ascii="新宋体" w:hAnsi="新宋体" w:eastAsia="新宋体" w:cs="新宋体"/>
                <w:bCs/>
                <w:sz w:val="22"/>
                <w:szCs w:val="22"/>
              </w:rPr>
            </w:pPr>
            <w:r>
              <w:rPr>
                <w:rFonts w:hint="eastAsia" w:ascii="新宋体" w:hAnsi="新宋体" w:eastAsia="新宋体" w:cs="新宋体"/>
                <w:bCs/>
                <w:kern w:val="0"/>
                <w:sz w:val="22"/>
                <w:szCs w:val="22"/>
              </w:rPr>
              <w:t>售后服务及培训计划</w:t>
            </w:r>
          </w:p>
        </w:tc>
        <w:tc>
          <w:tcPr>
            <w:tcW w:w="651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textAlignment w:val="center"/>
              <w:rPr>
                <w:rFonts w:ascii="新宋体" w:hAnsi="新宋体" w:eastAsia="新宋体" w:cs="新宋体"/>
                <w:bCs/>
                <w:sz w:val="22"/>
                <w:szCs w:val="22"/>
              </w:rPr>
            </w:pPr>
            <w:r>
              <w:rPr>
                <w:rFonts w:hint="eastAsia" w:ascii="新宋体" w:hAnsi="新宋体" w:eastAsia="新宋体" w:cs="新宋体"/>
                <w:bCs/>
                <w:kern w:val="0"/>
                <w:sz w:val="22"/>
                <w:szCs w:val="22"/>
              </w:rPr>
              <w:t>培训计划：需针对本项目制定优化合理的培训方案，提供培训计划。培训方案合理且具有优化可行的培训计划（2-0分）</w:t>
            </w:r>
          </w:p>
        </w:tc>
        <w:tc>
          <w:tcPr>
            <w:tcW w:w="10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s="新宋体"/>
                <w:bCs/>
                <w:sz w:val="22"/>
                <w:szCs w:val="22"/>
              </w:rPr>
            </w:pPr>
            <w:r>
              <w:rPr>
                <w:rFonts w:hint="eastAsia" w:ascii="新宋体" w:hAnsi="新宋体" w:eastAsia="新宋体" w:cs="新宋体"/>
                <w:bCs/>
                <w:kern w:val="0"/>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688" w:type="dxa"/>
            <w:vMerge w:val="continue"/>
            <w:tcBorders>
              <w:left w:val="single" w:color="auto" w:sz="4" w:space="0"/>
              <w:right w:val="single" w:color="auto" w:sz="4" w:space="0"/>
            </w:tcBorders>
            <w:noWrap/>
            <w:vAlign w:val="center"/>
          </w:tcPr>
          <w:p>
            <w:pPr>
              <w:spacing w:line="360" w:lineRule="auto"/>
              <w:jc w:val="center"/>
              <w:rPr>
                <w:rFonts w:ascii="新宋体" w:hAnsi="新宋体" w:eastAsia="新宋体" w:cs="新宋体"/>
                <w:bCs/>
                <w:sz w:val="22"/>
                <w:szCs w:val="22"/>
              </w:rPr>
            </w:pPr>
          </w:p>
        </w:tc>
        <w:tc>
          <w:tcPr>
            <w:tcW w:w="1328" w:type="dxa"/>
            <w:vMerge w:val="continue"/>
            <w:tcBorders>
              <w:left w:val="single" w:color="auto" w:sz="4" w:space="0"/>
              <w:right w:val="single" w:color="auto" w:sz="4" w:space="0"/>
            </w:tcBorders>
            <w:noWrap/>
            <w:vAlign w:val="center"/>
          </w:tcPr>
          <w:p>
            <w:pPr>
              <w:spacing w:line="360" w:lineRule="auto"/>
              <w:jc w:val="center"/>
              <w:rPr>
                <w:rFonts w:ascii="新宋体" w:hAnsi="新宋体" w:eastAsia="新宋体" w:cs="新宋体"/>
                <w:bCs/>
                <w:kern w:val="0"/>
                <w:sz w:val="22"/>
                <w:szCs w:val="22"/>
              </w:rPr>
            </w:pPr>
          </w:p>
        </w:tc>
        <w:tc>
          <w:tcPr>
            <w:tcW w:w="651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textAlignment w:val="center"/>
              <w:rPr>
                <w:rFonts w:ascii="新宋体" w:hAnsi="新宋体" w:eastAsia="新宋体" w:cs="新宋体"/>
                <w:bCs/>
                <w:sz w:val="22"/>
                <w:szCs w:val="22"/>
              </w:rPr>
            </w:pPr>
            <w:r>
              <w:rPr>
                <w:rFonts w:hint="eastAsia" w:ascii="新宋体" w:hAnsi="新宋体" w:eastAsia="新宋体" w:cs="新宋体"/>
                <w:bCs/>
                <w:kern w:val="0"/>
                <w:sz w:val="22"/>
                <w:szCs w:val="22"/>
              </w:rPr>
              <w:t>售后计划：需针对本项目制定详尽的售后服务计划、措施及相关承诺，根据是否具有实质性优惠条款（3-0分）</w:t>
            </w:r>
          </w:p>
        </w:tc>
        <w:tc>
          <w:tcPr>
            <w:tcW w:w="10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s="新宋体"/>
                <w:bCs/>
                <w:sz w:val="22"/>
                <w:szCs w:val="22"/>
              </w:rPr>
            </w:pPr>
            <w:r>
              <w:rPr>
                <w:rFonts w:hint="eastAsia" w:ascii="新宋体" w:hAnsi="新宋体" w:eastAsia="新宋体" w:cs="新宋体"/>
                <w:bCs/>
                <w:kern w:val="0"/>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88" w:type="dxa"/>
            <w:vMerge w:val="continue"/>
            <w:tcBorders>
              <w:left w:val="single" w:color="auto" w:sz="4" w:space="0"/>
              <w:right w:val="single" w:color="auto" w:sz="4" w:space="0"/>
            </w:tcBorders>
            <w:noWrap/>
            <w:vAlign w:val="center"/>
          </w:tcPr>
          <w:p>
            <w:pPr>
              <w:spacing w:line="360" w:lineRule="auto"/>
              <w:jc w:val="center"/>
              <w:rPr>
                <w:rFonts w:ascii="新宋体" w:hAnsi="新宋体" w:eastAsia="新宋体" w:cs="新宋体"/>
                <w:bCs/>
                <w:sz w:val="22"/>
                <w:szCs w:val="22"/>
              </w:rPr>
            </w:pPr>
          </w:p>
        </w:tc>
        <w:tc>
          <w:tcPr>
            <w:tcW w:w="1328" w:type="dxa"/>
            <w:vMerge w:val="continue"/>
            <w:tcBorders>
              <w:left w:val="single" w:color="auto" w:sz="4" w:space="0"/>
              <w:right w:val="single" w:color="auto" w:sz="4" w:space="0"/>
            </w:tcBorders>
            <w:noWrap/>
            <w:vAlign w:val="center"/>
          </w:tcPr>
          <w:p>
            <w:pPr>
              <w:spacing w:line="360" w:lineRule="auto"/>
              <w:jc w:val="center"/>
              <w:rPr>
                <w:rFonts w:ascii="新宋体" w:hAnsi="新宋体" w:eastAsia="新宋体" w:cs="新宋体"/>
                <w:bCs/>
                <w:kern w:val="0"/>
                <w:sz w:val="22"/>
                <w:szCs w:val="22"/>
              </w:rPr>
            </w:pPr>
          </w:p>
        </w:tc>
        <w:tc>
          <w:tcPr>
            <w:tcW w:w="651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textAlignment w:val="center"/>
              <w:rPr>
                <w:rFonts w:ascii="新宋体" w:hAnsi="新宋体" w:eastAsia="新宋体" w:cs="新宋体"/>
                <w:bCs/>
                <w:sz w:val="22"/>
                <w:szCs w:val="22"/>
              </w:rPr>
            </w:pPr>
            <w:r>
              <w:rPr>
                <w:rFonts w:hint="eastAsia" w:ascii="宋体" w:hAnsi="宋体" w:cs="宋体"/>
                <w:kern w:val="0"/>
                <w:szCs w:val="21"/>
              </w:rPr>
              <w:t>是否有本地分支机构或者技术服务中心（</w:t>
            </w:r>
            <w:r>
              <w:rPr>
                <w:rFonts w:hint="eastAsia" w:ascii="宋体" w:hAnsi="宋体"/>
                <w:szCs w:val="21"/>
              </w:rPr>
              <w:t>温州本地得5分，浙江省得2分，省外得1分。</w:t>
            </w:r>
            <w:r>
              <w:rPr>
                <w:rFonts w:hint="eastAsia" w:ascii="宋体" w:hAnsi="宋体" w:cs="宋体"/>
                <w:kern w:val="0"/>
                <w:szCs w:val="21"/>
              </w:rPr>
              <w:t>（</w:t>
            </w:r>
            <w:r>
              <w:rPr>
                <w:rFonts w:hint="eastAsia" w:ascii="宋体" w:hAnsi="宋体"/>
                <w:szCs w:val="21"/>
              </w:rPr>
              <w:t>提供营业执照或租房合同等证明文件并加盖投标人公章</w:t>
            </w:r>
            <w:r>
              <w:rPr>
                <w:rFonts w:hint="eastAsia" w:ascii="宋体" w:hAnsi="宋体" w:cs="宋体"/>
                <w:kern w:val="0"/>
                <w:szCs w:val="21"/>
              </w:rPr>
              <w:t>）</w:t>
            </w:r>
          </w:p>
        </w:tc>
        <w:tc>
          <w:tcPr>
            <w:tcW w:w="10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s="新宋体"/>
                <w:bCs/>
                <w:sz w:val="22"/>
                <w:szCs w:val="22"/>
              </w:rPr>
            </w:pPr>
            <w:r>
              <w:rPr>
                <w:rFonts w:hint="eastAsia" w:ascii="新宋体" w:hAnsi="新宋体" w:eastAsia="新宋体" w:cs="新宋体"/>
                <w:bCs/>
                <w:kern w:val="0"/>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68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s="新宋体"/>
                <w:bCs/>
                <w:sz w:val="22"/>
                <w:szCs w:val="22"/>
              </w:rPr>
            </w:pPr>
            <w:r>
              <w:rPr>
                <w:rFonts w:hint="eastAsia" w:ascii="新宋体" w:hAnsi="新宋体" w:eastAsia="新宋体" w:cs="新宋体"/>
                <w:bCs/>
                <w:sz w:val="22"/>
                <w:szCs w:val="22"/>
              </w:rPr>
              <w:t>7</w:t>
            </w:r>
          </w:p>
        </w:tc>
        <w:tc>
          <w:tcPr>
            <w:tcW w:w="132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s="新宋体"/>
                <w:bCs/>
                <w:sz w:val="22"/>
                <w:szCs w:val="22"/>
              </w:rPr>
            </w:pPr>
            <w:r>
              <w:rPr>
                <w:rFonts w:hint="eastAsia" w:ascii="新宋体" w:hAnsi="新宋体" w:eastAsia="新宋体" w:cs="新宋体"/>
                <w:bCs/>
                <w:kern w:val="0"/>
                <w:sz w:val="22"/>
                <w:szCs w:val="22"/>
              </w:rPr>
              <w:t>业绩</w:t>
            </w:r>
          </w:p>
        </w:tc>
        <w:tc>
          <w:tcPr>
            <w:tcW w:w="651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新宋体" w:hAnsi="新宋体" w:eastAsia="新宋体" w:cs="新宋体"/>
                <w:bCs/>
                <w:kern w:val="0"/>
                <w:sz w:val="22"/>
                <w:szCs w:val="22"/>
              </w:rPr>
            </w:pPr>
            <w:r>
              <w:rPr>
                <w:rFonts w:hint="eastAsia" w:ascii="新宋体" w:hAnsi="新宋体" w:eastAsia="新宋体" w:cs="新宋体"/>
                <w:bCs/>
                <w:kern w:val="0"/>
                <w:sz w:val="22"/>
                <w:szCs w:val="22"/>
              </w:rPr>
              <w:t>投标人自202</w:t>
            </w:r>
            <w:r>
              <w:rPr>
                <w:rFonts w:hint="eastAsia" w:ascii="新宋体" w:hAnsi="新宋体" w:eastAsia="新宋体" w:cs="新宋体"/>
                <w:bCs/>
                <w:kern w:val="0"/>
                <w:sz w:val="22"/>
                <w:szCs w:val="22"/>
                <w:lang w:val="en-US" w:eastAsia="zh-CN"/>
              </w:rPr>
              <w:t>1</w:t>
            </w:r>
            <w:r>
              <w:rPr>
                <w:rFonts w:hint="eastAsia" w:ascii="新宋体" w:hAnsi="新宋体" w:eastAsia="新宋体" w:cs="新宋体"/>
                <w:bCs/>
                <w:kern w:val="0"/>
                <w:sz w:val="22"/>
                <w:szCs w:val="22"/>
              </w:rPr>
              <w:t>年1月1日至今，有类似项目成功案例，每提供1个得1分，最高得3分。</w:t>
            </w:r>
          </w:p>
          <w:p>
            <w:pPr>
              <w:spacing w:line="360" w:lineRule="auto"/>
              <w:rPr>
                <w:rFonts w:hint="eastAsia" w:ascii="新宋体" w:hAnsi="新宋体" w:eastAsia="新宋体" w:cs="新宋体"/>
                <w:bCs/>
                <w:sz w:val="22"/>
                <w:szCs w:val="22"/>
                <w:lang w:eastAsia="zh-CN"/>
              </w:rPr>
            </w:pPr>
            <w:r>
              <w:rPr>
                <w:rFonts w:hint="eastAsia" w:ascii="新宋体" w:hAnsi="新宋体" w:eastAsia="新宋体" w:cs="新宋体"/>
                <w:bCs/>
                <w:kern w:val="0"/>
                <w:sz w:val="22"/>
                <w:szCs w:val="22"/>
              </w:rPr>
              <w:t>提供合同复印件并加盖</w:t>
            </w:r>
            <w:r>
              <w:rPr>
                <w:rFonts w:hint="eastAsia" w:ascii="新宋体" w:hAnsi="新宋体" w:eastAsia="新宋体" w:cs="新宋体"/>
                <w:bCs/>
                <w:kern w:val="0"/>
                <w:sz w:val="22"/>
                <w:szCs w:val="22"/>
                <w:lang w:val="en-US" w:eastAsia="zh-CN"/>
              </w:rPr>
              <w:t>投标人</w:t>
            </w:r>
            <w:r>
              <w:rPr>
                <w:rFonts w:hint="eastAsia" w:ascii="新宋体" w:hAnsi="新宋体" w:eastAsia="新宋体" w:cs="新宋体"/>
                <w:bCs/>
                <w:kern w:val="0"/>
                <w:sz w:val="22"/>
                <w:szCs w:val="22"/>
              </w:rPr>
              <w:t>公章</w:t>
            </w:r>
            <w:r>
              <w:rPr>
                <w:rFonts w:hint="eastAsia" w:ascii="新宋体" w:hAnsi="新宋体" w:eastAsia="新宋体" w:cs="新宋体"/>
                <w:bCs/>
                <w:kern w:val="0"/>
                <w:sz w:val="22"/>
                <w:szCs w:val="22"/>
                <w:lang w:eastAsia="zh-CN"/>
              </w:rPr>
              <w:t>（</w:t>
            </w:r>
            <w:r>
              <w:rPr>
                <w:rFonts w:hint="eastAsia" w:ascii="新宋体" w:hAnsi="新宋体" w:eastAsia="新宋体" w:cs="新宋体"/>
                <w:bCs/>
                <w:kern w:val="0"/>
                <w:sz w:val="22"/>
                <w:szCs w:val="22"/>
                <w:lang w:val="en-US" w:eastAsia="zh-CN"/>
              </w:rPr>
              <w:t>与同一采购人签订的多份合同视为1个业绩</w:t>
            </w:r>
            <w:r>
              <w:rPr>
                <w:rFonts w:hint="eastAsia" w:ascii="新宋体" w:hAnsi="新宋体" w:eastAsia="新宋体" w:cs="新宋体"/>
                <w:bCs/>
                <w:kern w:val="0"/>
                <w:sz w:val="22"/>
                <w:szCs w:val="22"/>
                <w:lang w:eastAsia="zh-CN"/>
              </w:rPr>
              <w:t>）</w:t>
            </w:r>
          </w:p>
        </w:tc>
        <w:tc>
          <w:tcPr>
            <w:tcW w:w="10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s="新宋体"/>
                <w:bCs/>
                <w:sz w:val="22"/>
                <w:szCs w:val="22"/>
              </w:rPr>
            </w:pPr>
            <w:r>
              <w:rPr>
                <w:rFonts w:hint="eastAsia" w:ascii="新宋体" w:hAnsi="新宋体" w:eastAsia="新宋体" w:cs="新宋体"/>
                <w:bCs/>
                <w:sz w:val="22"/>
                <w:szCs w:val="22"/>
              </w:rPr>
              <w:t>3分</w:t>
            </w:r>
          </w:p>
        </w:tc>
      </w:tr>
    </w:tbl>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pStyle w:val="4"/>
        <w:rPr>
          <w:rFonts w:hint="eastAsia" w:ascii="宋体" w:hAnsi="宋体" w:eastAsia="宋体" w:cs="宋体"/>
          <w:b/>
          <w:bCs/>
          <w:sz w:val="22"/>
          <w:szCs w:val="22"/>
        </w:rPr>
      </w:pPr>
    </w:p>
    <w:p>
      <w:pPr>
        <w:rPr>
          <w:rFonts w:hint="eastAsia" w:ascii="宋体" w:hAnsi="宋体" w:eastAsia="宋体" w:cs="宋体"/>
          <w:b/>
          <w:bCs/>
          <w:sz w:val="22"/>
          <w:szCs w:val="22"/>
        </w:rPr>
      </w:pPr>
    </w:p>
    <w:p>
      <w:pPr>
        <w:pStyle w:val="4"/>
        <w:rPr>
          <w:rFonts w:hint="eastAsia" w:ascii="宋体" w:hAnsi="宋体" w:eastAsia="宋体" w:cs="宋体"/>
          <w:b/>
          <w:bCs/>
          <w:sz w:val="22"/>
          <w:szCs w:val="22"/>
        </w:rPr>
      </w:pPr>
    </w:p>
    <w:p>
      <w:pPr>
        <w:rPr>
          <w:rFonts w:hint="eastAsia" w:ascii="宋体" w:hAnsi="宋体" w:eastAsia="宋体" w:cs="宋体"/>
          <w:b/>
          <w:bCs/>
          <w:sz w:val="22"/>
          <w:szCs w:val="22"/>
        </w:rPr>
      </w:pPr>
    </w:p>
    <w:p>
      <w:pPr>
        <w:pStyle w:val="4"/>
        <w:rPr>
          <w:rFonts w:hint="eastAsia" w:ascii="宋体" w:hAnsi="宋体" w:eastAsia="宋体" w:cs="宋体"/>
          <w:b/>
          <w:bCs/>
          <w:sz w:val="22"/>
          <w:szCs w:val="22"/>
        </w:rPr>
      </w:pPr>
    </w:p>
    <w:p>
      <w:pPr>
        <w:rPr>
          <w:rFonts w:hint="eastAsia" w:ascii="宋体" w:hAnsi="宋体" w:eastAsia="宋体" w:cs="宋体"/>
          <w:b/>
          <w:bCs/>
          <w:sz w:val="22"/>
          <w:szCs w:val="22"/>
        </w:rPr>
      </w:pPr>
    </w:p>
    <w:p>
      <w:pPr>
        <w:pStyle w:val="4"/>
        <w:rPr>
          <w:rFonts w:hint="eastAsia" w:ascii="宋体" w:hAnsi="宋体" w:eastAsia="宋体" w:cs="宋体"/>
          <w:b/>
          <w:bCs/>
          <w:sz w:val="22"/>
          <w:szCs w:val="22"/>
        </w:rPr>
      </w:pPr>
    </w:p>
    <w:p>
      <w:pPr>
        <w:rPr>
          <w:rFonts w:hint="eastAsia" w:ascii="宋体" w:hAnsi="宋体" w:eastAsia="宋体" w:cs="宋体"/>
          <w:b/>
          <w:bCs/>
          <w:sz w:val="22"/>
          <w:szCs w:val="22"/>
        </w:rPr>
      </w:pPr>
    </w:p>
    <w:p>
      <w:pPr>
        <w:pStyle w:val="4"/>
        <w:rPr>
          <w:rFonts w:hint="eastAsia" w:ascii="宋体" w:hAnsi="宋体" w:eastAsia="宋体" w:cs="宋体"/>
          <w:b/>
          <w:bCs/>
          <w:sz w:val="22"/>
          <w:szCs w:val="22"/>
        </w:rPr>
      </w:pPr>
    </w:p>
    <w:p>
      <w:pPr>
        <w:rPr>
          <w:rFonts w:hint="eastAsia" w:ascii="宋体" w:hAnsi="宋体" w:eastAsia="宋体" w:cs="宋体"/>
          <w:b/>
          <w:bCs/>
          <w:sz w:val="22"/>
          <w:szCs w:val="22"/>
        </w:rPr>
      </w:pPr>
    </w:p>
    <w:p>
      <w:pPr>
        <w:pStyle w:val="4"/>
        <w:rPr>
          <w:rFonts w:hint="eastAsia" w:eastAsia="宋体"/>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numPr>
          <w:ilvl w:val="0"/>
          <w:numId w:val="0"/>
        </w:numPr>
        <w:rPr>
          <w:rFonts w:hint="eastAsia" w:ascii="宋体" w:hAnsi="宋体" w:eastAsia="宋体" w:cs="宋体"/>
          <w:b/>
          <w:bCs/>
          <w:sz w:val="22"/>
          <w:szCs w:val="22"/>
          <w:lang w:eastAsia="zh-CN"/>
        </w:rPr>
      </w:pPr>
    </w:p>
    <w:p>
      <w:pPr>
        <w:pStyle w:val="17"/>
        <w:rPr>
          <w:rFonts w:hint="eastAsia" w:ascii="宋体" w:hAnsi="宋体" w:eastAsia="宋体" w:cs="宋体"/>
          <w:b/>
          <w:bCs/>
          <w:sz w:val="22"/>
          <w:szCs w:val="22"/>
          <w:lang w:eastAsia="zh-CN"/>
        </w:rPr>
      </w:pPr>
    </w:p>
    <w:p>
      <w:pPr>
        <w:pStyle w:val="17"/>
        <w:rPr>
          <w:rFonts w:hint="eastAsia" w:ascii="宋体" w:hAnsi="宋体" w:eastAsia="宋体" w:cs="宋体"/>
          <w:b/>
          <w:bCs/>
          <w:sz w:val="22"/>
          <w:szCs w:val="22"/>
          <w:lang w:eastAsia="zh-CN"/>
        </w:rPr>
      </w:pPr>
    </w:p>
    <w:p>
      <w:pPr>
        <w:pStyle w:val="17"/>
        <w:rPr>
          <w:rFonts w:hint="eastAsia" w:ascii="宋体" w:hAnsi="宋体" w:eastAsia="宋体" w:cs="宋体"/>
          <w:b/>
          <w:bCs/>
          <w:sz w:val="22"/>
          <w:szCs w:val="22"/>
          <w:lang w:eastAsia="zh-CN"/>
        </w:rPr>
      </w:pPr>
    </w:p>
    <w:p>
      <w:pPr>
        <w:pStyle w:val="17"/>
        <w:rPr>
          <w:rFonts w:hint="eastAsia" w:ascii="宋体" w:hAnsi="宋体" w:eastAsia="宋体" w:cs="宋体"/>
          <w:b/>
          <w:bCs/>
          <w:sz w:val="22"/>
          <w:szCs w:val="22"/>
          <w:lang w:eastAsia="zh-CN"/>
        </w:rPr>
      </w:pPr>
    </w:p>
    <w:p>
      <w:pPr>
        <w:pStyle w:val="17"/>
        <w:rPr>
          <w:rFonts w:hint="eastAsia"/>
          <w:lang w:eastAsia="zh-CN"/>
        </w:rPr>
      </w:pPr>
    </w:p>
    <w:p>
      <w:pPr>
        <w:numPr>
          <w:ilvl w:val="0"/>
          <w:numId w:val="2"/>
        </w:numPr>
        <w:rPr>
          <w:rFonts w:hint="eastAsia" w:ascii="宋体" w:hAnsi="宋体" w:eastAsia="宋体" w:cs="宋体"/>
          <w:b/>
          <w:bCs/>
          <w:sz w:val="22"/>
          <w:szCs w:val="22"/>
        </w:rPr>
      </w:pPr>
      <w:r>
        <w:rPr>
          <w:rFonts w:hint="eastAsia" w:ascii="宋体" w:hAnsi="宋体" w:eastAsia="宋体" w:cs="宋体"/>
          <w:b/>
          <w:bCs/>
          <w:sz w:val="22"/>
          <w:szCs w:val="22"/>
          <w:lang w:val="en-US" w:eastAsia="zh-CN"/>
        </w:rPr>
        <w:t>价格</w:t>
      </w:r>
      <w:r>
        <w:rPr>
          <w:rFonts w:hint="eastAsia" w:ascii="宋体" w:hAnsi="宋体" w:eastAsia="宋体" w:cs="宋体"/>
          <w:b/>
          <w:bCs/>
          <w:sz w:val="22"/>
          <w:szCs w:val="22"/>
        </w:rPr>
        <w:t>评分：</w:t>
      </w:r>
      <w:r>
        <w:rPr>
          <w:rFonts w:hint="eastAsia" w:ascii="宋体" w:hAnsi="宋体" w:eastAsia="宋体" w:cs="宋体"/>
          <w:b/>
          <w:bCs/>
          <w:sz w:val="22"/>
          <w:szCs w:val="22"/>
          <w:lang w:val="en-US" w:eastAsia="zh-CN"/>
        </w:rPr>
        <w:t>满分</w:t>
      </w:r>
      <w:r>
        <w:rPr>
          <w:rFonts w:hint="eastAsia" w:ascii="宋体" w:hAnsi="宋体" w:cs="宋体"/>
          <w:b/>
          <w:bCs/>
          <w:sz w:val="22"/>
          <w:szCs w:val="22"/>
          <w:lang w:val="en-US" w:eastAsia="zh-CN"/>
        </w:rPr>
        <w:t>3</w:t>
      </w:r>
      <w:r>
        <w:rPr>
          <w:rFonts w:hint="eastAsia" w:ascii="宋体" w:hAnsi="宋体" w:eastAsia="宋体" w:cs="宋体"/>
          <w:b/>
          <w:bCs/>
          <w:sz w:val="22"/>
          <w:szCs w:val="22"/>
          <w:lang w:val="en-US" w:eastAsia="zh-CN"/>
        </w:rPr>
        <w:t>0</w:t>
      </w:r>
      <w:r>
        <w:rPr>
          <w:rFonts w:hint="eastAsia" w:ascii="宋体" w:hAnsi="宋体" w:eastAsia="宋体" w:cs="宋体"/>
          <w:b/>
          <w:bCs/>
          <w:sz w:val="22"/>
          <w:szCs w:val="22"/>
        </w:rPr>
        <w:t>分</w:t>
      </w: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bookmarkStart w:id="1" w:name="_Toc8618"/>
      <w:bookmarkStart w:id="2" w:name="_Toc11964"/>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lang w:val="en-US" w:eastAsia="zh-CN"/>
        </w:rPr>
        <w:t>一</w:t>
      </w:r>
      <w:r>
        <w:rPr>
          <w:rFonts w:hint="eastAsia" w:ascii="宋体" w:hAnsi="宋体" w:cs="宋体"/>
          <w:b/>
          <w:color w:val="auto"/>
          <w:sz w:val="28"/>
          <w:szCs w:val="28"/>
          <w:highlight w:val="none"/>
          <w:lang w:val="zh-CN"/>
        </w:rPr>
        <w:t>）</w:t>
      </w:r>
      <w:r>
        <w:rPr>
          <w:rFonts w:hint="eastAsia" w:ascii="宋体" w:hAnsi="宋体" w:eastAsia="宋体" w:cs="宋体"/>
          <w:b/>
          <w:color w:val="auto"/>
          <w:sz w:val="28"/>
          <w:szCs w:val="28"/>
          <w:highlight w:val="none"/>
          <w:lang w:val="zh-CN"/>
        </w:rPr>
        <w:t>报价一览表</w:t>
      </w:r>
      <w:bookmarkEnd w:id="1"/>
      <w:bookmarkEnd w:id="2"/>
    </w:p>
    <w:p>
      <w:pPr>
        <w:spacing w:line="360" w:lineRule="auto"/>
        <w:rPr>
          <w:rFonts w:hint="eastAsia" w:ascii="宋体" w:hAnsi="宋体" w:eastAsia="宋体" w:cs="宋体"/>
          <w:b w:val="0"/>
          <w:bCs w:val="0"/>
          <w:color w:val="auto"/>
          <w:sz w:val="22"/>
          <w:szCs w:val="18"/>
          <w:highlight w:val="none"/>
        </w:rPr>
      </w:pPr>
      <w:r>
        <w:rPr>
          <w:rFonts w:hint="eastAsia" w:ascii="宋体" w:hAnsi="宋体" w:eastAsia="宋体" w:cs="宋体"/>
          <w:b w:val="0"/>
          <w:bCs w:val="0"/>
          <w:color w:val="auto"/>
          <w:sz w:val="24"/>
          <w:szCs w:val="24"/>
          <w:highlight w:val="none"/>
        </w:rPr>
        <w:t>项目名称：</w:t>
      </w:r>
      <w:r>
        <w:rPr>
          <w:rFonts w:hint="eastAsia" w:ascii="宋体" w:hAnsi="宋体" w:eastAsia="宋体" w:cs="宋体"/>
          <w:b w:val="0"/>
          <w:bCs w:val="0"/>
          <w:color w:val="auto"/>
          <w:sz w:val="24"/>
          <w:szCs w:val="24"/>
          <w:highlight w:val="none"/>
          <w:lang w:val="en-US" w:eastAsia="zh-Hans"/>
        </w:rPr>
        <w:t>温州市中医院</w:t>
      </w:r>
      <w:r>
        <w:rPr>
          <w:rFonts w:hint="eastAsia"/>
          <w:b w:val="0"/>
          <w:bCs w:val="0"/>
          <w:color w:val="auto"/>
          <w:sz w:val="24"/>
          <w:szCs w:val="24"/>
          <w:highlight w:val="none"/>
          <w:lang w:val="en-US" w:eastAsia="zh-CN"/>
        </w:rPr>
        <w:t>自助报到系统</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2"/>
          <w:szCs w:val="18"/>
          <w:highlight w:val="none"/>
        </w:rPr>
        <w:t xml:space="preserve">                            </w:t>
      </w:r>
    </w:p>
    <w:tbl>
      <w:tblPr>
        <w:tblStyle w:val="14"/>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2770"/>
        <w:gridCol w:w="3875"/>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535" w:type="dxa"/>
            <w:noWrap/>
            <w:vAlign w:val="center"/>
          </w:tcPr>
          <w:p>
            <w:pPr>
              <w:spacing w:line="360" w:lineRule="auto"/>
              <w:jc w:val="center"/>
              <w:rPr>
                <w:rFonts w:ascii="宋体" w:hAnsi="宋体" w:cs="宋体"/>
                <w:sz w:val="24"/>
              </w:rPr>
            </w:pPr>
            <w:r>
              <w:rPr>
                <w:rFonts w:hint="eastAsia" w:ascii="宋体" w:hAnsi="宋体" w:cs="宋体"/>
                <w:sz w:val="24"/>
              </w:rPr>
              <w:t>序号</w:t>
            </w:r>
          </w:p>
        </w:tc>
        <w:tc>
          <w:tcPr>
            <w:tcW w:w="2770" w:type="dxa"/>
            <w:noWrap/>
            <w:vAlign w:val="center"/>
          </w:tcPr>
          <w:p>
            <w:pPr>
              <w:spacing w:line="360" w:lineRule="auto"/>
              <w:jc w:val="center"/>
              <w:rPr>
                <w:rFonts w:ascii="宋体" w:hAnsi="宋体" w:cs="宋体"/>
                <w:sz w:val="24"/>
              </w:rPr>
            </w:pPr>
            <w:r>
              <w:rPr>
                <w:rFonts w:hint="eastAsia" w:ascii="宋体" w:hAnsi="宋体" w:cs="宋体"/>
                <w:bCs/>
                <w:sz w:val="24"/>
              </w:rPr>
              <w:t>项目名称</w:t>
            </w:r>
          </w:p>
        </w:tc>
        <w:tc>
          <w:tcPr>
            <w:tcW w:w="3875" w:type="dxa"/>
            <w:noWrap/>
            <w:vAlign w:val="center"/>
          </w:tcPr>
          <w:p>
            <w:pPr>
              <w:spacing w:line="360" w:lineRule="auto"/>
              <w:jc w:val="center"/>
              <w:rPr>
                <w:rFonts w:ascii="宋体" w:hAnsi="宋体" w:cs="宋体"/>
                <w:sz w:val="24"/>
              </w:rPr>
            </w:pPr>
            <w:r>
              <w:rPr>
                <w:rFonts w:hint="eastAsia" w:ascii="宋体" w:hAnsi="宋体" w:cs="宋体"/>
                <w:bCs/>
                <w:sz w:val="24"/>
              </w:rPr>
              <w:t>报价（人民币元）</w:t>
            </w:r>
          </w:p>
        </w:tc>
        <w:tc>
          <w:tcPr>
            <w:tcW w:w="1747" w:type="dxa"/>
            <w:noWrap/>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535" w:type="dxa"/>
            <w:vMerge w:val="restart"/>
            <w:noWrap/>
            <w:vAlign w:val="center"/>
          </w:tcPr>
          <w:p>
            <w:pPr>
              <w:spacing w:line="360" w:lineRule="auto"/>
              <w:jc w:val="center"/>
              <w:rPr>
                <w:rFonts w:ascii="宋体" w:hAnsi="宋体" w:cs="宋体"/>
                <w:sz w:val="22"/>
              </w:rPr>
            </w:pPr>
            <w:r>
              <w:rPr>
                <w:rFonts w:hint="eastAsia" w:ascii="宋体" w:hAnsi="宋体" w:cs="宋体"/>
                <w:sz w:val="22"/>
              </w:rPr>
              <w:t>1</w:t>
            </w:r>
          </w:p>
        </w:tc>
        <w:tc>
          <w:tcPr>
            <w:tcW w:w="2770" w:type="dxa"/>
            <w:vMerge w:val="restart"/>
            <w:noWrap/>
            <w:vAlign w:val="center"/>
          </w:tcPr>
          <w:p>
            <w:pPr>
              <w:spacing w:line="360" w:lineRule="auto"/>
              <w:jc w:val="center"/>
              <w:rPr>
                <w:rFonts w:ascii="宋体" w:hAnsi="宋体" w:cs="宋体"/>
                <w:sz w:val="22"/>
              </w:rPr>
            </w:pPr>
            <w:r>
              <w:rPr>
                <w:rFonts w:hint="eastAsia" w:ascii="宋体" w:hAnsi="宋体" w:cs="宋体"/>
                <w:sz w:val="24"/>
              </w:rPr>
              <w:t>自助报到系统</w:t>
            </w:r>
          </w:p>
        </w:tc>
        <w:tc>
          <w:tcPr>
            <w:tcW w:w="3875" w:type="dxa"/>
            <w:noWrap/>
            <w:vAlign w:val="center"/>
          </w:tcPr>
          <w:p>
            <w:pPr>
              <w:spacing w:line="360" w:lineRule="auto"/>
              <w:rPr>
                <w:rFonts w:ascii="宋体" w:hAnsi="宋体" w:cs="宋体"/>
                <w:sz w:val="22"/>
              </w:rPr>
            </w:pPr>
            <w:r>
              <w:rPr>
                <w:rFonts w:hint="eastAsia" w:ascii="宋体" w:hAnsi="宋体" w:cs="宋体"/>
                <w:sz w:val="22"/>
              </w:rPr>
              <w:t>大写：</w:t>
            </w:r>
          </w:p>
        </w:tc>
        <w:tc>
          <w:tcPr>
            <w:tcW w:w="1747" w:type="dxa"/>
            <w:vMerge w:val="restart"/>
            <w:noWrap/>
            <w:vAlign w:val="center"/>
          </w:tcPr>
          <w:p>
            <w:pPr>
              <w:spacing w:line="360" w:lineRule="auto"/>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535" w:type="dxa"/>
            <w:vMerge w:val="continue"/>
            <w:noWrap/>
            <w:vAlign w:val="center"/>
          </w:tcPr>
          <w:p>
            <w:pPr>
              <w:spacing w:line="360" w:lineRule="auto"/>
              <w:jc w:val="center"/>
              <w:rPr>
                <w:rFonts w:ascii="宋体" w:hAnsi="宋体" w:cs="宋体"/>
                <w:sz w:val="22"/>
              </w:rPr>
            </w:pPr>
          </w:p>
        </w:tc>
        <w:tc>
          <w:tcPr>
            <w:tcW w:w="2770" w:type="dxa"/>
            <w:vMerge w:val="continue"/>
            <w:noWrap/>
            <w:vAlign w:val="center"/>
          </w:tcPr>
          <w:p>
            <w:pPr>
              <w:spacing w:line="360" w:lineRule="auto"/>
              <w:jc w:val="center"/>
              <w:rPr>
                <w:rFonts w:ascii="宋体" w:hAnsi="宋体" w:cs="宋体"/>
                <w:sz w:val="22"/>
              </w:rPr>
            </w:pPr>
          </w:p>
        </w:tc>
        <w:tc>
          <w:tcPr>
            <w:tcW w:w="3875" w:type="dxa"/>
            <w:noWrap/>
            <w:vAlign w:val="center"/>
          </w:tcPr>
          <w:p>
            <w:pPr>
              <w:spacing w:line="360" w:lineRule="auto"/>
              <w:rPr>
                <w:rFonts w:ascii="宋体" w:hAnsi="宋体" w:cs="宋体"/>
                <w:sz w:val="22"/>
              </w:rPr>
            </w:pPr>
            <w:r>
              <w:rPr>
                <w:rFonts w:hint="eastAsia" w:ascii="宋体" w:hAnsi="宋体" w:cs="宋体"/>
                <w:sz w:val="22"/>
              </w:rPr>
              <w:t>小写：</w:t>
            </w:r>
          </w:p>
        </w:tc>
        <w:tc>
          <w:tcPr>
            <w:tcW w:w="1747" w:type="dxa"/>
            <w:vMerge w:val="continue"/>
            <w:noWrap/>
            <w:vAlign w:val="center"/>
          </w:tcPr>
          <w:p>
            <w:pPr>
              <w:spacing w:line="360" w:lineRule="auto"/>
              <w:jc w:val="center"/>
              <w:rPr>
                <w:rFonts w:ascii="宋体" w:hAnsi="宋体" w:cs="宋体"/>
                <w:sz w:val="22"/>
              </w:rPr>
            </w:pPr>
          </w:p>
        </w:tc>
      </w:tr>
    </w:tbl>
    <w:p>
      <w:pPr>
        <w:spacing w:line="450" w:lineRule="exact"/>
        <w:rPr>
          <w:rFonts w:hint="eastAsia" w:ascii="宋体" w:hAnsi="宋体" w:eastAsia="宋体" w:cs="宋体"/>
          <w:b/>
          <w:color w:val="auto"/>
          <w:sz w:val="22"/>
          <w:highlight w:val="none"/>
        </w:rPr>
      </w:pPr>
    </w:p>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2"/>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2"/>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default"/>
          <w:lang w:val="en-US" w:eastAsia="zh-CN"/>
        </w:rPr>
      </w:pPr>
      <w:r>
        <w:rPr>
          <w:rFonts w:hint="eastAsia" w:ascii="宋体" w:hAnsi="宋体" w:cs="宋体"/>
          <w:b/>
          <w:color w:val="auto"/>
          <w:sz w:val="22"/>
          <w:highlight w:val="none"/>
          <w:lang w:val="en-US" w:eastAsia="zh-CN"/>
        </w:rPr>
        <w:t>4、报价超过预算金额按无效标处理。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w:t>
      </w:r>
    </w:p>
    <w:p>
      <w:pPr>
        <w:pStyle w:val="2"/>
        <w:rPr>
          <w:rFonts w:hint="eastAsia"/>
        </w:rPr>
      </w:pPr>
    </w:p>
    <w:p>
      <w:pPr>
        <w:adjustRightInd w:val="0"/>
        <w:snapToGrid w:val="0"/>
        <w:spacing w:line="360" w:lineRule="auto"/>
        <w:jc w:val="left"/>
        <w:rPr>
          <w:rFonts w:hint="eastAsia" w:ascii="宋体" w:hAnsi="宋体"/>
          <w:color w:val="000000"/>
          <w:szCs w:val="21"/>
        </w:rPr>
      </w:pPr>
    </w:p>
    <w:p>
      <w:pPr>
        <w:pStyle w:val="17"/>
        <w:rPr>
          <w:rFonts w:hint="eastAsia" w:ascii="宋体" w:hAnsi="宋体"/>
          <w:color w:val="000000"/>
          <w:szCs w:val="21"/>
        </w:rPr>
      </w:pP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lang w:val="en-US" w:eastAsia="zh-CN"/>
        </w:rPr>
        <w:t>分项报价</w:t>
      </w:r>
      <w:r>
        <w:rPr>
          <w:rFonts w:hint="eastAsia" w:ascii="宋体" w:hAnsi="宋体" w:eastAsia="宋体" w:cs="宋体"/>
          <w:b/>
          <w:color w:val="auto"/>
          <w:sz w:val="28"/>
          <w:szCs w:val="28"/>
          <w:highlight w:val="none"/>
          <w:lang w:val="zh-CN"/>
        </w:rPr>
        <w:t>表</w:t>
      </w:r>
    </w:p>
    <w:p>
      <w:pPr>
        <w:spacing w:line="240" w:lineRule="auto"/>
        <w:rPr>
          <w:rFonts w:hint="eastAsia" w:ascii="宋体" w:hAnsi="宋体" w:eastAsia="宋体" w:cs="宋体"/>
          <w:b/>
          <w:color w:val="auto"/>
          <w:sz w:val="22"/>
          <w:highlight w:val="none"/>
        </w:rPr>
      </w:pPr>
    </w:p>
    <w:tbl>
      <w:tblPr>
        <w:tblStyle w:val="14"/>
        <w:tblW w:w="9360" w:type="dxa"/>
        <w:tblInd w:w="115" w:type="dxa"/>
        <w:tblLayout w:type="fixed"/>
        <w:tblCellMar>
          <w:top w:w="0" w:type="dxa"/>
          <w:left w:w="108" w:type="dxa"/>
          <w:bottom w:w="0" w:type="dxa"/>
          <w:right w:w="108" w:type="dxa"/>
        </w:tblCellMar>
      </w:tblPr>
      <w:tblGrid>
        <w:gridCol w:w="885"/>
        <w:gridCol w:w="1320"/>
        <w:gridCol w:w="945"/>
        <w:gridCol w:w="975"/>
        <w:gridCol w:w="1260"/>
        <w:gridCol w:w="1290"/>
        <w:gridCol w:w="1335"/>
        <w:gridCol w:w="1350"/>
      </w:tblGrid>
      <w:tr>
        <w:tblPrEx>
          <w:tblCellMar>
            <w:top w:w="0" w:type="dxa"/>
            <w:left w:w="108" w:type="dxa"/>
            <w:bottom w:w="0" w:type="dxa"/>
            <w:right w:w="108" w:type="dxa"/>
          </w:tblCellMar>
        </w:tblPrEx>
        <w:trPr>
          <w:trHeight w:val="585" w:hRule="atLeast"/>
        </w:trPr>
        <w:tc>
          <w:tcPr>
            <w:tcW w:w="885"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序号</w:t>
            </w:r>
          </w:p>
        </w:tc>
        <w:tc>
          <w:tcPr>
            <w:tcW w:w="1320" w:type="dxa"/>
            <w:tcBorders>
              <w:top w:val="single" w:color="000000" w:sz="8" w:space="0"/>
              <w:left w:val="nil"/>
              <w:bottom w:val="single" w:color="000000" w:sz="8" w:space="0"/>
              <w:right w:val="single" w:color="000000" w:sz="8" w:space="0"/>
            </w:tcBorders>
            <w:noWrap/>
            <w:vAlign w:val="center"/>
          </w:tcPr>
          <w:p>
            <w:pPr>
              <w:widowControl/>
              <w:spacing w:line="360" w:lineRule="auto"/>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产品名称</w:t>
            </w:r>
          </w:p>
        </w:tc>
        <w:tc>
          <w:tcPr>
            <w:tcW w:w="945" w:type="dxa"/>
            <w:tcBorders>
              <w:top w:val="single" w:color="000000" w:sz="8" w:space="0"/>
              <w:left w:val="nil"/>
              <w:bottom w:val="single" w:color="000000" w:sz="8" w:space="0"/>
              <w:right w:val="single" w:color="000000" w:sz="8" w:space="0"/>
            </w:tcBorders>
            <w:noWrap/>
            <w:vAlign w:val="center"/>
          </w:tcPr>
          <w:p>
            <w:pPr>
              <w:widowControl/>
              <w:spacing w:line="360" w:lineRule="auto"/>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单位</w:t>
            </w:r>
          </w:p>
        </w:tc>
        <w:tc>
          <w:tcPr>
            <w:tcW w:w="975" w:type="dxa"/>
            <w:tcBorders>
              <w:top w:val="single" w:color="000000" w:sz="8" w:space="0"/>
              <w:left w:val="nil"/>
              <w:bottom w:val="single" w:color="000000" w:sz="8" w:space="0"/>
              <w:right w:val="single" w:color="000000" w:sz="8" w:space="0"/>
            </w:tcBorders>
            <w:noWrap/>
            <w:vAlign w:val="center"/>
          </w:tcPr>
          <w:p>
            <w:pPr>
              <w:widowControl/>
              <w:spacing w:line="360" w:lineRule="auto"/>
              <w:jc w:val="center"/>
              <w:textAlignment w:val="center"/>
              <w:rPr>
                <w:rFonts w:ascii="宋体" w:hAnsi="宋体" w:cs="宋体"/>
                <w:b/>
                <w:bCs/>
                <w:color w:val="000000"/>
                <w:sz w:val="24"/>
                <w:szCs w:val="24"/>
              </w:rPr>
            </w:pPr>
            <w:r>
              <w:rPr>
                <w:rFonts w:hint="eastAsia" w:ascii="宋体" w:hAnsi="宋体" w:cs="宋体"/>
                <w:b/>
                <w:bCs/>
                <w:color w:val="000000"/>
                <w:sz w:val="24"/>
                <w:szCs w:val="24"/>
              </w:rPr>
              <w:t>数量</w:t>
            </w:r>
          </w:p>
        </w:tc>
        <w:tc>
          <w:tcPr>
            <w:tcW w:w="1260" w:type="dxa"/>
            <w:tcBorders>
              <w:top w:val="single" w:color="000000" w:sz="8" w:space="0"/>
              <w:left w:val="nil"/>
              <w:bottom w:val="single" w:color="000000" w:sz="8" w:space="0"/>
              <w:right w:val="single" w:color="000000" w:sz="8" w:space="0"/>
            </w:tcBorders>
            <w:noWrap/>
            <w:vAlign w:val="center"/>
          </w:tcPr>
          <w:p>
            <w:pPr>
              <w:widowControl/>
              <w:spacing w:line="360" w:lineRule="auto"/>
              <w:jc w:val="center"/>
              <w:textAlignment w:val="center"/>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投标品牌</w:t>
            </w:r>
          </w:p>
        </w:tc>
        <w:tc>
          <w:tcPr>
            <w:tcW w:w="1290" w:type="dxa"/>
            <w:tcBorders>
              <w:top w:val="single" w:color="000000" w:sz="8" w:space="0"/>
              <w:left w:val="nil"/>
              <w:bottom w:val="single" w:color="000000" w:sz="8" w:space="0"/>
              <w:right w:val="single" w:color="000000" w:sz="8" w:space="0"/>
            </w:tcBorders>
            <w:noWrap/>
            <w:vAlign w:val="center"/>
          </w:tcPr>
          <w:p>
            <w:pPr>
              <w:widowControl/>
              <w:spacing w:line="360" w:lineRule="auto"/>
              <w:jc w:val="center"/>
              <w:textAlignment w:val="center"/>
              <w:rPr>
                <w:rFonts w:hint="default"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规格型号</w:t>
            </w:r>
          </w:p>
        </w:tc>
        <w:tc>
          <w:tcPr>
            <w:tcW w:w="1335" w:type="dxa"/>
            <w:tcBorders>
              <w:top w:val="single" w:color="000000" w:sz="8" w:space="0"/>
              <w:left w:val="nil"/>
              <w:bottom w:val="single" w:color="000000" w:sz="8" w:space="0"/>
              <w:right w:val="single" w:color="000000" w:sz="8" w:space="0"/>
            </w:tcBorders>
            <w:noWrap/>
            <w:vAlign w:val="center"/>
          </w:tcPr>
          <w:p>
            <w:pPr>
              <w:widowControl/>
              <w:spacing w:line="360" w:lineRule="auto"/>
              <w:jc w:val="center"/>
              <w:textAlignment w:val="center"/>
              <w:rPr>
                <w:rFonts w:hint="eastAsia"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单价（元）</w:t>
            </w:r>
          </w:p>
        </w:tc>
        <w:tc>
          <w:tcPr>
            <w:tcW w:w="1350" w:type="dxa"/>
            <w:tcBorders>
              <w:top w:val="single" w:color="000000" w:sz="8" w:space="0"/>
              <w:left w:val="nil"/>
              <w:bottom w:val="single" w:color="000000" w:sz="8" w:space="0"/>
              <w:right w:val="single" w:color="000000" w:sz="8" w:space="0"/>
            </w:tcBorders>
            <w:noWrap/>
            <w:vAlign w:val="center"/>
          </w:tcPr>
          <w:p>
            <w:pPr>
              <w:widowControl/>
              <w:spacing w:line="360" w:lineRule="auto"/>
              <w:jc w:val="center"/>
              <w:textAlignment w:val="center"/>
              <w:rPr>
                <w:rFonts w:hint="eastAsia"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合计（元）</w:t>
            </w:r>
          </w:p>
        </w:tc>
      </w:tr>
      <w:tr>
        <w:tblPrEx>
          <w:tblCellMar>
            <w:top w:w="0" w:type="dxa"/>
            <w:left w:w="108" w:type="dxa"/>
            <w:bottom w:w="0" w:type="dxa"/>
            <w:right w:w="108" w:type="dxa"/>
          </w:tblCellMar>
        </w:tblPrEx>
        <w:trPr>
          <w:trHeight w:val="943" w:hRule="atLeast"/>
        </w:trPr>
        <w:tc>
          <w:tcPr>
            <w:tcW w:w="885" w:type="dxa"/>
            <w:tcBorders>
              <w:top w:val="nil"/>
              <w:left w:val="single" w:color="000000" w:sz="8" w:space="0"/>
              <w:bottom w:val="single" w:color="auto" w:sz="4" w:space="0"/>
              <w:right w:val="single" w:color="000000" w:sz="8" w:space="0"/>
            </w:tcBorders>
            <w:noWrap/>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320" w:type="dxa"/>
            <w:tcBorders>
              <w:top w:val="nil"/>
              <w:left w:val="nil"/>
              <w:bottom w:val="single" w:color="auto" w:sz="4" w:space="0"/>
              <w:right w:val="single" w:color="000000" w:sz="8" w:space="0"/>
            </w:tcBorders>
            <w:noWrap/>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sz w:val="24"/>
                <w:szCs w:val="24"/>
              </w:rPr>
              <w:t>壁挂机</w:t>
            </w:r>
          </w:p>
        </w:tc>
        <w:tc>
          <w:tcPr>
            <w:tcW w:w="945" w:type="dxa"/>
            <w:tcBorders>
              <w:top w:val="nil"/>
              <w:left w:val="nil"/>
              <w:bottom w:val="single" w:color="auto" w:sz="4" w:space="0"/>
              <w:right w:val="single" w:color="000000" w:sz="8" w:space="0"/>
            </w:tcBorders>
            <w:noWrap/>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975" w:type="dxa"/>
            <w:tcBorders>
              <w:top w:val="nil"/>
              <w:left w:val="nil"/>
              <w:bottom w:val="single" w:color="auto" w:sz="4" w:space="0"/>
              <w:right w:val="single" w:color="000000" w:sz="8" w:space="0"/>
            </w:tcBorders>
            <w:noWrap/>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260" w:type="dxa"/>
            <w:tcBorders>
              <w:top w:val="nil"/>
              <w:left w:val="nil"/>
              <w:bottom w:val="single" w:color="auto" w:sz="4" w:space="0"/>
              <w:right w:val="single" w:color="000000" w:sz="8" w:space="0"/>
            </w:tcBorders>
            <w:noWrap/>
            <w:vAlign w:val="center"/>
          </w:tcPr>
          <w:p>
            <w:pPr>
              <w:widowControl/>
              <w:spacing w:line="360" w:lineRule="auto"/>
              <w:textAlignment w:val="center"/>
              <w:rPr>
                <w:rFonts w:ascii="宋体" w:hAnsi="宋体" w:cs="宋体"/>
                <w:color w:val="000000"/>
                <w:sz w:val="24"/>
                <w:szCs w:val="24"/>
              </w:rPr>
            </w:pPr>
          </w:p>
        </w:tc>
        <w:tc>
          <w:tcPr>
            <w:tcW w:w="1290" w:type="dxa"/>
            <w:tcBorders>
              <w:top w:val="nil"/>
              <w:left w:val="nil"/>
              <w:bottom w:val="single" w:color="auto" w:sz="4" w:space="0"/>
              <w:right w:val="single" w:color="000000" w:sz="8" w:space="0"/>
            </w:tcBorders>
            <w:noWrap/>
            <w:vAlign w:val="center"/>
          </w:tcPr>
          <w:p>
            <w:pPr>
              <w:widowControl/>
              <w:spacing w:line="360" w:lineRule="auto"/>
              <w:textAlignment w:val="center"/>
              <w:rPr>
                <w:rFonts w:ascii="宋体" w:hAnsi="宋体" w:cs="宋体"/>
                <w:color w:val="000000"/>
                <w:sz w:val="24"/>
                <w:szCs w:val="24"/>
              </w:rPr>
            </w:pPr>
          </w:p>
        </w:tc>
        <w:tc>
          <w:tcPr>
            <w:tcW w:w="1335" w:type="dxa"/>
            <w:tcBorders>
              <w:top w:val="nil"/>
              <w:left w:val="nil"/>
              <w:bottom w:val="single" w:color="auto" w:sz="4" w:space="0"/>
              <w:right w:val="single" w:color="000000" w:sz="8" w:space="0"/>
            </w:tcBorders>
            <w:noWrap/>
            <w:vAlign w:val="center"/>
          </w:tcPr>
          <w:p>
            <w:pPr>
              <w:widowControl/>
              <w:spacing w:line="360" w:lineRule="auto"/>
              <w:textAlignment w:val="center"/>
              <w:rPr>
                <w:rFonts w:ascii="宋体" w:hAnsi="宋体" w:cs="宋体"/>
                <w:color w:val="000000"/>
                <w:sz w:val="24"/>
                <w:szCs w:val="24"/>
              </w:rPr>
            </w:pPr>
          </w:p>
        </w:tc>
        <w:tc>
          <w:tcPr>
            <w:tcW w:w="1350" w:type="dxa"/>
            <w:tcBorders>
              <w:top w:val="nil"/>
              <w:left w:val="nil"/>
              <w:bottom w:val="single" w:color="auto" w:sz="4" w:space="0"/>
              <w:right w:val="single" w:color="000000" w:sz="8" w:space="0"/>
            </w:tcBorders>
            <w:noWrap/>
            <w:vAlign w:val="center"/>
          </w:tcPr>
          <w:p>
            <w:pPr>
              <w:widowControl/>
              <w:spacing w:line="360" w:lineRule="auto"/>
              <w:textAlignment w:val="center"/>
              <w:rPr>
                <w:rFonts w:ascii="宋体" w:hAnsi="宋体" w:cs="宋体"/>
                <w:color w:val="000000"/>
                <w:sz w:val="24"/>
                <w:szCs w:val="24"/>
              </w:rPr>
            </w:pPr>
          </w:p>
        </w:tc>
      </w:tr>
      <w:tr>
        <w:tblPrEx>
          <w:tblCellMar>
            <w:top w:w="0" w:type="dxa"/>
            <w:left w:w="108" w:type="dxa"/>
            <w:bottom w:w="0" w:type="dxa"/>
            <w:right w:w="108" w:type="dxa"/>
          </w:tblCellMar>
        </w:tblPrEx>
        <w:trPr>
          <w:trHeight w:val="1092" w:hRule="atLeast"/>
        </w:trPr>
        <w:tc>
          <w:tcPr>
            <w:tcW w:w="88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32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软件服务</w:t>
            </w:r>
          </w:p>
        </w:tc>
        <w:tc>
          <w:tcPr>
            <w:tcW w:w="94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项</w:t>
            </w: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260" w:type="dxa"/>
            <w:tcBorders>
              <w:top w:val="single" w:color="auto" w:sz="4" w:space="0"/>
              <w:left w:val="single" w:color="auto" w:sz="4" w:space="0"/>
              <w:bottom w:val="single" w:color="auto" w:sz="4" w:space="0"/>
              <w:right w:val="single" w:color="auto" w:sz="4" w:space="0"/>
            </w:tcBorders>
            <w:noWrap/>
            <w:vAlign w:val="center"/>
          </w:tcPr>
          <w:p>
            <w:pPr>
              <w:widowControl/>
              <w:numPr>
                <w:numId w:val="0"/>
              </w:numPr>
              <w:spacing w:line="360" w:lineRule="auto"/>
              <w:textAlignment w:val="center"/>
              <w:rPr>
                <w:rFonts w:ascii="宋体" w:hAnsi="宋体" w:cs="宋体"/>
                <w:color w:val="000000"/>
                <w:sz w:val="24"/>
                <w:szCs w:val="24"/>
              </w:rPr>
            </w:pPr>
          </w:p>
        </w:tc>
        <w:tc>
          <w:tcPr>
            <w:tcW w:w="1290" w:type="dxa"/>
            <w:tcBorders>
              <w:top w:val="single" w:color="auto" w:sz="4" w:space="0"/>
              <w:left w:val="single" w:color="auto" w:sz="4" w:space="0"/>
              <w:bottom w:val="single" w:color="auto" w:sz="4" w:space="0"/>
              <w:right w:val="single" w:color="auto" w:sz="4" w:space="0"/>
            </w:tcBorders>
            <w:noWrap/>
            <w:vAlign w:val="center"/>
          </w:tcPr>
          <w:p>
            <w:pPr>
              <w:widowControl/>
              <w:numPr>
                <w:numId w:val="0"/>
              </w:numPr>
              <w:spacing w:line="360" w:lineRule="auto"/>
              <w:textAlignment w:val="center"/>
              <w:rPr>
                <w:rFonts w:ascii="宋体" w:hAnsi="宋体" w:cs="宋体"/>
                <w:color w:val="000000"/>
                <w:sz w:val="24"/>
                <w:szCs w:val="24"/>
              </w:rPr>
            </w:pPr>
          </w:p>
        </w:tc>
        <w:tc>
          <w:tcPr>
            <w:tcW w:w="1335" w:type="dxa"/>
            <w:tcBorders>
              <w:top w:val="single" w:color="auto" w:sz="4" w:space="0"/>
              <w:left w:val="single" w:color="auto" w:sz="4" w:space="0"/>
              <w:bottom w:val="single" w:color="auto" w:sz="4" w:space="0"/>
              <w:right w:val="single" w:color="auto" w:sz="4" w:space="0"/>
            </w:tcBorders>
            <w:noWrap/>
            <w:vAlign w:val="center"/>
          </w:tcPr>
          <w:p>
            <w:pPr>
              <w:widowControl/>
              <w:numPr>
                <w:numId w:val="0"/>
              </w:numPr>
              <w:spacing w:line="360" w:lineRule="auto"/>
              <w:textAlignment w:val="center"/>
              <w:rPr>
                <w:rFonts w:ascii="宋体" w:hAnsi="宋体" w:cs="宋体"/>
                <w:color w:val="000000"/>
                <w:sz w:val="24"/>
                <w:szCs w:val="24"/>
              </w:rPr>
            </w:pP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numPr>
                <w:numId w:val="0"/>
              </w:numPr>
              <w:spacing w:line="360" w:lineRule="auto"/>
              <w:textAlignment w:val="center"/>
              <w:rPr>
                <w:rFonts w:ascii="宋体" w:hAnsi="宋体" w:cs="宋体"/>
                <w:color w:val="000000"/>
                <w:sz w:val="24"/>
                <w:szCs w:val="24"/>
              </w:rPr>
            </w:pPr>
          </w:p>
        </w:tc>
      </w:tr>
      <w:tr>
        <w:tblPrEx>
          <w:tblCellMar>
            <w:top w:w="0" w:type="dxa"/>
            <w:left w:w="108" w:type="dxa"/>
            <w:bottom w:w="0" w:type="dxa"/>
            <w:right w:w="108" w:type="dxa"/>
          </w:tblCellMar>
        </w:tblPrEx>
        <w:trPr>
          <w:trHeight w:val="955" w:hRule="atLeast"/>
        </w:trPr>
        <w:tc>
          <w:tcPr>
            <w:tcW w:w="88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sz w:val="24"/>
                <w:szCs w:val="24"/>
              </w:rPr>
              <w:t>接口服务</w:t>
            </w:r>
          </w:p>
        </w:tc>
        <w:tc>
          <w:tcPr>
            <w:tcW w:w="94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项</w:t>
            </w: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26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textAlignment w:val="center"/>
              <w:rPr>
                <w:rFonts w:ascii="宋体" w:hAnsi="宋体" w:cs="宋体"/>
                <w:color w:val="000000"/>
                <w:sz w:val="24"/>
                <w:szCs w:val="24"/>
              </w:rPr>
            </w:pPr>
          </w:p>
        </w:tc>
        <w:tc>
          <w:tcPr>
            <w:tcW w:w="12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textAlignment w:val="center"/>
              <w:rPr>
                <w:rFonts w:ascii="宋体" w:hAnsi="宋体" w:cs="宋体"/>
                <w:color w:val="000000"/>
                <w:sz w:val="24"/>
                <w:szCs w:val="24"/>
              </w:rPr>
            </w:pPr>
          </w:p>
        </w:tc>
        <w:tc>
          <w:tcPr>
            <w:tcW w:w="13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textAlignment w:val="center"/>
              <w:rPr>
                <w:rFonts w:ascii="宋体" w:hAnsi="宋体" w:cs="宋体"/>
                <w:color w:val="000000"/>
                <w:sz w:val="24"/>
                <w:szCs w:val="24"/>
              </w:rPr>
            </w:pP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textAlignment w:val="center"/>
              <w:rPr>
                <w:rFonts w:ascii="宋体" w:hAnsi="宋体" w:cs="宋体"/>
                <w:color w:val="000000"/>
                <w:sz w:val="24"/>
                <w:szCs w:val="24"/>
              </w:rPr>
            </w:pPr>
          </w:p>
        </w:tc>
      </w:tr>
      <w:tr>
        <w:tblPrEx>
          <w:tblCellMar>
            <w:top w:w="0" w:type="dxa"/>
            <w:left w:w="108" w:type="dxa"/>
            <w:bottom w:w="0" w:type="dxa"/>
            <w:right w:w="108" w:type="dxa"/>
          </w:tblCellMar>
        </w:tblPrEx>
        <w:trPr>
          <w:trHeight w:val="585" w:hRule="atLeast"/>
        </w:trPr>
        <w:tc>
          <w:tcPr>
            <w:tcW w:w="8010" w:type="dxa"/>
            <w:gridSpan w:val="7"/>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sz w:val="24"/>
                <w:szCs w:val="24"/>
                <w:lang w:val="en-US" w:eastAsia="zh-CN"/>
              </w:rPr>
              <w:t>总价（元）：</w:t>
            </w: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textAlignment w:val="center"/>
              <w:rPr>
                <w:rFonts w:ascii="宋体" w:hAnsi="宋体" w:cs="宋体"/>
                <w:color w:val="000000"/>
                <w:sz w:val="24"/>
                <w:szCs w:val="24"/>
              </w:rPr>
            </w:pPr>
          </w:p>
        </w:tc>
      </w:tr>
    </w:tbl>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2"/>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2"/>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spacing w:line="360" w:lineRule="auto"/>
        <w:ind w:left="437" w:leftChars="208" w:firstLine="0" w:firstLineChars="0"/>
        <w:rPr>
          <w:rFonts w:hint="eastAsia" w:ascii="宋体" w:hAnsi="宋体" w:cs="宋体"/>
          <w:b/>
          <w:color w:val="auto"/>
          <w:sz w:val="22"/>
          <w:highlight w:val="none"/>
          <w:lang w:val="en-US" w:eastAsia="zh-CN"/>
        </w:rPr>
      </w:pPr>
      <w:r>
        <w:rPr>
          <w:rFonts w:hint="eastAsia" w:ascii="宋体" w:hAnsi="宋体" w:cs="宋体"/>
          <w:b/>
          <w:color w:val="auto"/>
          <w:sz w:val="22"/>
          <w:highlight w:val="none"/>
          <w:lang w:val="en-US" w:eastAsia="zh-CN"/>
        </w:rPr>
        <w:t>4、报价超过预算金额按无效标处理。</w:t>
      </w:r>
    </w:p>
    <w:p>
      <w:pPr>
        <w:spacing w:line="360" w:lineRule="auto"/>
        <w:ind w:left="437" w:leftChars="208" w:firstLine="0" w:firstLineChars="0"/>
        <w:rPr>
          <w:rFonts w:hint="default"/>
          <w:lang w:val="en-US"/>
        </w:rPr>
      </w:pPr>
      <w:r>
        <w:rPr>
          <w:rFonts w:hint="eastAsia" w:ascii="宋体" w:hAnsi="宋体" w:cs="宋体"/>
          <w:b/>
          <w:color w:val="auto"/>
          <w:sz w:val="22"/>
          <w:highlight w:val="none"/>
          <w:lang w:val="en-US" w:eastAsia="zh-CN"/>
        </w:rPr>
        <w:t>5、总价金额与按单价汇总金额不一致的，以单价金额计算结果为准。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5060" w:firstLineChars="2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供应商全称（盖章）：</w:t>
      </w:r>
      <w:bookmarkStart w:id="3" w:name="_GoBack"/>
      <w:bookmarkEnd w:id="3"/>
    </w:p>
    <w:p>
      <w:pPr>
        <w:spacing w:line="460" w:lineRule="exact"/>
        <w:ind w:firstLine="5060" w:firstLineChars="2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供应商代表（签字）：</w:t>
      </w:r>
    </w:p>
    <w:p>
      <w:pPr>
        <w:spacing w:line="460" w:lineRule="exact"/>
        <w:ind w:firstLine="5060" w:firstLineChars="2300"/>
        <w:rPr>
          <w:rFonts w:hint="eastAsia"/>
        </w:rPr>
      </w:pPr>
      <w:r>
        <w:rPr>
          <w:rFonts w:hint="eastAsia" w:ascii="宋体" w:hAnsi="宋体" w:eastAsia="宋体" w:cs="宋体"/>
          <w:color w:val="auto"/>
          <w:sz w:val="22"/>
          <w:szCs w:val="22"/>
          <w:highlight w:val="none"/>
        </w:rPr>
        <w:t xml:space="preserve">日  期：   </w:t>
      </w:r>
    </w:p>
    <w:p>
      <w:pPr>
        <w:adjustRightInd w:val="0"/>
        <w:snapToGrid w:val="0"/>
        <w:spacing w:line="360" w:lineRule="auto"/>
        <w:jc w:val="left"/>
        <w:rPr>
          <w:rFonts w:hint="eastAsia" w:ascii="宋体" w:hAnsi="宋体"/>
          <w:color w:val="000000"/>
          <w:szCs w:val="21"/>
        </w:rPr>
      </w:pPr>
    </w:p>
    <w:p>
      <w:pPr>
        <w:pStyle w:val="17"/>
        <w:rPr>
          <w:rFonts w:hint="eastAsia" w:ascii="宋体" w:hAnsi="宋体"/>
          <w:color w:val="000000"/>
          <w:szCs w:val="21"/>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69252"/>
    <w:multiLevelType w:val="singleLevel"/>
    <w:tmpl w:val="E7F69252"/>
    <w:lvl w:ilvl="0" w:tentative="0">
      <w:start w:val="2"/>
      <w:numFmt w:val="decimal"/>
      <w:suff w:val="nothing"/>
      <w:lvlText w:val="%1、"/>
      <w:lvlJc w:val="left"/>
    </w:lvl>
  </w:abstractNum>
  <w:abstractNum w:abstractNumId="1">
    <w:nsid w:val="03DF7F66"/>
    <w:multiLevelType w:val="singleLevel"/>
    <w:tmpl w:val="03DF7F66"/>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ZjMDk4ZjUyNmI5ZWM0NTQwMmI0OWNkNmNiZDhjNj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3F44E33"/>
    <w:rsid w:val="04D94B9F"/>
    <w:rsid w:val="0A34042D"/>
    <w:rsid w:val="0EF80781"/>
    <w:rsid w:val="0F427144"/>
    <w:rsid w:val="0F9C6A6C"/>
    <w:rsid w:val="1124087B"/>
    <w:rsid w:val="1367269B"/>
    <w:rsid w:val="14D414CD"/>
    <w:rsid w:val="154327F2"/>
    <w:rsid w:val="15F0193F"/>
    <w:rsid w:val="16586A57"/>
    <w:rsid w:val="1AAC3B0A"/>
    <w:rsid w:val="1DD0413A"/>
    <w:rsid w:val="203F5CE6"/>
    <w:rsid w:val="215E5325"/>
    <w:rsid w:val="253F05F7"/>
    <w:rsid w:val="26614AE7"/>
    <w:rsid w:val="2B9D1E83"/>
    <w:rsid w:val="2C0B329E"/>
    <w:rsid w:val="2DA52879"/>
    <w:rsid w:val="2EE23DA1"/>
    <w:rsid w:val="304676BA"/>
    <w:rsid w:val="32EC217B"/>
    <w:rsid w:val="33F15215"/>
    <w:rsid w:val="38620F4A"/>
    <w:rsid w:val="39072D82"/>
    <w:rsid w:val="3AA307AA"/>
    <w:rsid w:val="3D4A148F"/>
    <w:rsid w:val="3E3C64D5"/>
    <w:rsid w:val="3EBF27E8"/>
    <w:rsid w:val="40490124"/>
    <w:rsid w:val="442D7AA8"/>
    <w:rsid w:val="45FE3475"/>
    <w:rsid w:val="47421B7F"/>
    <w:rsid w:val="4BB26B7D"/>
    <w:rsid w:val="50250266"/>
    <w:rsid w:val="52A01F28"/>
    <w:rsid w:val="53303AC0"/>
    <w:rsid w:val="57A36574"/>
    <w:rsid w:val="58D72375"/>
    <w:rsid w:val="59F74833"/>
    <w:rsid w:val="5DAF6DF6"/>
    <w:rsid w:val="5DD2630F"/>
    <w:rsid w:val="63750765"/>
    <w:rsid w:val="6B1E16E2"/>
    <w:rsid w:val="6FAE5652"/>
    <w:rsid w:val="705A7660"/>
    <w:rsid w:val="724D0AFE"/>
    <w:rsid w:val="72E83474"/>
    <w:rsid w:val="72F62F44"/>
    <w:rsid w:val="78362761"/>
    <w:rsid w:val="79F966D5"/>
    <w:rsid w:val="7BAB5838"/>
    <w:rsid w:val="7DBF4FA6"/>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rPr>
      <w:szCs w:val="20"/>
    </w:rPr>
  </w:style>
  <w:style w:type="paragraph" w:styleId="5">
    <w:name w:val="Body Text"/>
    <w:basedOn w:val="1"/>
    <w:next w:val="6"/>
    <w:autoRedefine/>
    <w:qFormat/>
    <w:uiPriority w:val="0"/>
    <w:pPr>
      <w:spacing w:after="120" w:afterLines="0"/>
    </w:pPr>
  </w:style>
  <w:style w:type="paragraph" w:styleId="6">
    <w:name w:val="Body Text First Indent"/>
    <w:basedOn w:val="5"/>
    <w:autoRedefine/>
    <w:semiHidden/>
    <w:unhideWhenUsed/>
    <w:qFormat/>
    <w:uiPriority w:val="99"/>
    <w:pPr>
      <w:ind w:firstLine="420" w:firstLineChars="100"/>
    </w:pPr>
    <w:rPr>
      <w:rFonts w:asciiTheme="minorHAnsi" w:hAnsiTheme="minorHAnsi" w:eastAsiaTheme="minorEastAsia" w:cstheme="minorBidi"/>
      <w:szCs w:val="22"/>
    </w:rPr>
  </w:style>
  <w:style w:type="paragraph" w:styleId="7">
    <w:name w:val="Body Text Indent"/>
    <w:basedOn w:val="1"/>
    <w:autoRedefine/>
    <w:qFormat/>
    <w:uiPriority w:val="0"/>
    <w:pPr>
      <w:ind w:left="480" w:hanging="480" w:hangingChars="200"/>
    </w:pPr>
    <w:rPr>
      <w:rFonts w:ascii="Times New Roman" w:hAnsi="Times New Roman" w:eastAsia="宋体" w:cs="Times New Roman"/>
      <w:sz w:val="24"/>
      <w:szCs w:val="24"/>
    </w:rPr>
  </w:style>
  <w:style w:type="paragraph" w:styleId="8">
    <w:name w:val="Plain Text"/>
    <w:basedOn w:val="1"/>
    <w:autoRedefine/>
    <w:qFormat/>
    <w:uiPriority w:val="0"/>
    <w:pPr>
      <w:spacing w:beforeLines="50" w:afterLines="50" w:line="400" w:lineRule="exact"/>
    </w:pPr>
    <w:rPr>
      <w:rFonts w:ascii="宋体" w:hAnsi="Courier New"/>
      <w:sz w:val="24"/>
    </w:rPr>
  </w:style>
  <w:style w:type="paragraph" w:styleId="9">
    <w:name w:val="endnote text"/>
    <w:basedOn w:val="1"/>
    <w:autoRedefine/>
    <w:unhideWhenUsed/>
    <w:qFormat/>
    <w:uiPriority w:val="99"/>
    <w:pPr>
      <w:snapToGrid w:val="0"/>
      <w:jc w:val="left"/>
    </w:pPr>
    <w:rPr>
      <w:lang w:val="zh-CN"/>
    </w:rPr>
  </w:style>
  <w:style w:type="paragraph" w:styleId="10">
    <w:name w:val="footer"/>
    <w:basedOn w:val="1"/>
    <w:link w:val="22"/>
    <w:autoRedefine/>
    <w:qFormat/>
    <w:uiPriority w:val="0"/>
    <w:pPr>
      <w:tabs>
        <w:tab w:val="center" w:pos="4153"/>
        <w:tab w:val="right" w:pos="8306"/>
      </w:tabs>
      <w:snapToGrid w:val="0"/>
      <w:jc w:val="left"/>
    </w:pPr>
    <w:rPr>
      <w:sz w:val="18"/>
      <w:szCs w:val="18"/>
    </w:rPr>
  </w:style>
  <w:style w:type="paragraph" w:styleId="11">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rPr>
      <w:sz w:val="24"/>
    </w:rPr>
  </w:style>
  <w:style w:type="paragraph" w:styleId="13">
    <w:name w:val="Body Text First Indent 2"/>
    <w:basedOn w:val="7"/>
    <w:autoRedefine/>
    <w:semiHidden/>
    <w:unhideWhenUsed/>
    <w:qFormat/>
    <w:uiPriority w:val="99"/>
    <w:pPr>
      <w:ind w:firstLine="420" w:firstLineChars="200"/>
    </w:pPr>
  </w:style>
  <w:style w:type="table" w:styleId="15">
    <w:name w:val="Table Grid"/>
    <w:basedOn w:val="14"/>
    <w:autoRedefine/>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18">
    <w:name w:val="BodyText1I"/>
    <w:basedOn w:val="19"/>
    <w:autoRedefine/>
    <w:qFormat/>
    <w:uiPriority w:val="0"/>
    <w:pPr>
      <w:ind w:firstLine="420" w:firstLineChars="100"/>
    </w:pPr>
  </w:style>
  <w:style w:type="paragraph" w:customStyle="1" w:styleId="19">
    <w:name w:val="BodyText"/>
    <w:basedOn w:val="1"/>
    <w:autoRedefine/>
    <w:qFormat/>
    <w:uiPriority w:val="0"/>
    <w:pPr>
      <w:spacing w:after="120"/>
    </w:pPr>
  </w:style>
  <w:style w:type="paragraph" w:customStyle="1" w:styleId="20">
    <w:name w:val="表格文字"/>
    <w:basedOn w:val="1"/>
    <w:next w:val="5"/>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1">
    <w:name w:val="页眉 Char"/>
    <w:basedOn w:val="16"/>
    <w:link w:val="11"/>
    <w:autoRedefine/>
    <w:qFormat/>
    <w:uiPriority w:val="0"/>
    <w:rPr>
      <w:kern w:val="2"/>
      <w:sz w:val="18"/>
      <w:szCs w:val="18"/>
    </w:rPr>
  </w:style>
  <w:style w:type="character" w:customStyle="1" w:styleId="22">
    <w:name w:val="页脚 Char"/>
    <w:basedOn w:val="16"/>
    <w:link w:val="10"/>
    <w:autoRedefine/>
    <w:qFormat/>
    <w:uiPriority w:val="0"/>
    <w:rPr>
      <w:kern w:val="2"/>
      <w:sz w:val="18"/>
      <w:szCs w:val="18"/>
    </w:rPr>
  </w:style>
  <w:style w:type="paragraph" w:styleId="23">
    <w:name w:val="List Paragraph"/>
    <w:basedOn w:val="1"/>
    <w:autoRedefine/>
    <w:qFormat/>
    <w:uiPriority w:val="0"/>
    <w:pPr>
      <w:ind w:firstLine="420" w:firstLineChars="200"/>
    </w:pPr>
    <w:rPr>
      <w:rFonts w:ascii="Calibri" w:hAnsi="Calibri"/>
      <w:szCs w:val="22"/>
    </w:rPr>
  </w:style>
  <w:style w:type="paragraph" w:customStyle="1" w:styleId="24">
    <w:name w:val="列出段落1"/>
    <w:basedOn w:val="1"/>
    <w:autoRedefine/>
    <w:qFormat/>
    <w:uiPriority w:val="0"/>
    <w:pPr>
      <w:widowControl/>
      <w:spacing w:after="160" w:line="360" w:lineRule="auto"/>
      <w:ind w:left="720"/>
      <w:contextualSpacing/>
      <w:jc w:val="left"/>
    </w:pPr>
    <w:rPr>
      <w:szCs w:val="22"/>
    </w:rPr>
  </w:style>
  <w:style w:type="table" w:customStyle="1" w:styleId="25">
    <w:name w:val="网格型1"/>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
    <w:name w:val="U_正文2"/>
    <w:basedOn w:val="1"/>
    <w:autoRedefine/>
    <w:qFormat/>
    <w:uiPriority w:val="0"/>
    <w:pPr>
      <w:spacing w:beforeLines="10" w:afterLines="10" w:line="300" w:lineRule="auto"/>
    </w:pPr>
    <w:rPr>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5730</Words>
  <Characters>5891</Characters>
  <Lines>17</Lines>
  <Paragraphs>4</Paragraphs>
  <TotalTime>5</TotalTime>
  <ScaleCrop>false</ScaleCrop>
  <LinksUpToDate>false</LinksUpToDate>
  <CharactersWithSpaces>5954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李侃</cp:lastModifiedBy>
  <dcterms:modified xsi:type="dcterms:W3CDTF">2024-08-26T03:05:49Z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BDC350B777C44DFDACB8FBB696258D1E</vt:lpwstr>
  </property>
</Properties>
</file>