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numPr>
          <w:ilvl w:val="0"/>
          <w:numId w:val="1"/>
        </w:numPr>
        <w:spacing w:line="360" w:lineRule="auto"/>
        <w:rPr>
          <w:rFonts w:hint="eastAsia" w:ascii="宋体" w:hAnsi="宋体" w:eastAsia="宋体" w:cs="宋体"/>
          <w:b/>
          <w:bCs/>
          <w:sz w:val="24"/>
          <w:lang w:val="en-US" w:eastAsia="zh-CN"/>
        </w:rPr>
      </w:pPr>
      <w:r>
        <w:rPr>
          <w:rFonts w:hint="eastAsia" w:ascii="宋体" w:hAnsi="宋体" w:eastAsia="宋体" w:cs="宋体"/>
          <w:b/>
          <w:bCs/>
          <w:sz w:val="24"/>
        </w:rPr>
        <w:t>项目名称：</w:t>
      </w:r>
      <w:r>
        <w:rPr>
          <w:rFonts w:hint="eastAsia" w:ascii="宋体" w:hAnsi="宋体" w:eastAsia="宋体" w:cs="宋体"/>
          <w:b/>
          <w:bCs/>
          <w:sz w:val="24"/>
          <w:lang w:val="en-US" w:eastAsia="zh-CN"/>
        </w:rPr>
        <w:t>一批柜子采购</w:t>
      </w: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二、预算金额：21000元</w:t>
      </w:r>
    </w:p>
    <w:p>
      <w:pPr>
        <w:pStyle w:val="2"/>
        <w:spacing w:line="360" w:lineRule="auto"/>
        <w:ind w:firstLine="0" w:firstLineChars="0"/>
        <w:rPr>
          <w:rFonts w:hint="eastAsia" w:ascii="宋体" w:hAnsi="宋体" w:eastAsia="宋体" w:cs="宋体"/>
          <w:b/>
          <w:bCs/>
          <w:u w:val="single"/>
        </w:rPr>
      </w:pPr>
      <w:r>
        <w:rPr>
          <w:rFonts w:hint="eastAsia" w:ascii="宋体" w:hAnsi="宋体" w:eastAsia="宋体" w:cs="宋体"/>
          <w:sz w:val="24"/>
          <w:u w:val="single"/>
          <w:lang w:val="en-US" w:eastAsia="zh-CN"/>
        </w:rPr>
        <w:t>▲</w:t>
      </w:r>
      <w:r>
        <w:rPr>
          <w:rFonts w:hint="eastAsia" w:ascii="宋体" w:hAnsi="宋体" w:eastAsia="宋体" w:cs="宋体"/>
          <w:b/>
          <w:bCs/>
          <w:sz w:val="24"/>
          <w:u w:val="single"/>
          <w:lang w:val="en-US" w:eastAsia="zh-CN"/>
        </w:rPr>
        <w:t>三</w:t>
      </w:r>
      <w:r>
        <w:rPr>
          <w:rFonts w:hint="eastAsia" w:ascii="宋体" w:hAnsi="宋体" w:eastAsia="宋体" w:cs="宋体"/>
          <w:b/>
          <w:bCs/>
          <w:sz w:val="24"/>
          <w:u w:val="single"/>
        </w:rPr>
        <w:t>、项目概况及要求</w:t>
      </w:r>
      <w:r>
        <w:rPr>
          <w:rFonts w:hint="eastAsia" w:ascii="宋体" w:hAnsi="宋体" w:eastAsia="宋体" w:cs="宋体"/>
          <w:b/>
          <w:bCs/>
          <w:u w:val="single"/>
        </w:rPr>
        <w:t>：</w:t>
      </w:r>
    </w:p>
    <w:tbl>
      <w:tblPr>
        <w:tblStyle w:val="7"/>
        <w:tblW w:w="15765"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155"/>
        <w:gridCol w:w="1794"/>
        <w:gridCol w:w="930"/>
        <w:gridCol w:w="831"/>
        <w:gridCol w:w="5340"/>
        <w:gridCol w:w="357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规格</w:t>
            </w:r>
          </w:p>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（长*宽*高mm）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具体要求</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参考图片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最高限价（元/套）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定制柜1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600*400*1700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1"/>
                <w:szCs w:val="21"/>
                <w:u w:val="none"/>
              </w:rPr>
              <w:t>1、</w:t>
            </w:r>
            <w:r>
              <w:rPr>
                <w:rFonts w:hint="eastAsia" w:ascii="宋体" w:hAnsi="宋体" w:eastAsia="宋体" w:cs="宋体"/>
                <w:i w:val="0"/>
                <w:iCs w:val="0"/>
                <w:color w:val="000000"/>
                <w:sz w:val="18"/>
                <w:szCs w:val="18"/>
                <w:u w:val="none"/>
              </w:rPr>
              <w:t>基材：采用E1级实木颗粒板，桌面板材厚度≥25-16mm，包括背板，具有防撞击、抗高温、不易划伤的特性，采用同色PVC封边条封边。</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rPr>
              <w:t>、封边：采用PVC封边胶条，封边条厚度≥2.0mm同色封边，质量符合QB/T4463-2013《家具用封边条技术要求》标准，耐开裂性（耐龟裂性）≥1级；耐老化：无开裂；甲醛释放量未检出。</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rPr>
              <w:t>五金件：优质五金拉手配件，带阻尼合页</w:t>
            </w:r>
            <w:r>
              <w:rPr>
                <w:rFonts w:hint="eastAsia" w:ascii="宋体" w:hAnsi="宋体" w:eastAsia="宋体" w:cs="宋体"/>
                <w:i w:val="0"/>
                <w:iCs w:val="0"/>
                <w:color w:val="000000"/>
                <w:sz w:val="18"/>
                <w:szCs w:val="18"/>
                <w:u w:val="none"/>
                <w:lang w:eastAsia="zh-CN"/>
              </w:rPr>
              <w:t>。</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bdr w:val="single" w:color="000000" w:sz="4" w:space="0"/>
                <w:lang w:val="en-US" w:eastAsia="zh-CN" w:bidi="ar"/>
              </w:rPr>
            </w:pPr>
            <w:r>
              <w:drawing>
                <wp:inline distT="0" distB="0" distL="114300" distR="114300">
                  <wp:extent cx="1639570" cy="2434590"/>
                  <wp:effectExtent l="0" t="0" r="177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39570" cy="2434590"/>
                          </a:xfrm>
                          <a:prstGeom prst="rect">
                            <a:avLst/>
                          </a:prstGeom>
                          <a:noFill/>
                          <a:ln>
                            <a:noFill/>
                          </a:ln>
                        </pic:spPr>
                      </pic:pic>
                    </a:graphicData>
                  </a:graphic>
                </wp:inline>
              </w:drawing>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eastAsiaTheme="minorEastAsia"/>
                <w:lang w:val="en-US" w:eastAsia="zh-CN"/>
              </w:rPr>
            </w:pPr>
            <w:r>
              <w:rPr>
                <w:rFonts w:hint="eastAsia"/>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定制柜2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3300*500*2700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1"/>
                <w:szCs w:val="21"/>
                <w:u w:val="none"/>
              </w:rPr>
              <w:t>1</w:t>
            </w:r>
            <w:r>
              <w:rPr>
                <w:rFonts w:hint="eastAsia" w:ascii="宋体" w:hAnsi="宋体" w:eastAsia="宋体" w:cs="宋体"/>
                <w:i w:val="0"/>
                <w:iCs w:val="0"/>
                <w:color w:val="000000"/>
                <w:sz w:val="18"/>
                <w:szCs w:val="18"/>
                <w:u w:val="none"/>
              </w:rPr>
              <w:t>、基材：采用E1级实木颗粒板，桌面板材厚度≥25-16mm，包括背板，具有防撞击、抗高温、不易划伤的特性，采用同色PVC封边条封边。</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rPr>
              <w:t>、封边：采用PVC封边胶条，封边条厚度≥2.0mm同色封边，质量符合QB/T4463-2013《家具用封边条技术要求》标准，耐开裂性（耐龟裂性）≥1级；耐老化：无开裂；甲醛释放量未检出。</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rPr>
              <w:t>五金件：优质五金拉手配件，带阻尼合页</w:t>
            </w:r>
            <w:r>
              <w:rPr>
                <w:rFonts w:hint="eastAsia" w:ascii="宋体" w:hAnsi="宋体" w:eastAsia="宋体" w:cs="宋体"/>
                <w:i w:val="0"/>
                <w:iCs w:val="0"/>
                <w:color w:val="000000"/>
                <w:sz w:val="18"/>
                <w:szCs w:val="18"/>
                <w:u w:val="none"/>
                <w:lang w:eastAsia="zh-CN"/>
              </w:rPr>
              <w:t>。</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drawing>
                <wp:inline distT="0" distB="0" distL="114300" distR="114300">
                  <wp:extent cx="2144395" cy="2077720"/>
                  <wp:effectExtent l="0" t="0" r="8255"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144395" cy="2077720"/>
                          </a:xfrm>
                          <a:prstGeom prst="rect">
                            <a:avLst/>
                          </a:prstGeom>
                          <a:noFill/>
                          <a:ln>
                            <a:noFill/>
                          </a:ln>
                        </pic:spPr>
                      </pic:pic>
                    </a:graphicData>
                  </a:graphic>
                </wp:inline>
              </w:drawing>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eastAsiaTheme="minorEastAsia"/>
                <w:lang w:val="en-US" w:eastAsia="zh-CN"/>
              </w:rPr>
            </w:pPr>
            <w:r>
              <w:rPr>
                <w:rFonts w:hint="eastAsia"/>
                <w:lang w:val="en-US" w:eastAsia="zh-CN"/>
              </w:rPr>
              <w:t>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定制柜3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3500*500*2780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1、基材：采用E1级实木颗粒板，桌面板材厚度≥25-16mm，包括背板，具有防撞击、抗高温、不易划伤的特性，采用同色PVC封边条封边。</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rPr>
              <w:t>、封边：采用PVC封边胶条，封边条厚度≥2.0mm同色封边，质量符合QB/T4463-2013《家具用封边条技术要求》标准，耐开裂性（耐龟裂性）≥1级；耐老化：无开裂；甲醛释放量未检出。</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rPr>
              <w:t>五金件：优质五金拉手配件，带阻尼合页</w:t>
            </w:r>
            <w:r>
              <w:rPr>
                <w:rFonts w:hint="eastAsia" w:ascii="宋体" w:hAnsi="宋体" w:eastAsia="宋体" w:cs="宋体"/>
                <w:i w:val="0"/>
                <w:iCs w:val="0"/>
                <w:color w:val="000000"/>
                <w:sz w:val="18"/>
                <w:szCs w:val="18"/>
                <w:u w:val="none"/>
                <w:lang w:eastAsia="zh-CN"/>
              </w:rPr>
              <w:t>。</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drawing>
                <wp:inline distT="0" distB="0" distL="114300" distR="114300">
                  <wp:extent cx="2068830" cy="1914525"/>
                  <wp:effectExtent l="0" t="0" r="762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068830" cy="1914525"/>
                          </a:xfrm>
                          <a:prstGeom prst="rect">
                            <a:avLst/>
                          </a:prstGeom>
                          <a:noFill/>
                          <a:ln>
                            <a:noFill/>
                          </a:ln>
                        </pic:spPr>
                      </pic:pic>
                    </a:graphicData>
                  </a:graphic>
                </wp:inline>
              </w:drawing>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eastAsiaTheme="minorEastAsia"/>
                <w:lang w:val="en-US" w:eastAsia="zh-CN"/>
              </w:rPr>
            </w:pPr>
            <w:r>
              <w:rPr>
                <w:rFonts w:hint="eastAsia"/>
                <w:lang w:val="en-US" w:eastAsia="zh-CN"/>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定制柜4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1200*400*900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1、基材：采用E1级实木颗粒板，桌面板材厚度≥25-16mm，包括背板，具有防撞击、抗高温、不易划伤的特性，采用同色PVC封边条封边。</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rPr>
              <w:t>、封边：采用PVC封边胶条，封边条厚度≥2.0mm同色封边，质量符合QB/T4463-2013《家具用封边条技术要求》标准，耐开裂性（耐龟裂性）≥1级；耐老化：无开裂；甲醛释放量未检出。</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rPr>
              <w:t>五金件：优质五金拉手配件，带阻尼合页</w:t>
            </w:r>
            <w:r>
              <w:rPr>
                <w:rFonts w:hint="eastAsia" w:ascii="宋体" w:hAnsi="宋体" w:eastAsia="宋体" w:cs="宋体"/>
                <w:i w:val="0"/>
                <w:iCs w:val="0"/>
                <w:color w:val="000000"/>
                <w:sz w:val="18"/>
                <w:szCs w:val="18"/>
                <w:u w:val="none"/>
                <w:lang w:eastAsia="zh-CN"/>
              </w:rPr>
              <w:t>。</w:t>
            </w:r>
          </w:p>
          <w:p>
            <w:pPr>
              <w:pStyle w:val="2"/>
              <w:spacing w:line="360" w:lineRule="auto"/>
              <w:ind w:left="0" w:leftChars="0" w:firstLine="0" w:firstLineChars="0"/>
              <w:rPr>
                <w:rFonts w:hint="default"/>
                <w:lang w:val="en-US"/>
              </w:rPr>
            </w:pPr>
            <w:r>
              <w:rPr>
                <w:rFonts w:hint="eastAsia" w:ascii="宋体" w:hAnsi="宋体" w:eastAsia="宋体" w:cs="宋体"/>
                <w:i w:val="0"/>
                <w:iCs w:val="0"/>
                <w:color w:val="000000"/>
                <w:sz w:val="18"/>
                <w:szCs w:val="18"/>
                <w:u w:val="none"/>
                <w:lang w:val="en-US" w:eastAsia="zh-CN"/>
              </w:rPr>
              <w:t>4、石英石台面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drawing>
                <wp:inline distT="0" distB="0" distL="114300" distR="114300">
                  <wp:extent cx="2045335" cy="1781175"/>
                  <wp:effectExtent l="0" t="0" r="12065"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2045335" cy="1781175"/>
                          </a:xfrm>
                          <a:prstGeom prst="rect">
                            <a:avLst/>
                          </a:prstGeom>
                          <a:noFill/>
                          <a:ln>
                            <a:noFill/>
                          </a:ln>
                        </pic:spPr>
                      </pic:pic>
                    </a:graphicData>
                  </a:graphic>
                </wp:inline>
              </w:drawing>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lang w:val="en-US" w:eastAsia="zh-CN"/>
              </w:rPr>
            </w:pPr>
            <w:r>
              <w:rPr>
                <w:rFonts w:hint="eastAsia"/>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定制柜5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920*400*800+</w:t>
            </w:r>
          </w:p>
          <w:p>
            <w:pPr>
              <w:pStyle w:val="2"/>
              <w:ind w:left="0" w:leftChars="0" w:firstLine="0" w:firstLineChars="0"/>
              <w:rPr>
                <w:rFonts w:hint="default"/>
                <w:lang w:val="en-US" w:eastAsia="zh-CN"/>
              </w:rPr>
            </w:pPr>
            <w:r>
              <w:rPr>
                <w:rFonts w:hint="eastAsia" w:ascii="宋体" w:hAnsi="宋体" w:eastAsia="宋体" w:cs="宋体"/>
                <w:i w:val="0"/>
                <w:iCs w:val="0"/>
                <w:color w:val="000000"/>
                <w:kern w:val="0"/>
                <w:sz w:val="24"/>
                <w:szCs w:val="24"/>
                <w:u w:val="none"/>
                <w:lang w:val="en-US" w:eastAsia="zh-CN" w:bidi="ar"/>
              </w:rPr>
              <w:t>920*200*1600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1"/>
                <w:szCs w:val="21"/>
                <w:u w:val="none"/>
              </w:rPr>
              <w:t>1</w:t>
            </w:r>
            <w:r>
              <w:rPr>
                <w:rFonts w:hint="eastAsia" w:ascii="宋体" w:hAnsi="宋体" w:eastAsia="宋体" w:cs="宋体"/>
                <w:i w:val="0"/>
                <w:iCs w:val="0"/>
                <w:color w:val="000000"/>
                <w:sz w:val="18"/>
                <w:szCs w:val="18"/>
                <w:u w:val="none"/>
              </w:rPr>
              <w:t>、基材：采用E1级实木颗粒板，桌面板材厚度≥25-16mm，包括背板，具有防撞击、抗高温、不易划伤的特性，采用同色PVC封边条封边。</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rPr>
              <w:t>、封边：采用PVC封边胶条，封边条厚度≥2.0mm同色封边，质量符合QB/T4463-2013《家具用封边条技术要求》标准，耐开裂性（耐龟裂性）≥1级；耐老化：无开裂；甲醛释放量未检出。</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rPr>
              <w:t>五金件：优质五金拉手配件，带阻尼合页</w:t>
            </w:r>
            <w:r>
              <w:rPr>
                <w:rFonts w:hint="eastAsia" w:ascii="宋体" w:hAnsi="宋体" w:eastAsia="宋体" w:cs="宋体"/>
                <w:i w:val="0"/>
                <w:iCs w:val="0"/>
                <w:color w:val="000000"/>
                <w:sz w:val="18"/>
                <w:szCs w:val="18"/>
                <w:u w:val="none"/>
                <w:lang w:eastAsia="zh-CN"/>
              </w:rPr>
              <w:t>。</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drawing>
                <wp:inline distT="0" distB="0" distL="114300" distR="114300">
                  <wp:extent cx="1356360" cy="2192655"/>
                  <wp:effectExtent l="0" t="0" r="15240" b="1714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1356360" cy="2192655"/>
                          </a:xfrm>
                          <a:prstGeom prst="rect">
                            <a:avLst/>
                          </a:prstGeom>
                          <a:noFill/>
                          <a:ln>
                            <a:noFill/>
                          </a:ln>
                        </pic:spPr>
                      </pic:pic>
                    </a:graphicData>
                  </a:graphic>
                </wp:inline>
              </w:drawing>
            </w:r>
            <w:bookmarkStart w:id="0" w:name="_GoBack"/>
            <w:bookmarkEnd w:id="0"/>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lang w:val="en-US" w:eastAsia="zh-CN"/>
              </w:rPr>
            </w:pPr>
            <w:r>
              <w:rPr>
                <w:rFonts w:hint="eastAsia"/>
                <w:lang w:val="en-US" w:eastAsia="zh-CN"/>
              </w:rPr>
              <w:t>1600</w:t>
            </w:r>
          </w:p>
        </w:tc>
      </w:tr>
    </w:tbl>
    <w:p>
      <w:pPr>
        <w:pStyle w:val="2"/>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sz w:val="24"/>
          <w:lang w:val="en-US" w:eastAsia="zh-CN"/>
        </w:rPr>
        <w:t>注：</w:t>
      </w:r>
      <w:r>
        <w:rPr>
          <w:rFonts w:hint="eastAsia" w:ascii="宋体" w:hAnsi="宋体" w:eastAsia="宋体" w:cs="宋体"/>
          <w:b/>
          <w:bCs/>
          <w:sz w:val="24"/>
          <w:lang w:val="en-US" w:eastAsia="zh-CN"/>
        </w:rPr>
        <w:t>1、以上各产品规格尺寸仅做参考，具体以现场实际测量为准。</w:t>
      </w:r>
    </w:p>
    <w:p>
      <w:pPr>
        <w:pStyle w:val="2"/>
        <w:spacing w:line="360" w:lineRule="auto"/>
        <w:ind w:firstLine="0" w:firstLineChars="0"/>
        <w:rPr>
          <w:rFonts w:hint="default" w:ascii="宋体" w:hAnsi="宋体" w:eastAsia="宋体" w:cs="宋体"/>
          <w:sz w:val="24"/>
          <w:u w:val="single"/>
          <w:lang w:val="en-US" w:eastAsia="zh-CN"/>
        </w:rPr>
      </w:pPr>
      <w:r>
        <w:rPr>
          <w:rFonts w:hint="eastAsia" w:ascii="宋体" w:hAnsi="宋体" w:eastAsia="宋体" w:cs="宋体"/>
          <w:sz w:val="24"/>
          <w:lang w:val="en-US" w:eastAsia="zh-CN"/>
        </w:rPr>
        <w:t xml:space="preserve">    </w:t>
      </w:r>
      <w:r>
        <w:rPr>
          <w:rFonts w:hint="eastAsia" w:ascii="宋体" w:hAnsi="宋体" w:eastAsia="宋体" w:cs="宋体"/>
          <w:b/>
          <w:bCs/>
          <w:sz w:val="24"/>
          <w:u w:val="none"/>
          <w:lang w:val="en-US" w:eastAsia="zh-CN"/>
        </w:rPr>
        <w:t>2、投标人超过预算金额的投标报价将作无效标处理。</w:t>
      </w:r>
    </w:p>
    <w:p>
      <w:pPr>
        <w:pStyle w:val="2"/>
        <w:numPr>
          <w:ilvl w:val="0"/>
          <w:numId w:val="0"/>
        </w:numPr>
        <w:spacing w:line="360" w:lineRule="auto"/>
        <w:rPr>
          <w:rFonts w:hint="eastAsia" w:ascii="宋体" w:hAnsi="宋体" w:eastAsia="宋体" w:cs="宋体"/>
          <w:b/>
          <w:bCs/>
          <w:sz w:val="24"/>
          <w:u w:val="single"/>
          <w:lang w:val="en-US" w:eastAsia="zh-CN"/>
        </w:rPr>
      </w:pPr>
      <w:r>
        <w:rPr>
          <w:rFonts w:hint="eastAsia" w:ascii="宋体" w:hAnsi="宋体" w:eastAsia="宋体" w:cs="宋体"/>
          <w:sz w:val="24"/>
          <w:u w:val="single"/>
          <w:lang w:val="en-US" w:eastAsia="zh-CN"/>
        </w:rPr>
        <w:t>▲</w:t>
      </w:r>
      <w:r>
        <w:rPr>
          <w:rFonts w:hint="eastAsia" w:ascii="宋体" w:hAnsi="宋体" w:eastAsia="宋体" w:cs="宋体"/>
          <w:b/>
          <w:bCs/>
          <w:sz w:val="24"/>
          <w:u w:val="single"/>
          <w:lang w:val="en-US" w:eastAsia="zh-CN"/>
        </w:rPr>
        <w:t>四、付款方式：</w:t>
      </w:r>
    </w:p>
    <w:p>
      <w:pPr>
        <w:pStyle w:val="2"/>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ascii="宋体" w:hAnsi="宋体" w:eastAsia="宋体" w:cs="宋体"/>
          <w:b/>
          <w:bCs/>
          <w:sz w:val="24"/>
          <w:u w:val="single"/>
          <w:lang w:val="en-US" w:eastAsia="zh-CN"/>
        </w:rPr>
        <w:t>9</w:t>
      </w:r>
      <w:r>
        <w:rPr>
          <w:rFonts w:hint="default" w:ascii="宋体" w:hAnsi="宋体" w:eastAsia="宋体" w:cs="宋体"/>
          <w:b/>
          <w:bCs/>
          <w:sz w:val="24"/>
          <w:u w:val="single"/>
          <w:lang w:val="en-US" w:eastAsia="zh-CN"/>
        </w:rPr>
        <w:t>0天</w:t>
      </w:r>
      <w:r>
        <w:rPr>
          <w:rFonts w:hint="eastAsia" w:ascii="宋体" w:hAnsi="宋体" w:eastAsia="宋体" w:cs="宋体"/>
          <w:b/>
          <w:bCs/>
          <w:sz w:val="24"/>
          <w:u w:val="single"/>
          <w:lang w:val="en-US" w:eastAsia="zh-CN"/>
        </w:rPr>
        <w:t xml:space="preserve"> </w:t>
      </w:r>
      <w:r>
        <w:rPr>
          <w:rFonts w:hint="default" w:ascii="宋体" w:hAnsi="宋体" w:eastAsia="宋体" w:cs="宋体"/>
          <w:sz w:val="24"/>
          <w:lang w:val="en-US" w:eastAsia="zh-CN"/>
        </w:rPr>
        <w:t>内向乙方支付全部合同价款。</w:t>
      </w:r>
    </w:p>
    <w:p>
      <w:pPr>
        <w:pStyle w:val="2"/>
        <w:numPr>
          <w:ilvl w:val="0"/>
          <w:numId w:val="0"/>
        </w:numPr>
        <w:spacing w:line="360" w:lineRule="auto"/>
        <w:ind w:firstLine="480" w:firstLineChars="200"/>
        <w:rPr>
          <w:rFonts w:hint="default" w:ascii="宋体" w:hAnsi="宋体" w:eastAsia="宋体" w:cs="宋体"/>
          <w:sz w:val="24"/>
          <w:lang w:val="en-US" w:eastAsia="zh-CN"/>
        </w:rPr>
      </w:pPr>
    </w:p>
    <w:p>
      <w:pPr>
        <w:pStyle w:val="2"/>
        <w:numPr>
          <w:ilvl w:val="0"/>
          <w:numId w:val="0"/>
        </w:numPr>
        <w:spacing w:line="360" w:lineRule="auto"/>
        <w:ind w:leftChars="0"/>
        <w:rPr>
          <w:rFonts w:hint="eastAsia" w:ascii="宋体" w:hAnsi="宋体" w:eastAsia="宋体" w:cs="宋体"/>
          <w:b/>
          <w:bCs/>
          <w:sz w:val="24"/>
          <w:u w:val="single"/>
          <w:lang w:val="en-US" w:eastAsia="zh-CN"/>
        </w:rPr>
      </w:pPr>
      <w:r>
        <w:rPr>
          <w:rFonts w:hint="eastAsia" w:ascii="宋体" w:hAnsi="宋体" w:eastAsia="宋体" w:cs="宋体"/>
          <w:sz w:val="24"/>
          <w:u w:val="single"/>
          <w:lang w:val="en-US" w:eastAsia="zh-CN"/>
        </w:rPr>
        <w:t>▲</w:t>
      </w:r>
      <w:r>
        <w:rPr>
          <w:rFonts w:hint="eastAsia" w:ascii="宋体" w:hAnsi="宋体" w:eastAsia="宋体" w:cs="宋体"/>
          <w:b/>
          <w:bCs/>
          <w:sz w:val="24"/>
          <w:u w:val="single"/>
          <w:lang w:val="en-US" w:eastAsia="zh-CN"/>
        </w:rPr>
        <w:t>五、货物质量保证和标准</w:t>
      </w:r>
    </w:p>
    <w:p>
      <w:pPr>
        <w:pStyle w:val="2"/>
        <w:numPr>
          <w:ilvl w:val="0"/>
          <w:numId w:val="0"/>
        </w:numPr>
        <w:spacing w:line="360" w:lineRule="auto"/>
        <w:ind w:firstLine="480" w:firstLineChars="200"/>
        <w:rPr>
          <w:rFonts w:hint="eastAsia" w:ascii="宋体" w:hAnsi="宋体" w:eastAsia="宋体" w:cs="宋体"/>
          <w:b w:val="0"/>
          <w:bCs w:val="0"/>
          <w:sz w:val="24"/>
          <w:u w:val="single"/>
          <w:lang w:val="en-US" w:eastAsia="zh-CN"/>
        </w:rPr>
      </w:pPr>
      <w:r>
        <w:rPr>
          <w:rFonts w:hint="eastAsia" w:ascii="宋体" w:hAnsi="宋体" w:eastAsia="宋体" w:cs="宋体"/>
          <w:b w:val="0"/>
          <w:bCs w:val="0"/>
          <w:sz w:val="24"/>
          <w:u w:val="single"/>
          <w:lang w:val="en-US" w:eastAsia="zh-CN"/>
        </w:rPr>
        <w:t xml:space="preserve">1、本项目所有产品应提供自货物验收合格并交付使用后 </w:t>
      </w:r>
      <w:r>
        <w:rPr>
          <w:rFonts w:hint="eastAsia" w:ascii="宋体" w:hAnsi="宋体" w:eastAsia="宋体" w:cs="宋体"/>
          <w:b/>
          <w:bCs/>
          <w:sz w:val="24"/>
          <w:u w:val="single"/>
          <w:lang w:val="en-US" w:eastAsia="zh-CN"/>
        </w:rPr>
        <w:t xml:space="preserve">至少 3年 </w:t>
      </w:r>
      <w:r>
        <w:rPr>
          <w:rFonts w:hint="eastAsia" w:ascii="宋体" w:hAnsi="宋体" w:eastAsia="宋体" w:cs="宋体"/>
          <w:b w:val="0"/>
          <w:bCs w:val="0"/>
          <w:sz w:val="24"/>
          <w:u w:val="single"/>
          <w:lang w:val="en-US" w:eastAsia="zh-CN"/>
        </w:rPr>
        <w:t>的现场免费质保期，如厂商本身承诺的产品质保期高于此要求的则按照厂商承诺执行。在质量保证期内，卖方对由于产品设计、工艺、材料、配套件的缺陷而造成的任何产品质量问题或故障负责。</w:t>
      </w:r>
    </w:p>
    <w:p>
      <w:pPr>
        <w:pStyle w:val="2"/>
        <w:numPr>
          <w:ilvl w:val="0"/>
          <w:numId w:val="0"/>
        </w:numPr>
        <w:spacing w:line="360" w:lineRule="auto"/>
        <w:ind w:leftChars="0"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2、货物的设计、制造、质量验收标准应符合国家（或国际）最新颁布的有关标准/规范要求或相应的国际标准。</w:t>
      </w:r>
    </w:p>
    <w:p>
      <w:pPr>
        <w:pStyle w:val="2"/>
        <w:numPr>
          <w:ilvl w:val="0"/>
          <w:numId w:val="0"/>
        </w:numPr>
        <w:spacing w:line="360" w:lineRule="auto"/>
        <w:ind w:leftChars="0"/>
        <w:rPr>
          <w:rFonts w:hint="eastAsia" w:ascii="宋体" w:hAnsi="宋体" w:eastAsia="宋体" w:cs="宋体"/>
          <w:b w:val="0"/>
          <w:bCs w:val="0"/>
          <w:sz w:val="24"/>
          <w:lang w:val="en-US" w:eastAsia="zh-CN"/>
        </w:rPr>
      </w:pPr>
    </w:p>
    <w:p>
      <w:pPr>
        <w:pStyle w:val="2"/>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1、所供应的货物是最新生产的符合国家技术规格和质量标准的出厂原装合格产品。</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2"/>
        <w:numPr>
          <w:ilvl w:val="0"/>
          <w:numId w:val="0"/>
        </w:numPr>
        <w:spacing w:line="360" w:lineRule="auto"/>
        <w:rPr>
          <w:rFonts w:hint="eastAsia"/>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货物的到货、安装、调试和验收</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2"/>
        <w:numPr>
          <w:ilvl w:val="0"/>
          <w:numId w:val="0"/>
        </w:numPr>
        <w:spacing w:line="360" w:lineRule="auto"/>
        <w:ind w:firstLine="480" w:firstLineChars="200"/>
        <w:rPr>
          <w:rFonts w:hint="default"/>
          <w:sz w:val="24"/>
          <w:szCs w:val="24"/>
          <w:lang w:val="en-US" w:eastAsia="zh-CN"/>
        </w:rPr>
      </w:pPr>
      <w:r>
        <w:rPr>
          <w:rFonts w:hint="eastAsia" w:ascii="宋体" w:hAnsi="宋体" w:eastAsia="宋体" w:cs="宋体"/>
          <w:sz w:val="24"/>
          <w:u w:val="single"/>
          <w:lang w:val="en-US" w:eastAsia="zh-CN"/>
        </w:rPr>
        <w:t>▲</w:t>
      </w:r>
      <w:r>
        <w:rPr>
          <w:rFonts w:hint="default"/>
          <w:b/>
          <w:bCs/>
          <w:sz w:val="24"/>
          <w:szCs w:val="24"/>
          <w:u w:val="single"/>
          <w:lang w:val="en-US" w:eastAsia="zh-CN"/>
        </w:rPr>
        <w:t>卖方必须在</w:t>
      </w:r>
      <w:r>
        <w:rPr>
          <w:rFonts w:hint="eastAsia"/>
          <w:b/>
          <w:bCs/>
          <w:sz w:val="24"/>
          <w:szCs w:val="24"/>
          <w:u w:val="single"/>
          <w:lang w:val="en-US" w:eastAsia="zh-CN"/>
        </w:rPr>
        <w:t>中标之日起20个工作日内</w:t>
      </w:r>
      <w:r>
        <w:rPr>
          <w:rFonts w:hint="default"/>
          <w:b/>
          <w:bCs/>
          <w:sz w:val="24"/>
          <w:szCs w:val="24"/>
          <w:u w:val="single"/>
          <w:lang w:val="en-US" w:eastAsia="zh-CN"/>
        </w:rPr>
        <w:t>完成货物的供货</w:t>
      </w:r>
      <w:r>
        <w:rPr>
          <w:rFonts w:hint="default"/>
          <w:sz w:val="24"/>
          <w:szCs w:val="24"/>
          <w:lang w:val="en-US" w:eastAsia="zh-CN"/>
        </w:rPr>
        <w:t>。货物到达现场后，卖方必须派员到现场与买方一起开箱并按供货清单验收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安装</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2.1</w:t>
      </w:r>
      <w:r>
        <w:rPr>
          <w:rFonts w:hint="eastAsia"/>
          <w:sz w:val="24"/>
          <w:szCs w:val="24"/>
          <w:lang w:val="en-US" w:eastAsia="zh-CN"/>
        </w:rPr>
        <w:t xml:space="preserve">  </w:t>
      </w:r>
      <w:r>
        <w:rPr>
          <w:rFonts w:hint="default"/>
          <w:sz w:val="24"/>
          <w:szCs w:val="24"/>
          <w:lang w:val="en-US" w:eastAsia="zh-CN"/>
        </w:rPr>
        <w:t>货物到达买方指定地点后，卖方应按买方规定的日期指派工程技术人员对货物进行安装调试，直至通过验收。货物的安装调试及现场培训应在合同规定的期限内完成。</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2.2  设备的安装必须符合有关标准和规范。安装过程中买方将对货物的安装质量进行监督。</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调试</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验收</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若因卖方产品质量或安装技术问题导致货物二次验收都不合格，买方有权选择退货，并保留向卖方索赔的权利。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卖方在货物到货、安装、调试和验收期间应接受买方的协调和管理，卖方应采取严格的防范措施，承担由于自身原因所造成的事故责任及其发生的一切费用。</w:t>
      </w:r>
    </w:p>
    <w:p>
      <w:pPr>
        <w:pStyle w:val="2"/>
        <w:numPr>
          <w:ilvl w:val="0"/>
          <w:numId w:val="0"/>
        </w:numPr>
        <w:spacing w:line="360" w:lineRule="auto"/>
        <w:rPr>
          <w:rFonts w:hint="default"/>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技术服务和人员培训</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合同规定的期限内，卖方应派遣有经验的工程技术人员在安装调试现场对买方指派人员进行操作和保养培训，使其能独立操作、维护、</w:t>
      </w:r>
      <w:r>
        <w:rPr>
          <w:rFonts w:hint="eastAsia"/>
          <w:sz w:val="24"/>
          <w:szCs w:val="24"/>
          <w:lang w:val="en-US" w:eastAsia="zh-CN"/>
        </w:rPr>
        <w:t>保</w:t>
      </w:r>
      <w:r>
        <w:rPr>
          <w:rFonts w:hint="default"/>
          <w:sz w:val="24"/>
          <w:szCs w:val="24"/>
          <w:lang w:val="en-US" w:eastAsia="zh-CN"/>
        </w:rPr>
        <w:t>养。培训计划方案（培训人数、时间、地点、教材、费用）应在投标文件中详细说明。其费用可单独报价，计入总价，如免费培训需在投标文件中作出说明。</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质保期满后，卖方工程技术、维修人员也须不定期的进行回访，并为买方提供优质、优价的终身维修和产品维护保养。</w:t>
      </w:r>
    </w:p>
    <w:sectPr>
      <w:pgSz w:w="16838" w:h="11906" w:orient="landscape"/>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DC3E80"/>
    <w:multiLevelType w:val="singleLevel"/>
    <w:tmpl w:val="3CDC3E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2386A93"/>
    <w:rsid w:val="04684506"/>
    <w:rsid w:val="04A46A0A"/>
    <w:rsid w:val="06043E9E"/>
    <w:rsid w:val="066606B5"/>
    <w:rsid w:val="06E15E3C"/>
    <w:rsid w:val="0C01678A"/>
    <w:rsid w:val="0C300A04"/>
    <w:rsid w:val="10352EA6"/>
    <w:rsid w:val="10C71F5A"/>
    <w:rsid w:val="162F62BA"/>
    <w:rsid w:val="1D3C515C"/>
    <w:rsid w:val="226E2973"/>
    <w:rsid w:val="229D2E28"/>
    <w:rsid w:val="25D373E2"/>
    <w:rsid w:val="291122AA"/>
    <w:rsid w:val="2B8B6847"/>
    <w:rsid w:val="2C77430D"/>
    <w:rsid w:val="2EBF307B"/>
    <w:rsid w:val="321B0A6F"/>
    <w:rsid w:val="3252214B"/>
    <w:rsid w:val="37B235FD"/>
    <w:rsid w:val="38A82EBF"/>
    <w:rsid w:val="462A298B"/>
    <w:rsid w:val="467B5249"/>
    <w:rsid w:val="47FD3F63"/>
    <w:rsid w:val="48C84ABD"/>
    <w:rsid w:val="48F2201E"/>
    <w:rsid w:val="4FD147A1"/>
    <w:rsid w:val="536C61AC"/>
    <w:rsid w:val="586D09FC"/>
    <w:rsid w:val="5A0F768E"/>
    <w:rsid w:val="5A3C73F0"/>
    <w:rsid w:val="62BD2580"/>
    <w:rsid w:val="6664674F"/>
    <w:rsid w:val="6EAD47D5"/>
    <w:rsid w:val="747B3DF6"/>
    <w:rsid w:val="7595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autoRedefine/>
    <w:qFormat/>
    <w:uiPriority w:val="0"/>
    <w:pPr>
      <w:ind w:firstLine="555"/>
    </w:pPr>
  </w:style>
  <w:style w:type="paragraph" w:styleId="4">
    <w:name w:val="Balloon Text"/>
    <w:basedOn w:val="1"/>
    <w:link w:val="9"/>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2156</Words>
  <Characters>2325</Characters>
  <Lines>1</Lines>
  <Paragraphs>1</Paragraphs>
  <TotalTime>27</TotalTime>
  <ScaleCrop>false</ScaleCrop>
  <LinksUpToDate>false</LinksUpToDate>
  <CharactersWithSpaces>2340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2024-08-19T06:07:55Z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