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tLeast"/>
        <w:jc w:val="center"/>
        <w:rPr>
          <w:rFonts w:hint="eastAsia" w:ascii="宋体" w:hAnsi="宋体" w:cs="宋体"/>
          <w:b/>
          <w:bCs/>
          <w:color w:val="000000"/>
          <w:sz w:val="36"/>
          <w:szCs w:val="36"/>
        </w:rPr>
      </w:pPr>
      <w:bookmarkStart w:id="0" w:name="_Toc451522337"/>
      <w:r>
        <w:rPr>
          <w:rFonts w:hint="eastAsia" w:ascii="宋体" w:hAnsi="宋体" w:cs="宋体"/>
          <w:b/>
          <w:bCs/>
          <w:color w:val="000000"/>
          <w:sz w:val="36"/>
          <w:szCs w:val="36"/>
        </w:rPr>
        <w:t>温州市中医院</w:t>
      </w:r>
      <w:r>
        <w:rPr>
          <w:rFonts w:hint="eastAsia"/>
          <w:b/>
          <w:bCs/>
          <w:sz w:val="36"/>
          <w:szCs w:val="36"/>
        </w:rPr>
        <w:t>院感监控软件维保</w:t>
      </w:r>
      <w:r>
        <w:rPr>
          <w:rFonts w:hint="eastAsia" w:ascii="宋体" w:hAnsi="宋体" w:cs="宋体"/>
          <w:b/>
          <w:bCs/>
          <w:color w:val="000000"/>
          <w:sz w:val="36"/>
          <w:szCs w:val="36"/>
        </w:rPr>
        <w:t>项目采购</w:t>
      </w:r>
      <w:bookmarkEnd w:id="0"/>
      <w:r>
        <w:rPr>
          <w:rFonts w:hint="eastAsia" w:ascii="宋体" w:hAnsi="宋体" w:cs="宋体"/>
          <w:b/>
          <w:bCs/>
          <w:color w:val="000000"/>
          <w:sz w:val="36"/>
          <w:szCs w:val="36"/>
        </w:rPr>
        <w:t>文件</w:t>
      </w:r>
    </w:p>
    <w:p>
      <w:pPr>
        <w:spacing w:line="300" w:lineRule="atLeast"/>
        <w:ind w:firstLine="562" w:firstLineChars="200"/>
        <w:rPr>
          <w:b/>
          <w:bCs/>
          <w:sz w:val="28"/>
          <w:szCs w:val="28"/>
        </w:rPr>
      </w:pPr>
    </w:p>
    <w:p>
      <w:pPr>
        <w:spacing w:line="300" w:lineRule="atLeast"/>
        <w:rPr>
          <w:rFonts w:hint="eastAsia" w:ascii="宋体" w:hAnsi="宋体" w:cs="宋体"/>
          <w:color w:val="FF0000"/>
          <w:sz w:val="24"/>
        </w:rPr>
      </w:pPr>
      <w:r>
        <w:rPr>
          <w:rFonts w:hint="eastAsia"/>
          <w:b/>
          <w:bCs/>
          <w:sz w:val="28"/>
          <w:szCs w:val="28"/>
        </w:rPr>
        <w:t>一、项目名称</w:t>
      </w:r>
      <w:r>
        <w:rPr>
          <w:rFonts w:hint="eastAsia"/>
          <w:sz w:val="24"/>
        </w:rPr>
        <w:t>：</w:t>
      </w:r>
      <w:r>
        <w:rPr>
          <w:rFonts w:hint="eastAsia" w:ascii="宋体" w:hAnsi="宋体" w:cs="宋体"/>
          <w:sz w:val="24"/>
          <w:lang w:eastAsia="zh-Hans"/>
        </w:rPr>
        <w:t>温州市中医院</w:t>
      </w:r>
      <w:r>
        <w:rPr>
          <w:rFonts w:hint="eastAsia"/>
          <w:sz w:val="24"/>
        </w:rPr>
        <w:t>院感监控软件维保</w:t>
      </w:r>
    </w:p>
    <w:p>
      <w:pPr>
        <w:spacing w:line="360" w:lineRule="auto"/>
        <w:rPr>
          <w:sz w:val="24"/>
        </w:rPr>
      </w:pPr>
      <w:r>
        <w:rPr>
          <w:rFonts w:hint="eastAsia"/>
          <w:b/>
          <w:bCs/>
          <w:sz w:val="28"/>
          <w:szCs w:val="28"/>
        </w:rPr>
        <w:t>二、采购方式：</w:t>
      </w:r>
      <w:r>
        <w:rPr>
          <w:rFonts w:hint="eastAsia"/>
          <w:sz w:val="24"/>
        </w:rPr>
        <w:t>公开遴选（非政府采购）</w:t>
      </w:r>
    </w:p>
    <w:p>
      <w:pPr>
        <w:spacing w:line="360" w:lineRule="auto"/>
        <w:rPr>
          <w:rFonts w:hint="eastAsia" w:ascii="宋体" w:hAnsi="宋体" w:cs="宋体"/>
          <w:sz w:val="24"/>
        </w:rPr>
      </w:pPr>
      <w:r>
        <w:rPr>
          <w:rFonts w:hint="eastAsia"/>
          <w:b/>
          <w:bCs/>
          <w:sz w:val="28"/>
          <w:szCs w:val="28"/>
        </w:rPr>
        <w:t>三、预算金额：</w:t>
      </w:r>
      <w:r>
        <w:rPr>
          <w:rFonts w:hint="eastAsia" w:ascii="宋体" w:hAnsi="宋体" w:cs="宋体"/>
          <w:sz w:val="24"/>
        </w:rPr>
        <w:t>25000元/年</w:t>
      </w:r>
    </w:p>
    <w:p>
      <w:pPr>
        <w:spacing w:line="360" w:lineRule="auto"/>
        <w:rPr>
          <w:rFonts w:hint="eastAsia" w:ascii="宋体" w:hAnsi="宋体"/>
          <w:b/>
          <w:bCs/>
          <w:color w:val="000000"/>
          <w:sz w:val="28"/>
          <w:szCs w:val="28"/>
        </w:rPr>
      </w:pPr>
      <w:r>
        <w:rPr>
          <w:rFonts w:hint="eastAsia" w:ascii="宋体" w:hAnsi="宋体"/>
          <w:b/>
          <w:bCs/>
          <w:color w:val="000000"/>
          <w:sz w:val="28"/>
          <w:szCs w:val="28"/>
        </w:rPr>
        <w:t>四、服务期限及付款方式</w:t>
      </w:r>
    </w:p>
    <w:p>
      <w:pPr>
        <w:spacing w:line="360" w:lineRule="auto"/>
        <w:ind w:firstLine="480" w:firstLineChars="200"/>
        <w:rPr>
          <w:rFonts w:hint="eastAsia" w:ascii="宋体" w:hAnsi="宋体" w:cs="宋体"/>
          <w:sz w:val="24"/>
        </w:rPr>
      </w:pPr>
      <w:r>
        <w:rPr>
          <w:rFonts w:hint="eastAsia" w:ascii="宋体" w:hAnsi="宋体" w:cs="宋体"/>
          <w:sz w:val="24"/>
        </w:rPr>
        <w:t>1、服务期限：1年，自合同签订之日起计。服务期满后，若满意度报告合格，根据医院相关采购管理办法可续签一年的合同。同时新一年度的承包合同服务要求与上一年度相同且承包总价不高于上一年度承包总价。</w:t>
      </w:r>
    </w:p>
    <w:p>
      <w:pPr>
        <w:spacing w:line="360" w:lineRule="auto"/>
        <w:ind w:firstLine="480" w:firstLineChars="200"/>
        <w:rPr>
          <w:rFonts w:hint="eastAsia" w:ascii="宋体" w:hAnsi="宋体" w:cs="宋体"/>
          <w:sz w:val="24"/>
        </w:rPr>
      </w:pPr>
      <w:r>
        <w:rPr>
          <w:rFonts w:hint="eastAsia" w:ascii="宋体" w:hAnsi="宋体" w:cs="宋体"/>
          <w:sz w:val="24"/>
        </w:rPr>
        <w:t>2、续约时间：距离合同结束3个月左右时，由双方确认是否续约。</w:t>
      </w:r>
    </w:p>
    <w:p>
      <w:pPr>
        <w:spacing w:line="360" w:lineRule="auto"/>
        <w:ind w:firstLine="480" w:firstLineChars="200"/>
      </w:pPr>
      <w:r>
        <w:rPr>
          <w:rFonts w:hint="eastAsia" w:ascii="宋体" w:hAnsi="宋体" w:cs="宋体"/>
          <w:sz w:val="24"/>
        </w:rPr>
        <w:t>3、付款方式：在服务期半年期到后三个月内支付合同总金额的50%，服务期满后三个月内支付合同总金额的50%。</w:t>
      </w:r>
      <w:r>
        <w:rPr>
          <w:rFonts w:hint="eastAsia" w:ascii="宋体" w:hAnsi="宋体" w:cs="宋体"/>
          <w:sz w:val="24"/>
        </w:rPr>
        <w:br w:type="textWrapping"/>
      </w:r>
      <w:r>
        <w:rPr>
          <w:rFonts w:hint="eastAsia" w:ascii="宋体" w:hAnsi="宋体" w:cs="宋体"/>
          <w:b/>
          <w:bCs/>
          <w:sz w:val="28"/>
          <w:szCs w:val="28"/>
        </w:rPr>
        <w:t>五、项目说明</w:t>
      </w:r>
      <w:r>
        <w:rPr>
          <w:rFonts w:hint="eastAsia" w:ascii="宋体" w:hAnsi="宋体" w:cs="宋体"/>
          <w:sz w:val="24"/>
        </w:rPr>
        <w:br w:type="textWrapping"/>
      </w:r>
      <w:r>
        <w:rPr>
          <w:rFonts w:hint="eastAsia" w:ascii="宋体" w:hAnsi="宋体" w:cs="宋体"/>
          <w:sz w:val="24"/>
        </w:rPr>
        <w:t xml:space="preserve">    本次招标采购内容为温州市中医院年度医院感染实时监控系统软件维护服务，包括故障排除、性能调优、技术咨询等。投标人应根据招标文件所提出的软件维保要求，结合医院实际应用情况，综合考虑院感科室开展感染防控工作的重点服务内容，有效防范我院感染管理过程中可能会产生的风险与隐患，有效推动并助力信息化建设和落实院感工作的规范化开展。</w:t>
      </w:r>
    </w:p>
    <w:p>
      <w:pPr>
        <w:spacing w:line="360" w:lineRule="auto"/>
        <w:rPr>
          <w:b/>
          <w:bCs/>
          <w:sz w:val="28"/>
          <w:szCs w:val="28"/>
        </w:rPr>
      </w:pPr>
      <w:r>
        <w:rPr>
          <w:rFonts w:hint="eastAsia"/>
          <w:b/>
          <w:bCs/>
          <w:sz w:val="28"/>
          <w:szCs w:val="28"/>
        </w:rPr>
        <w:t>六、服务具体要求</w:t>
      </w:r>
    </w:p>
    <w:p>
      <w:pPr>
        <w:pStyle w:val="2"/>
      </w:pPr>
      <w:r>
        <w:rPr>
          <w:rFonts w:hint="eastAsia"/>
        </w:rPr>
        <w:t>1、技术服务范围</w:t>
      </w:r>
    </w:p>
    <w:tbl>
      <w:tblPr>
        <w:tblStyle w:val="13"/>
        <w:tblW w:w="9689" w:type="dxa"/>
        <w:tblInd w:w="118" w:type="dxa"/>
        <w:tblLayout w:type="autofit"/>
        <w:tblCellMar>
          <w:top w:w="0" w:type="dxa"/>
          <w:left w:w="108" w:type="dxa"/>
          <w:bottom w:w="0" w:type="dxa"/>
          <w:right w:w="108" w:type="dxa"/>
        </w:tblCellMar>
      </w:tblPr>
      <w:tblGrid>
        <w:gridCol w:w="580"/>
        <w:gridCol w:w="1180"/>
        <w:gridCol w:w="3110"/>
        <w:gridCol w:w="4583"/>
        <w:gridCol w:w="236"/>
      </w:tblGrid>
      <w:tr>
        <w:tblPrEx>
          <w:tblCellMar>
            <w:top w:w="0" w:type="dxa"/>
            <w:left w:w="108" w:type="dxa"/>
            <w:bottom w:w="0" w:type="dxa"/>
            <w:right w:w="108" w:type="dxa"/>
          </w:tblCellMar>
        </w:tblPrEx>
        <w:trPr>
          <w:gridAfter w:val="1"/>
          <w:wAfter w:w="236" w:type="dxa"/>
          <w:trHeight w:val="36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编号</w:t>
            </w:r>
          </w:p>
        </w:tc>
        <w:tc>
          <w:tcPr>
            <w:tcW w:w="1180"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功能模块</w:t>
            </w:r>
          </w:p>
        </w:tc>
        <w:tc>
          <w:tcPr>
            <w:tcW w:w="7693" w:type="dxa"/>
            <w:gridSpan w:val="2"/>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说明</w:t>
            </w:r>
          </w:p>
        </w:tc>
      </w:tr>
      <w:tr>
        <w:tblPrEx>
          <w:tblCellMar>
            <w:top w:w="0" w:type="dxa"/>
            <w:left w:w="108" w:type="dxa"/>
            <w:bottom w:w="0" w:type="dxa"/>
            <w:right w:w="108" w:type="dxa"/>
          </w:tblCellMar>
        </w:tblPrEx>
        <w:trPr>
          <w:gridAfter w:val="1"/>
          <w:wAfter w:w="236" w:type="dxa"/>
          <w:trHeight w:val="588" w:hRule="atLeast"/>
        </w:trPr>
        <w:tc>
          <w:tcPr>
            <w:tcW w:w="580"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180"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病例监测</w:t>
            </w:r>
          </w:p>
        </w:tc>
        <w:tc>
          <w:tcPr>
            <w:tcW w:w="311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每日向院感专职人员、临床医生提供疑似医院感染病例列表</w:t>
            </w: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1.每日自动筛查向院感专职人员提供医院感染病例工作列表</w:t>
            </w:r>
          </w:p>
        </w:tc>
      </w:tr>
      <w:tr>
        <w:tblPrEx>
          <w:tblCellMar>
            <w:top w:w="0" w:type="dxa"/>
            <w:left w:w="108" w:type="dxa"/>
            <w:bottom w:w="0" w:type="dxa"/>
            <w:right w:w="108" w:type="dxa"/>
          </w:tblCellMar>
        </w:tblPrEx>
        <w:trPr>
          <w:gridAfter w:val="1"/>
          <w:wAfter w:w="236" w:type="dxa"/>
          <w:trHeight w:val="5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2.每日自动筛查向临床医师提供医院感染病例工作列表</w:t>
            </w:r>
          </w:p>
        </w:tc>
      </w:tr>
      <w:tr>
        <w:tblPrEx>
          <w:tblCellMar>
            <w:top w:w="0" w:type="dxa"/>
            <w:left w:w="108" w:type="dxa"/>
            <w:bottom w:w="0" w:type="dxa"/>
            <w:right w:w="108" w:type="dxa"/>
          </w:tblCellMar>
        </w:tblPrEx>
        <w:trPr>
          <w:gridAfter w:val="1"/>
          <w:wAfter w:w="236" w:type="dxa"/>
          <w:trHeight w:val="300"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3.临床医师主动上报医院感染病例</w:t>
            </w:r>
          </w:p>
        </w:tc>
      </w:tr>
      <w:tr>
        <w:tblPrEx>
          <w:tblCellMar>
            <w:top w:w="0" w:type="dxa"/>
            <w:left w:w="108" w:type="dxa"/>
            <w:bottom w:w="0" w:type="dxa"/>
            <w:right w:w="108" w:type="dxa"/>
          </w:tblCellMar>
        </w:tblPrEx>
        <w:trPr>
          <w:gridAfter w:val="1"/>
          <w:wAfter w:w="236" w:type="dxa"/>
          <w:trHeight w:val="300"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疑似医院感染病例辅助诊断</w:t>
            </w: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1.医院感染病例预警处理操作</w:t>
            </w:r>
          </w:p>
        </w:tc>
      </w:tr>
      <w:tr>
        <w:tblPrEx>
          <w:tblCellMar>
            <w:top w:w="0" w:type="dxa"/>
            <w:left w:w="108" w:type="dxa"/>
            <w:bottom w:w="0" w:type="dxa"/>
            <w:right w:w="108" w:type="dxa"/>
          </w:tblCellMar>
        </w:tblPrEx>
        <w:trPr>
          <w:gridAfter w:val="1"/>
          <w:wAfter w:w="236" w:type="dxa"/>
          <w:trHeight w:val="300"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2.疑似医院感染病例预警列表展示</w:t>
            </w:r>
          </w:p>
        </w:tc>
      </w:tr>
      <w:tr>
        <w:tblPrEx>
          <w:tblCellMar>
            <w:top w:w="0" w:type="dxa"/>
            <w:left w:w="108" w:type="dxa"/>
            <w:bottom w:w="0" w:type="dxa"/>
            <w:right w:w="108" w:type="dxa"/>
          </w:tblCellMar>
        </w:tblPrEx>
        <w:trPr>
          <w:gridAfter w:val="1"/>
          <w:wAfter w:w="236" w:type="dxa"/>
          <w:trHeight w:val="300"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3.疑似医院感染病例信息内容展示</w:t>
            </w:r>
          </w:p>
        </w:tc>
      </w:tr>
      <w:tr>
        <w:tblPrEx>
          <w:tblCellMar>
            <w:top w:w="0" w:type="dxa"/>
            <w:left w:w="108" w:type="dxa"/>
            <w:bottom w:w="0" w:type="dxa"/>
            <w:right w:w="108" w:type="dxa"/>
          </w:tblCellMar>
        </w:tblPrEx>
        <w:trPr>
          <w:gridAfter w:val="1"/>
          <w:wAfter w:w="236" w:type="dxa"/>
          <w:trHeight w:val="300"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4.感染要素时序图</w:t>
            </w:r>
          </w:p>
        </w:tc>
      </w:tr>
      <w:tr>
        <w:tblPrEx>
          <w:tblCellMar>
            <w:top w:w="0" w:type="dxa"/>
            <w:left w:w="108" w:type="dxa"/>
            <w:bottom w:w="0" w:type="dxa"/>
            <w:right w:w="108" w:type="dxa"/>
          </w:tblCellMar>
        </w:tblPrEx>
        <w:trPr>
          <w:gridAfter w:val="1"/>
          <w:wAfter w:w="236" w:type="dxa"/>
          <w:trHeight w:val="300"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5.感染相关诊疗数据展示</w:t>
            </w:r>
          </w:p>
        </w:tc>
      </w:tr>
      <w:tr>
        <w:tblPrEx>
          <w:tblCellMar>
            <w:top w:w="0" w:type="dxa"/>
            <w:left w:w="108" w:type="dxa"/>
            <w:bottom w:w="0" w:type="dxa"/>
            <w:right w:w="108" w:type="dxa"/>
          </w:tblCellMar>
        </w:tblPrEx>
        <w:trPr>
          <w:gridAfter w:val="1"/>
          <w:wAfter w:w="236" w:type="dxa"/>
          <w:trHeight w:val="300"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6.医院感染病例处理工作辅助</w:t>
            </w:r>
          </w:p>
        </w:tc>
      </w:tr>
      <w:tr>
        <w:tblPrEx>
          <w:tblCellMar>
            <w:top w:w="0" w:type="dxa"/>
            <w:left w:w="108" w:type="dxa"/>
            <w:bottom w:w="0" w:type="dxa"/>
            <w:right w:w="108" w:type="dxa"/>
          </w:tblCellMar>
        </w:tblPrEx>
        <w:trPr>
          <w:gridAfter w:val="1"/>
          <w:wAfter w:w="236" w:type="dxa"/>
          <w:trHeight w:val="300"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7.界面预警信息定制展示</w:t>
            </w:r>
          </w:p>
        </w:tc>
      </w:tr>
      <w:tr>
        <w:tblPrEx>
          <w:tblCellMar>
            <w:top w:w="0" w:type="dxa"/>
            <w:left w:w="108" w:type="dxa"/>
            <w:bottom w:w="0" w:type="dxa"/>
            <w:right w:w="108" w:type="dxa"/>
          </w:tblCellMar>
        </w:tblPrEx>
        <w:trPr>
          <w:gridAfter w:val="1"/>
          <w:wAfter w:w="236" w:type="dxa"/>
          <w:trHeight w:val="312" w:hRule="atLeast"/>
        </w:trPr>
        <w:tc>
          <w:tcPr>
            <w:tcW w:w="580"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1180"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预警</w:t>
            </w:r>
          </w:p>
        </w:tc>
        <w:tc>
          <w:tcPr>
            <w:tcW w:w="3110"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智能预警诊断规则</w:t>
            </w:r>
          </w:p>
        </w:tc>
        <w:tc>
          <w:tcPr>
            <w:tcW w:w="4583"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系统支持根据患者医院感染相关临床数据筛选疑似感染病例。从临床诊断或病原学诊断角度出发，对患者住院过程中产生的住院信息、细菌送检信息、生化检验信息、病毒鉴定信息、手术信息、体温信息、抗菌药物用药信息、诊断信息等患者感染相关临床数据进行综合性分析，智能预警疑似感染病例。</w:t>
            </w: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1164"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增量式预警</w:t>
            </w: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1)系统支持根据每日新采集的患者感染相关临床数据与之前采集的患者感染相关临床数据综合分析，已经确诊的医院感染病例没有新的变化不再预警</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2)系统支持已经诊断医院感染例次中的致病菌重复检出不再重复预警</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定制预警诊断策略</w:t>
            </w:r>
          </w:p>
        </w:tc>
        <w:tc>
          <w:tcPr>
            <w:tcW w:w="4583"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系统支持定制预警诊断策略，结合医院的实际情况，针对性的提供疑似感染病例的筛查方案。系统可根据患者住院时长、常规生化检验、抗菌药物医嘱、手术、插管情况、病毒检验、体征等各种诊疗数据联合判断，从院感专职人员监测要求出发，来定义新的诊断策略规则，筛选疑似感染患者。例如，针对于新生儿患者，当新生儿患者出现体温低于36.5℃或者高于37.5℃,系统应可自动预警提示新生儿体温异常。</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1180"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统计分析</w:t>
            </w:r>
          </w:p>
        </w:tc>
        <w:tc>
          <w:tcPr>
            <w:tcW w:w="3110"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组织机构三级及以上汇总功能</w:t>
            </w:r>
          </w:p>
        </w:tc>
        <w:tc>
          <w:tcPr>
            <w:tcW w:w="4583"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系统支持提供至少包括全院、内科/外科、病区三个层级的统计指标，便于用户能够掌握小到每个病区大到全院的整体感染情况。以医院感染率统计为例，统计2019年10月数据，系统应提供每个病区单独的感染统计数据、内科/外科的汇总统计数据以及全院整体的汇总统计数据。</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按用户权限统计功能</w:t>
            </w:r>
          </w:p>
        </w:tc>
        <w:tc>
          <w:tcPr>
            <w:tcW w:w="4583"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系统支持按照用户权限提供统计结果的功能，用户仅能看到自己权限内组织机构的统计结果，同一功能页面不同权限用户看到的结果不同，支持统计结果分院区管理。以ICU的三管监测为例，如医院区分多个ICU科室，则ICU总负责人应该可以看到所有ICU和ICU汇总的三管使用情况和三管感染情况，但是不应看到其他非ICU病区的情况。</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实时预测统计结束时间功能</w:t>
            </w:r>
          </w:p>
        </w:tc>
        <w:tc>
          <w:tcPr>
            <w:tcW w:w="4583"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用户需要对全院范围、长时间段的住院患者的各种感染危险因素进行分析统计，会面临几万或几十万的住院患者的长时间数据分析，用户需要提前获知预计完成的时间，及时掌握统计进度。当涉及海量的数据计算时，系统应可以按组计算，并根据实际情况提供患者计算数量、分组数量、预计耗时、实际耗时、剩余耗时、每组平均耗时，让用户能够直观评估统计的整体进度。例如在统计100000人的数据信息时，应提供分组的组别信息、预计耗时、预计完成时间、当前计算组别、已耗时、剩余耗时以及平均耗时。</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统计单位自定义排序功能</w:t>
            </w:r>
          </w:p>
        </w:tc>
        <w:tc>
          <w:tcPr>
            <w:tcW w:w="4583"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系统支持按照指定病区顺序显示统计结果，以满足用户对统计报表的预期。系统支持用户自定义进行病区结果排序，统计结果和用户自行定义的病区顺序显示一致。以医院感染率统计为例，用户选择将内科系统或者指定院区的病区集中起来进行展示统计，对应的病区统计顺序应与用户指定的统计顺序相同。</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计算规则展示功能</w:t>
            </w:r>
          </w:p>
        </w:tc>
        <w:tc>
          <w:tcPr>
            <w:tcW w:w="4583"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系统支持展示每个统计指标的计算逻辑。感染统计信息涉及到各种数据的逻辑处理，一般的计算逻辑都在后台程序中进行实现，用户不知道统计数据是如何计算和产生的。系统支持计算逻辑的透明化，能够展示每一个统计指标的具体判断逻辑，便于用户加深对统计规则的认识以及便于对统计结果规则的核查。以医院感染人数为例，用户可以查看医院感染人数的统计逻辑，根据医院感染人数的计算逻辑判断计算结果的正确与否。</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xml:space="preserve"> 统计结果钻取明细功能</w:t>
            </w:r>
          </w:p>
        </w:tc>
        <w:tc>
          <w:tcPr>
            <w:tcW w:w="4583"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系统支持点击全院、内科/外科、任意病区的“分母”、“分子”均可以弹出对应患者在对应“分母”、“分子”上计算的结果值和患者钻取明细。以医院感染(例次)率为例，用户可以点击住院人数、医院感染人数、医院感染例次，对应都可以弹出结果值对应的钻取明细信息，且对应钻取明细的计数结果值之和与点击钻取前的结果值一致。明细信息应包括患者住院标识号、计数结果值、患者姓名、入院时间、入院科室、出院时间、出院科室、入院诊断、出院诊断、感染时间、感染部位、感染类型、转归情况、转归时间。</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xml:space="preserve"> 计算过程展示功能</w:t>
            </w:r>
          </w:p>
        </w:tc>
        <w:tc>
          <w:tcPr>
            <w:tcW w:w="4583"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在系统支持展示一个患者在当前口径下的统计结果值的功能的基础上，点击一个患者的“结果值”会展示该患者在特定统计口径下计算该结果值的计算过程，包括所有逻辑环节，每个逻辑环节的输入输出展示，便于感控人员了解统计规则，快速定位统计bug。比如一个患者住院过程中发生三个例次的感染，并且发生过病区转移，从A病区转移到B病区，在A病区有两个例次的医院感染，计算过程展示功能向专职人员展示该患者统计在A病区新发感染例次时计算结果为2，点击2之后展示该患者的三个感染例次中的到底哪两个进行了计算。</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报表快照功能</w:t>
            </w:r>
          </w:p>
        </w:tc>
        <w:tc>
          <w:tcPr>
            <w:tcW w:w="4583"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系统支持对一次统计的结果、统计的过程、统计的原始患者数据拍照片的功能：报表快照功能。把感控科操作时统计的结果、统计的过程、统计的原始患者数据存储下来。有了报表快照功能，感控科老师可以（无需计算、极高效的）浏览过去统计的数据，无需每次把统计的结果保存到Excel才能知道上次统计的结果是什么。</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快照对比功能</w:t>
            </w:r>
          </w:p>
        </w:tc>
        <w:tc>
          <w:tcPr>
            <w:tcW w:w="4583"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系统提供快照对比功能。患者的数据随着时间的变化会变化，这样的情况下虽然口径相同，但是统计的结果仍然会变化，感控科老师需要知道两次统计之间到底哪些患者的数据发生了变化，发生了什么变化，对结果造成了什么影响。还提供了两个快照比较功能，当老师发现同一统计口径下结果有变化的时候，直接拍照，系统支持对两张照片对比，有差异的结果直接标红，点击差异的结果，直接把原始数据差异也显示出来。这样变化的原因一目了然。</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统计图片一键保存的功能</w:t>
            </w:r>
          </w:p>
        </w:tc>
        <w:tc>
          <w:tcPr>
            <w:tcW w:w="4583"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系统支持统计结果图表下载功能。用户可以直接使用下载的图表进行报告的撰写。Flash当前存在安全隐患以及不再更新的情况，系统不得再使用Flash进行图表加载。例如医院感染率，用户应该可以选择下载医院感染率的分布图表，且图表上标识具体的计数信息。</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自定义表格导出样式的功能</w:t>
            </w:r>
          </w:p>
        </w:tc>
        <w:tc>
          <w:tcPr>
            <w:tcW w:w="4583"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系统支持按照用户定义的表格样式导出统计结果数据。医院业务统计报表针对统计数据有固定的表格样式，针对于该项信息，系统应该支持导出用户定义的表格样式信息，减少用户在调整格式的工作耗时。例如医院感染率导出统计结果，内容包括医院名称、报表标题、统计时间。</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明细数据表格模板导出功能</w:t>
            </w:r>
          </w:p>
        </w:tc>
        <w:tc>
          <w:tcPr>
            <w:tcW w:w="4583"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系统支持导出指定表头的明细excel文件。针对感染信息需要留存明细数据存档的情况，系统支持明细数据按照用户表头信息进行导出，减少用户再编辑的工作量。以医院感染明细为例，用户可以导出具有医院标题的明细数据，明细内容包括患者住院标识号、姓名、感染时间、感染部位、感染病原体、感染类型、转归时间、转归情况。</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任意时间段统计功能</w:t>
            </w:r>
          </w:p>
        </w:tc>
        <w:tc>
          <w:tcPr>
            <w:tcW w:w="4583"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系统支持按照任意时间段进行数据统计。用户可以自由选择需要统计的时间段来进行数据统计。以医院感染率为例，用户可以选择统计2019年10月08日到2019年10月28日的医院感染率，系统应提供出对应时间段的住院人数、医院感染人数、医院感染率。</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指定病区统计功能</w:t>
            </w:r>
          </w:p>
        </w:tc>
        <w:tc>
          <w:tcPr>
            <w:tcW w:w="4583"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系统支持指定任意病区进行统计。用户可以通过选择指定病区来进行对目标病区的监测。以医院感染率统计为例，2019年09月，用户选择统计神经内科一病区、神经内科二病区的医院感染率，对应的统计内容应包括神经内科一病区、神经内科二病区以及神经内科的汇总统计。统计信息包括住院人数、医院感染人数、医院感染率、医院感染例次、医院感染例次率。</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统计指标变化趋势功能</w:t>
            </w:r>
          </w:p>
        </w:tc>
        <w:tc>
          <w:tcPr>
            <w:tcW w:w="4583"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系统支持按照天、月、季度、年为间隔统计全院、内科/外科、病区的感染趋势统计。用户可以通过趋势情况评估和分析干预措施的有效性。以现患率趋势为例，统计2019年10月30往前间隔为3天的现患率趋势，系统应提供以10月30日为最近日期间隔3天的现患率趋势统计数据。</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趋势统计钻取明细功能</w:t>
            </w:r>
          </w:p>
        </w:tc>
        <w:tc>
          <w:tcPr>
            <w:tcW w:w="4583"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系统支持提供全院、内科/外科、任意病区的感染趋势明细钻取信息。例如按照月份统计2019年每月的感染人数，系统应提供出对应每个月份的感染人数以及钻取对应的患者计数结果值，钻取明细内容包括住院标识号、患者姓名、患者入院时间、入院科室、出院时间、出院科室、感染时间、感染科室、感染部位、感染类型、转归情况、转归时间信息。</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按需隐藏全为零值的行与列功能</w:t>
            </w:r>
          </w:p>
        </w:tc>
        <w:tc>
          <w:tcPr>
            <w:tcW w:w="4583"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系统支持所在单位统计指标全部为0的情况下自定义是否显示功能。用户在统计数据信息时，能够按照显示所有病区或者隐藏结果值全为0的病区，按照用户自定义显示全为0的单位结果。以I类切口手术部位感染率为例，统计2019年9月份数据，神经内科的手术例次为0，对应统计的数据信息应该显示神经内科I类切口手术例次为0。</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指定患者集合统计功能</w:t>
            </w:r>
          </w:p>
        </w:tc>
        <w:tc>
          <w:tcPr>
            <w:tcW w:w="4583"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系统支持指定患者或过滤指定患者的统计操作。在进行整体数据分析时，可能需要剔除部分特异患者来进行整体数据的分析，系统支持指定患者或者过滤指定患者的功能，能够在不影响整体统计变化的情况下，减少差异个体对整体统计的数据影响。以医院感染率为例，如用户需要将ICU的3-10床超长住院时长的患者单独进行数据统计，则可以指定标识3-10床的住院过程标识号进行单独的感染率统计。</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自定义比率位数</w:t>
            </w:r>
          </w:p>
        </w:tc>
        <w:tc>
          <w:tcPr>
            <w:tcW w:w="4583"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系统支持比率数据按照用户定义显示有效位数。在进行数据分析时，尤其是针对于千分率的数据统计，对于数据统计的准确性、专业性都有一定的要求，系统应该支持按照用户要求，显示统计率的位数信息。例如呼吸机相关肺炎感染千日发生率，在要求千日率位数为3位小数时，对应的统计率结果小数精度应该满足千分率后三位的情况。</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疑似感染暴发预警提醒</w:t>
            </w:r>
          </w:p>
        </w:tc>
        <w:tc>
          <w:tcPr>
            <w:tcW w:w="4583"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系统支持提供疑似现患暴发、疑似感染暴发、疑似发热暴发的感染预警提醒，用于提醒用户关注感染率超过正常阈值的病区，及时提供干预和控制措施，以减少感染暴发的可能性。例如现患暴发预警，系统能够提醒出超过阈值的病区、对应超过感染阈值的现患日期、超过阈值的现患率结果。</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醒目展示超标数值的功能</w:t>
            </w:r>
          </w:p>
        </w:tc>
        <w:tc>
          <w:tcPr>
            <w:tcW w:w="4583"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系统支持统计结果按照用户自定义阈值进行标识。统计数据涉及数据信息较多的情况下，需要特别关注的信息被大量其他信息掩盖，系统应该支持对超过阈值的信息进行标识，用于提醒用户对超标病区及时进行干预处理。以抗菌药物送检率为例，在病区送检率低于30%的情况下，用户需要推动对应病区提高送检意识增加送检行为。</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科室统计分组管理</w:t>
            </w:r>
          </w:p>
        </w:tc>
        <w:tc>
          <w:tcPr>
            <w:tcW w:w="4583"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系统支持对统计结果按照不同的分类方式进行汇总统计。院感专职人员可以使用不同的分类方式对科室按照疾病、院区、重点科室的分类来进行分别统计结果，从不同的维度来对科室的院感监测情况进行评估分析，制定针对性的改进措施。例如，院感专职人员可以按照疾病分类分别统计得到内科、外科、ICU的感染情况分布，又可以按照院感管理分布统计不同院区的统计结果。</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院感数据统计规则库</w:t>
            </w:r>
          </w:p>
        </w:tc>
        <w:tc>
          <w:tcPr>
            <w:tcW w:w="4583"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系统支持多套数据统计规则，院感专职人员既可以使用本院的个性化统计内容开展日常工作，也可以切换为其他示范医院的统计内容来开展工作。同时，针对于以往的个性化修改报表统计，能够保障升级前后统计功能列表一致，避免由于医院个性化报表修改在升级后重新修改的问题。例如，院感专职人员在进行季度院感会议时，使用医院感染率相关数据统计，在数据上报时，则按照院感质控指标进行数据统计上报。</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2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00" w:hRule="atLeast"/>
        </w:trPr>
        <w:tc>
          <w:tcPr>
            <w:tcW w:w="580"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1180"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目标监测</w:t>
            </w:r>
          </w:p>
        </w:tc>
        <w:tc>
          <w:tcPr>
            <w:tcW w:w="311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目标效果监测</w:t>
            </w: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ICU日志(新)</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00"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NCU日志(新)</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00"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临床病情等级评定</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00"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调整感染发病率</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00"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调整感染发病率(新)</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00"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ICU(新)</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00"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新生儿</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00"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新生儿科室汇总统计</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新生儿(新)手术监测细菌耐药性监测抗菌药物监测</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00" w:hRule="atLeast"/>
        </w:trPr>
        <w:tc>
          <w:tcPr>
            <w:tcW w:w="580"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1180"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干预</w:t>
            </w:r>
          </w:p>
        </w:tc>
        <w:tc>
          <w:tcPr>
            <w:tcW w:w="3110"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干预推送</w:t>
            </w: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1)系统支持具备干预措施推送功能</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00"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2)系统支持病例诊断建议</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3)系统支持感染防控要点等内容及时推送给医生进行干预</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00" w:hRule="atLeast"/>
        </w:trPr>
        <w:tc>
          <w:tcPr>
            <w:tcW w:w="580"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w:t>
            </w:r>
          </w:p>
        </w:tc>
        <w:tc>
          <w:tcPr>
            <w:tcW w:w="1180"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消毒灭菌</w:t>
            </w:r>
          </w:p>
        </w:tc>
        <w:tc>
          <w:tcPr>
            <w:tcW w:w="3110"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消毒灭菌效果监测</w:t>
            </w: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1)系统支持提供监测数据的手工录入功能</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00"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2)系统支持提供自动判断监测结果是否合格</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3)系统支持提供空气、物表、手监测报告浏览、编辑、配置、搜索、导出、打印功能</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4)系统支持提供一次性无菌物品监测报告浏览、编辑、配置、搜索、导出、打印功能</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5)系统支持提供手术器械报告浏览、编辑、配置、搜索、导出、打印功能</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6)系统支持提供口腔诊疗器械报告浏览、编辑、配置、搜索、导出、打印功能</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7)系统支持提供灭菌器生物学监测报告浏览、编辑、配置、搜索、导出、打印功能</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8)系统支持提供一般医疗用品报告浏览、编辑、配置、搜索、导出、打印功能</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9)系统支持提供呼吸机管路报告浏览、编辑、配置、搜索、导出、打印功能</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10)系统支持提供床单位报告浏览、编辑、配置、搜索、导出、打印功能</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11)系统支持提供清洗质量监测报告浏览、编辑、配置、搜索、导出、打印功能</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12)系统支持提供软式内镜报告浏览、编辑、配置、搜索、导出、打印功能</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13)系统支持提供硬式内镜报告浏览、编辑、配置、搜索、导出、打印功能</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14)系统支持提供手术室报告浏览、编辑、配置、搜索、导出、打印功能</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15)系统支持提供移植病房报告浏览、编辑、配置、搜索、导出、打印功能</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16)系统支持提供监护室浏览、编辑、配置、搜索、导出、打印功能</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17)系统支持提供配液间浏览、编辑、配置、搜索、导出、打印功能</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18)系统支持提供实验室报告浏览、编辑、配置、搜索、导出、打印功能</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19)系统支持提供透析液浏览、编辑、配置、搜索、导出、打印功能</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20)系统支持提供置换液浏览、编辑、配置、搜索、导出、打印功能</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21)系统支持提供反渗水浏览、编辑、配置、搜索、导出、打印功能</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22)系统支持提供A液报告浏览、编辑、配置、搜索、导出、打印功能</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23)系统支持提供内毒素报告浏览、编辑、配置、搜索、导出、打印功能</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24)系统支持提供消毒剂浏览、编辑、配置、搜索、导出、打印功能</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25)系统支持提供灭菌剂报告浏览、编辑、配置、搜索、导出、打印功能</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26)系统支持提供紫外线灯强度监测报告浏览、编辑、配置、搜索、导出、打印功能</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27)系统支持提供被服监测报告浏览、编辑、配置、搜索、导出、打印功能</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28)系统支持提供食品卫生监测报告浏览、编辑、配置、搜索、导出、打印功能</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29)系统支持提供致病菌定性监测报告浏览、编辑、配置、搜索、导出、打印功能</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88" w:hRule="atLeast"/>
        </w:trPr>
        <w:tc>
          <w:tcPr>
            <w:tcW w:w="580"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w:t>
            </w:r>
          </w:p>
        </w:tc>
        <w:tc>
          <w:tcPr>
            <w:tcW w:w="1180"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病例查询</w:t>
            </w:r>
          </w:p>
        </w:tc>
        <w:tc>
          <w:tcPr>
            <w:tcW w:w="3110"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病例查询效果监测</w:t>
            </w: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浏览，快速査找，处理不一致患者捜索，感染记录査询捜索</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00"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数据核査，预警搜索，预警変动搜索</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00"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作废患耆查询</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1452" w:hRule="atLeast"/>
        </w:trPr>
        <w:tc>
          <w:tcPr>
            <w:tcW w:w="580"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1180"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新职业防护</w:t>
            </w:r>
          </w:p>
        </w:tc>
        <w:tc>
          <w:tcPr>
            <w:tcW w:w="3110"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新职业防护数据监测</w:t>
            </w: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1、系统提供登记暴露者基本情况、本次暴露方式、发生经过描述、暴露后紧急处理、血源患者评估、暴露者免疫水平评估、暴露后的预防性措施、暴露后追踪检测、是否感染血源性病原体结论的功能。</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2、系统提供医务人员录入职业暴露相关信息的功能。</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00"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3、系统提供保护医务人员隐私的保密功能。</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4、系统提供到期提醒疫苗接种、追踪检测的功能。</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00"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5、系统提供职业暴露信息统计分析的功能。</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88"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6、系统提供可提醒针刺伤医护人员进行后续检查的功能。</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00"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7、系统提供对针刺伤医护人员随访的功能。</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00"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8、系统提供针刺伤事件登记信息搜索的功能。</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876" w:hRule="atLeast"/>
        </w:trPr>
        <w:tc>
          <w:tcPr>
            <w:tcW w:w="5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118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311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p>
        </w:tc>
        <w:tc>
          <w:tcPr>
            <w:tcW w:w="4583" w:type="dxa"/>
            <w:tcBorders>
              <w:top w:val="nil"/>
              <w:left w:val="nil"/>
              <w:bottom w:val="single" w:color="000000" w:sz="8" w:space="0"/>
              <w:right w:val="single" w:color="000000" w:sz="8" w:space="0"/>
            </w:tcBorders>
            <w:shd w:val="clear" w:color="auto" w:fill="auto"/>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9、系统提供针刺伤事件登记导出、打印报告、按工龄、职业、暴露科室、暴露途径进行统计的功能。</w:t>
            </w:r>
          </w:p>
        </w:tc>
        <w:tc>
          <w:tcPr>
            <w:tcW w:w="236" w:type="dxa"/>
            <w:vAlign w:val="center"/>
          </w:tcPr>
          <w:p>
            <w:pPr>
              <w:widowControl/>
              <w:jc w:val="left"/>
              <w:rPr>
                <w:rFonts w:eastAsia="Times New Roman"/>
                <w:kern w:val="0"/>
                <w:sz w:val="20"/>
                <w:szCs w:val="20"/>
              </w:rPr>
            </w:pPr>
          </w:p>
        </w:tc>
      </w:tr>
    </w:tbl>
    <w:p>
      <w:pPr>
        <w:pStyle w:val="2"/>
        <w:rPr>
          <w:rFonts w:hint="eastAsia" w:hAnsi="宋体" w:cs="宋体"/>
        </w:rPr>
      </w:pPr>
    </w:p>
    <w:p>
      <w:pPr>
        <w:rPr>
          <w:rFonts w:hint="eastAsia"/>
        </w:rPr>
      </w:pPr>
    </w:p>
    <w:p>
      <w:pPr>
        <w:pStyle w:val="2"/>
        <w:rPr>
          <w:rFonts w:hint="eastAsia" w:hAnsi="宋体" w:cs="宋体"/>
        </w:rPr>
      </w:pPr>
      <w:r>
        <w:rPr>
          <w:rFonts w:hint="eastAsia" w:hAnsi="宋体" w:cs="宋体"/>
        </w:rPr>
        <w:t>2、系统维保服务清单与标准</w:t>
      </w:r>
    </w:p>
    <w:p>
      <w:pPr>
        <w:spacing w:line="360" w:lineRule="auto"/>
        <w:ind w:firstLine="480" w:firstLineChars="200"/>
        <w:jc w:val="left"/>
        <w:rPr>
          <w:rFonts w:hint="eastAsia" w:ascii="宋体" w:hAnsi="宋体" w:cs="宋体"/>
          <w:sz w:val="24"/>
        </w:rPr>
      </w:pPr>
      <w:r>
        <w:rPr>
          <w:rFonts w:hint="eastAsia" w:ascii="宋体" w:hAnsi="宋体" w:cs="宋体"/>
          <w:sz w:val="24"/>
        </w:rPr>
        <w:t>本次维保项目应包含院感系统所有在用软件模块。主要功能清单见下表：</w:t>
      </w:r>
    </w:p>
    <w:tbl>
      <w:tblPr>
        <w:tblStyle w:val="13"/>
        <w:tblW w:w="9070" w:type="dxa"/>
        <w:tblInd w:w="93" w:type="dxa"/>
        <w:tblLayout w:type="autofit"/>
        <w:tblCellMar>
          <w:top w:w="0" w:type="dxa"/>
          <w:left w:w="108" w:type="dxa"/>
          <w:bottom w:w="0" w:type="dxa"/>
          <w:right w:w="108" w:type="dxa"/>
        </w:tblCellMar>
      </w:tblPr>
      <w:tblGrid>
        <w:gridCol w:w="698"/>
        <w:gridCol w:w="1365"/>
        <w:gridCol w:w="3623"/>
        <w:gridCol w:w="1512"/>
        <w:gridCol w:w="1872"/>
      </w:tblGrid>
      <w:tr>
        <w:tblPrEx>
          <w:tblCellMar>
            <w:top w:w="0" w:type="dxa"/>
            <w:left w:w="108" w:type="dxa"/>
            <w:bottom w:w="0" w:type="dxa"/>
            <w:right w:w="108" w:type="dxa"/>
          </w:tblCellMar>
        </w:tblPrEx>
        <w:trPr>
          <w:trHeight w:val="460" w:hRule="atLeast"/>
        </w:trPr>
        <w:tc>
          <w:tcPr>
            <w:tcW w:w="69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序号</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服务内容</w:t>
            </w:r>
          </w:p>
        </w:tc>
        <w:tc>
          <w:tcPr>
            <w:tcW w:w="362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具体内容</w:t>
            </w:r>
          </w:p>
        </w:tc>
        <w:tc>
          <w:tcPr>
            <w:tcW w:w="151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服务方式</w:t>
            </w:r>
          </w:p>
        </w:tc>
        <w:tc>
          <w:tcPr>
            <w:tcW w:w="187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响应时间（工作日）</w:t>
            </w:r>
          </w:p>
        </w:tc>
      </w:tr>
      <w:tr>
        <w:tblPrEx>
          <w:tblCellMar>
            <w:top w:w="0" w:type="dxa"/>
            <w:left w:w="108" w:type="dxa"/>
            <w:bottom w:w="0" w:type="dxa"/>
            <w:right w:w="108" w:type="dxa"/>
          </w:tblCellMar>
        </w:tblPrEx>
        <w:trPr>
          <w:trHeight w:val="1380" w:hRule="atLeast"/>
        </w:trPr>
        <w:tc>
          <w:tcPr>
            <w:tcW w:w="69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技术支持</w:t>
            </w:r>
          </w:p>
        </w:tc>
        <w:tc>
          <w:tcPr>
            <w:tcW w:w="362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通过向日葵、VPN 等远程工具进行服务，保证感控科反馈的问题能够及时完成处理。在周末及节假日期间提供专人值班服务，保证周末及节假日为感控科提供各项服务</w:t>
            </w:r>
          </w:p>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1、通过远程的方式为医院相关使用人员解答系统功能使用方面的问题</w:t>
            </w:r>
          </w:p>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2、通过远程的方式为院感科解答业务数据方面相关问题，为精准的数据质量提供保障</w:t>
            </w:r>
          </w:p>
        </w:tc>
        <w:tc>
          <w:tcPr>
            <w:tcW w:w="151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技术支持顺序电话、邮箱、微信、远程、现场</w:t>
            </w:r>
          </w:p>
        </w:tc>
        <w:tc>
          <w:tcPr>
            <w:tcW w:w="187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工作日内，电话响应时间不超过2小时，到现场时间不超过48小时</w:t>
            </w:r>
          </w:p>
        </w:tc>
      </w:tr>
      <w:tr>
        <w:tblPrEx>
          <w:tblCellMar>
            <w:top w:w="0" w:type="dxa"/>
            <w:left w:w="108" w:type="dxa"/>
            <w:bottom w:w="0" w:type="dxa"/>
            <w:right w:w="108" w:type="dxa"/>
          </w:tblCellMar>
        </w:tblPrEx>
        <w:trPr>
          <w:trHeight w:val="1940" w:hRule="atLeast"/>
        </w:trPr>
        <w:tc>
          <w:tcPr>
            <w:tcW w:w="69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系统使用咨询</w:t>
            </w:r>
          </w:p>
        </w:tc>
        <w:tc>
          <w:tcPr>
            <w:tcW w:w="362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为使用科室提供咨询解答服务，保障院内日常监测工作的开展</w:t>
            </w:r>
          </w:p>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1、通过远程的方式为院感科提供解读预警诊断策略服务</w:t>
            </w:r>
          </w:p>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2、通过远程的方式为院感科提供解读系统各统计界面报表统计逻辑服务</w:t>
            </w:r>
          </w:p>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3、通过远程的方式为医院相关使用人员提供系统各功能模块的功能讲解服务，保障使用人员对于系统功能的正常使用</w:t>
            </w:r>
          </w:p>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4、为院感科讲解各项院感监测业务，涵盖业务背景、监测难点、常见问题；基于各项业务的监测难点和常见问题，结合区域内监测方向和要求，提供专业化建议</w:t>
            </w:r>
          </w:p>
        </w:tc>
        <w:tc>
          <w:tcPr>
            <w:tcW w:w="151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技术支持顺序电话、邮箱、微信、远程、现场</w:t>
            </w:r>
          </w:p>
        </w:tc>
        <w:tc>
          <w:tcPr>
            <w:tcW w:w="187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工作日内，电话响应时间不超过2小时，到现场时间不超过48小时</w:t>
            </w:r>
          </w:p>
        </w:tc>
      </w:tr>
      <w:tr>
        <w:tblPrEx>
          <w:tblCellMar>
            <w:top w:w="0" w:type="dxa"/>
            <w:left w:w="108" w:type="dxa"/>
            <w:bottom w:w="0" w:type="dxa"/>
            <w:right w:w="108" w:type="dxa"/>
          </w:tblCellMar>
        </w:tblPrEx>
        <w:trPr>
          <w:trHeight w:val="1232" w:hRule="atLeast"/>
        </w:trPr>
        <w:tc>
          <w:tcPr>
            <w:tcW w:w="69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信息科人员培训</w:t>
            </w:r>
          </w:p>
        </w:tc>
        <w:tc>
          <w:tcPr>
            <w:tcW w:w="362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对信息科的杏林 NIS 系统维护人员进行培训，保证能够进行日常的运行维护、系统重启、新建用户等操作</w:t>
            </w:r>
          </w:p>
        </w:tc>
        <w:tc>
          <w:tcPr>
            <w:tcW w:w="151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技术支持顺序远程或现场</w:t>
            </w:r>
          </w:p>
        </w:tc>
        <w:tc>
          <w:tcPr>
            <w:tcW w:w="187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工作日内，电话响应时间不超过2小时，到现场时间不超过48小时</w:t>
            </w:r>
          </w:p>
        </w:tc>
      </w:tr>
      <w:tr>
        <w:tblPrEx>
          <w:tblCellMar>
            <w:top w:w="0" w:type="dxa"/>
            <w:left w:w="108" w:type="dxa"/>
            <w:bottom w:w="0" w:type="dxa"/>
            <w:right w:w="108" w:type="dxa"/>
          </w:tblCellMar>
        </w:tblPrEx>
        <w:trPr>
          <w:trHeight w:val="1107" w:hRule="atLeast"/>
        </w:trPr>
        <w:tc>
          <w:tcPr>
            <w:tcW w:w="69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数据备份运行情况检查</w:t>
            </w:r>
          </w:p>
        </w:tc>
        <w:tc>
          <w:tcPr>
            <w:tcW w:w="362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定期巡查服务器系统备份机制，并出具专业化的数据备份巡检报告。</w:t>
            </w:r>
          </w:p>
        </w:tc>
        <w:tc>
          <w:tcPr>
            <w:tcW w:w="151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技术支持顺序电话、邮箱、微信、远程、现场</w:t>
            </w:r>
          </w:p>
        </w:tc>
        <w:tc>
          <w:tcPr>
            <w:tcW w:w="187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工作日内，电话响应时间不超过2小时，到现场时间不超过48小时</w:t>
            </w:r>
          </w:p>
        </w:tc>
      </w:tr>
      <w:tr>
        <w:tblPrEx>
          <w:tblCellMar>
            <w:top w:w="0" w:type="dxa"/>
            <w:left w:w="108" w:type="dxa"/>
            <w:bottom w:w="0" w:type="dxa"/>
            <w:right w:w="108" w:type="dxa"/>
          </w:tblCellMar>
        </w:tblPrEx>
        <w:trPr>
          <w:trHeight w:val="1860" w:hRule="atLeast"/>
        </w:trPr>
        <w:tc>
          <w:tcPr>
            <w:tcW w:w="69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5</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数据恢复及系统迁移</w:t>
            </w:r>
          </w:p>
        </w:tc>
        <w:tc>
          <w:tcPr>
            <w:tcW w:w="362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提供系统数据恢复及系统迁移服务</w:t>
            </w:r>
          </w:p>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1、根据医院目前实际拥有的备份文件内容，在医院存在需求的情况下，对数据内容还原恢复至特定时间点，有效保证数据的完整性；</w:t>
            </w:r>
          </w:p>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2、根据医院的需求，对业务系统进行迁移部署，并完成系统调试工作，确保使用正常</w:t>
            </w:r>
          </w:p>
        </w:tc>
        <w:tc>
          <w:tcPr>
            <w:tcW w:w="151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技术支持顺序电话、邮箱、微信、远程、现场</w:t>
            </w:r>
          </w:p>
        </w:tc>
        <w:tc>
          <w:tcPr>
            <w:tcW w:w="187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工作日内，电话响应时间不超过2小时，到现场时间不超过48小时</w:t>
            </w:r>
          </w:p>
        </w:tc>
      </w:tr>
      <w:tr>
        <w:tblPrEx>
          <w:tblCellMar>
            <w:top w:w="0" w:type="dxa"/>
            <w:left w:w="108" w:type="dxa"/>
            <w:bottom w:w="0" w:type="dxa"/>
            <w:right w:w="108" w:type="dxa"/>
          </w:tblCellMar>
        </w:tblPrEx>
        <w:trPr>
          <w:trHeight w:val="1400" w:hRule="atLeast"/>
        </w:trPr>
        <w:tc>
          <w:tcPr>
            <w:tcW w:w="69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6</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NIS 服务器宕机修复</w:t>
            </w:r>
          </w:p>
        </w:tc>
        <w:tc>
          <w:tcPr>
            <w:tcW w:w="362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当医院NIS 服务器出现宕机情况时，协助信息工作人员对院感服务器进行修复并完成数据恢复及更新，确保系统使用正常</w:t>
            </w:r>
          </w:p>
        </w:tc>
        <w:tc>
          <w:tcPr>
            <w:tcW w:w="151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技术支持顺序电话、邮箱、微信、远程、现场</w:t>
            </w:r>
          </w:p>
        </w:tc>
        <w:tc>
          <w:tcPr>
            <w:tcW w:w="187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工作日内，电话响应时间不超过2小时，到现场时间不超过48小时</w:t>
            </w:r>
          </w:p>
        </w:tc>
      </w:tr>
      <w:tr>
        <w:tblPrEx>
          <w:tblCellMar>
            <w:top w:w="0" w:type="dxa"/>
            <w:left w:w="108" w:type="dxa"/>
            <w:bottom w:w="0" w:type="dxa"/>
            <w:right w:w="108" w:type="dxa"/>
          </w:tblCellMar>
        </w:tblPrEx>
        <w:trPr>
          <w:trHeight w:val="1980" w:hRule="atLeast"/>
        </w:trPr>
        <w:tc>
          <w:tcPr>
            <w:tcW w:w="69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7</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服务器远程巡检</w:t>
            </w:r>
          </w:p>
        </w:tc>
        <w:tc>
          <w:tcPr>
            <w:tcW w:w="362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每半年对服务器运行环境进行巡检，巡检内容包括：服务器内存情况评估、硬盘情况评估、系统运行稳定性评估等，有效避免并解决：</w:t>
            </w:r>
          </w:p>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1、服务器磁盘空间不足问题</w:t>
            </w:r>
          </w:p>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2、服务器系统运行卡顿问题</w:t>
            </w:r>
          </w:p>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3、服务器安全方面防护问题</w:t>
            </w:r>
          </w:p>
        </w:tc>
        <w:tc>
          <w:tcPr>
            <w:tcW w:w="151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技术支持顺序远程</w:t>
            </w:r>
          </w:p>
        </w:tc>
        <w:tc>
          <w:tcPr>
            <w:tcW w:w="187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工作日内，电话响应时间不超过2小时，到现场时间不超过48小时</w:t>
            </w:r>
          </w:p>
        </w:tc>
      </w:tr>
      <w:tr>
        <w:tblPrEx>
          <w:tblCellMar>
            <w:top w:w="0" w:type="dxa"/>
            <w:left w:w="108" w:type="dxa"/>
            <w:bottom w:w="0" w:type="dxa"/>
            <w:right w:w="108" w:type="dxa"/>
          </w:tblCellMar>
        </w:tblPrEx>
        <w:trPr>
          <w:trHeight w:val="1395" w:hRule="atLeast"/>
        </w:trPr>
        <w:tc>
          <w:tcPr>
            <w:tcW w:w="69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8</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数据上报</w:t>
            </w:r>
          </w:p>
        </w:tc>
        <w:tc>
          <w:tcPr>
            <w:tcW w:w="362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根据区域数据上报要求，提供数据上报服务</w:t>
            </w:r>
          </w:p>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1、协助医院完成NICC/NIRC数据上报；</w:t>
            </w:r>
          </w:p>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2、协助医院完成抗菌药物治疗前病原学送检专项整改、哨点医院数据上报；</w:t>
            </w:r>
          </w:p>
        </w:tc>
        <w:tc>
          <w:tcPr>
            <w:tcW w:w="151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技术支持顺序电话、邮箱、微信、远程、现场</w:t>
            </w:r>
          </w:p>
        </w:tc>
        <w:tc>
          <w:tcPr>
            <w:tcW w:w="187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工作日内，电话响应时间不超过2小时，到现场时间不超过48小时</w:t>
            </w:r>
          </w:p>
        </w:tc>
      </w:tr>
    </w:tbl>
    <w:p>
      <w:pPr>
        <w:spacing w:line="360" w:lineRule="auto"/>
        <w:rPr>
          <w:rFonts w:hint="eastAsia" w:ascii="宋体" w:hAnsi="宋体" w:cs="宋体"/>
          <w:color w:val="auto"/>
          <w:sz w:val="24"/>
        </w:rPr>
      </w:pPr>
      <w:r>
        <w:rPr>
          <w:rFonts w:hint="eastAsia" w:ascii="宋体" w:hAnsi="宋体" w:cs="宋体"/>
          <w:color w:val="auto"/>
          <w:sz w:val="24"/>
        </w:rPr>
        <w:t xml:space="preserve"> 服务期满后，满意度调查报告合格，经双方协商后，可续约一年。</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overflowPunct w:val="0"/>
        <w:spacing w:line="360" w:lineRule="auto"/>
        <w:rPr>
          <w:rFonts w:hint="eastAsia" w:ascii="宋体" w:hAnsi="宋体" w:cs="黑体"/>
          <w:b/>
          <w:bCs/>
          <w:sz w:val="28"/>
          <w:szCs w:val="28"/>
        </w:rPr>
      </w:pPr>
      <w:r>
        <w:rPr>
          <w:rFonts w:hint="eastAsia" w:ascii="宋体" w:hAnsi="宋体" w:cs="黑体"/>
          <w:b/>
          <w:bCs/>
          <w:sz w:val="28"/>
          <w:szCs w:val="28"/>
        </w:rPr>
        <w:t>六、定标方法</w:t>
      </w:r>
    </w:p>
    <w:p>
      <w:pPr>
        <w:pStyle w:val="4"/>
        <w:spacing w:line="360" w:lineRule="auto"/>
        <w:ind w:firstLine="0"/>
        <w:rPr>
          <w:rFonts w:hint="eastAsia" w:ascii="宋体" w:hAnsi="宋体" w:cs="宋体"/>
          <w:sz w:val="24"/>
          <w:szCs w:val="24"/>
        </w:rPr>
      </w:pPr>
      <w:r>
        <w:rPr>
          <w:rFonts w:hint="eastAsia" w:ascii="宋体" w:hAnsi="宋体" w:cs="宋体"/>
          <w:sz w:val="24"/>
          <w:szCs w:val="24"/>
        </w:rPr>
        <w:t>1、确定中标候选人</w:t>
      </w:r>
    </w:p>
    <w:p>
      <w:pPr>
        <w:pStyle w:val="4"/>
        <w:spacing w:line="360" w:lineRule="auto"/>
        <w:ind w:firstLine="480" w:firstLineChars="200"/>
        <w:rPr>
          <w:rFonts w:hint="eastAsia" w:ascii="宋体" w:hAnsi="宋体" w:cs="宋体"/>
          <w:sz w:val="24"/>
          <w:szCs w:val="24"/>
        </w:rPr>
      </w:pPr>
      <w:r>
        <w:rPr>
          <w:rFonts w:hint="eastAsia" w:ascii="宋体" w:hAnsi="宋体" w:cs="宋体"/>
          <w:sz w:val="24"/>
          <w:szCs w:val="24"/>
        </w:rPr>
        <w:t>1.1由评标委员会确定中标候选人。</w:t>
      </w:r>
    </w:p>
    <w:p>
      <w:pPr>
        <w:pStyle w:val="4"/>
        <w:spacing w:line="360" w:lineRule="auto"/>
        <w:ind w:firstLine="480" w:firstLineChars="200"/>
        <w:rPr>
          <w:rFonts w:hint="eastAsia" w:ascii="宋体" w:hAnsi="宋体" w:cs="宋体"/>
          <w:sz w:val="24"/>
          <w:szCs w:val="24"/>
        </w:rPr>
      </w:pPr>
      <w:r>
        <w:rPr>
          <w:rFonts w:hint="eastAsia" w:ascii="宋体" w:hAnsi="宋体" w:cs="宋体"/>
          <w:sz w:val="24"/>
          <w:szCs w:val="24"/>
        </w:rPr>
        <w:t>1.2评标委员会依据法律、法规及招标文件有关规定按评审后得分（即技术分与商务分之和）由高到低顺序排序，得分前二名的投标人确定为该项目的第一和第二中标候选人（得分相同报价低的排序第一；得分且报价相同的，技术指标优的排序第一）向采购人推荐。</w:t>
      </w:r>
    </w:p>
    <w:p>
      <w:pPr>
        <w:pStyle w:val="4"/>
        <w:spacing w:line="360" w:lineRule="auto"/>
        <w:ind w:firstLine="0"/>
        <w:rPr>
          <w:rFonts w:hint="eastAsia" w:ascii="宋体" w:hAnsi="宋体" w:cs="宋体"/>
          <w:sz w:val="24"/>
          <w:szCs w:val="24"/>
        </w:rPr>
      </w:pPr>
      <w:r>
        <w:rPr>
          <w:rFonts w:hint="eastAsia" w:ascii="宋体" w:hAnsi="宋体" w:cs="宋体"/>
          <w:sz w:val="24"/>
          <w:szCs w:val="24"/>
        </w:rPr>
        <w:t>2、确定中标人</w:t>
      </w:r>
    </w:p>
    <w:p>
      <w:pPr>
        <w:pStyle w:val="4"/>
        <w:spacing w:line="360" w:lineRule="auto"/>
        <w:ind w:firstLine="480" w:firstLineChars="200"/>
        <w:rPr>
          <w:rFonts w:hint="eastAsia" w:ascii="宋体" w:hAnsi="宋体" w:cs="宋体"/>
          <w:sz w:val="24"/>
          <w:szCs w:val="24"/>
        </w:rPr>
      </w:pPr>
      <w:r>
        <w:rPr>
          <w:rFonts w:hint="eastAsia" w:ascii="宋体" w:hAnsi="宋体" w:cs="宋体"/>
          <w:sz w:val="24"/>
          <w:szCs w:val="24"/>
        </w:rPr>
        <w:t>2.1采购人按照评标报告中推荐的中标候选供应商顺序确定中标人；也可以事先授权评标委员会按照推荐的中标候选供应商顺序直接确定中标人。中标候选人并列的，采取随机抽取的方式确定。</w:t>
      </w:r>
    </w:p>
    <w:p>
      <w:pPr>
        <w:pStyle w:val="4"/>
        <w:spacing w:line="360" w:lineRule="auto"/>
        <w:ind w:firstLine="480" w:firstLineChars="200"/>
        <w:rPr>
          <w:rFonts w:hint="eastAsia" w:ascii="宋体" w:hAnsi="宋体" w:cs="宋体"/>
          <w:sz w:val="24"/>
          <w:szCs w:val="24"/>
        </w:rPr>
      </w:pPr>
      <w:r>
        <w:rPr>
          <w:rFonts w:hint="eastAsia" w:ascii="宋体" w:hAnsi="宋体" w:cs="宋体"/>
          <w:sz w:val="24"/>
          <w:szCs w:val="24"/>
        </w:rPr>
        <w:t>2.2如中标人放弃中标、或未能在规定时间内与采购单位签订合同的；或者经质疑，采购人审查后，确因排名第一的候选人在本次采购活动中存在违法违规行为或其他原因使质疑成立的，采购人可以视情况直接确定排名第二的候选人为中标人或重新组织招标。</w:t>
      </w:r>
    </w:p>
    <w:p>
      <w:pPr>
        <w:pStyle w:val="4"/>
        <w:spacing w:line="360" w:lineRule="auto"/>
        <w:ind w:firstLine="480" w:firstLineChars="200"/>
      </w:pPr>
      <w:r>
        <w:rPr>
          <w:rFonts w:hint="eastAsia" w:ascii="宋体" w:hAnsi="宋体" w:cs="宋体"/>
          <w:sz w:val="24"/>
          <w:szCs w:val="24"/>
        </w:rPr>
        <w:t>3、中标人确定后，采购人将在温州市中医院官网公告中标结果，采购人向中标人发出中标通知书。</w:t>
      </w:r>
    </w:p>
    <w:p>
      <w:pPr>
        <w:rPr>
          <w:b/>
          <w:bCs/>
          <w:sz w:val="28"/>
          <w:szCs w:val="28"/>
        </w:rPr>
      </w:pPr>
      <w:r>
        <w:rPr>
          <w:rFonts w:hint="eastAsia"/>
          <w:b/>
          <w:bCs/>
          <w:sz w:val="28"/>
          <w:szCs w:val="28"/>
        </w:rPr>
        <w:t>七、评分细则</w:t>
      </w:r>
    </w:p>
    <w:p>
      <w:pPr>
        <w:spacing w:line="360" w:lineRule="auto"/>
        <w:rPr>
          <w:rFonts w:hint="eastAsia" w:ascii="宋体" w:hAnsi="宋体" w:cs="宋体"/>
          <w:sz w:val="24"/>
        </w:rPr>
      </w:pPr>
      <w:r>
        <w:rPr>
          <w:rFonts w:hint="eastAsia" w:ascii="宋体" w:hAnsi="宋体" w:cs="宋体"/>
          <w:sz w:val="24"/>
        </w:rPr>
        <w:t>1、技术分的评定（70分)（权值70%）</w:t>
      </w:r>
    </w:p>
    <w:p>
      <w:pPr>
        <w:spacing w:line="360" w:lineRule="auto"/>
        <w:ind w:firstLine="480" w:firstLineChars="200"/>
        <w:rPr>
          <w:rFonts w:hint="eastAsia" w:ascii="宋体" w:hAnsi="宋体" w:cs="宋体"/>
          <w:sz w:val="24"/>
        </w:rPr>
      </w:pPr>
      <w:r>
        <w:rPr>
          <w:rFonts w:hint="eastAsia" w:ascii="宋体" w:hAnsi="宋体" w:cs="宋体"/>
          <w:sz w:val="24"/>
        </w:rPr>
        <w:t>各评委成员按下列评分项目进行评判，每人一张评分计算票，并记名。投标文件各项评分内容由评标委员会成员各自评分，如某张票的一个因素项目超过规定的范围，则该张票无效。各评标委员会成员对各投标人的各项评分内容评分的算术平均值为各投标人技术分得分（小数点后按四舍五入保留2位）。</w:t>
      </w:r>
    </w:p>
    <w:p>
      <w:pPr>
        <w:spacing w:line="360" w:lineRule="auto"/>
        <w:rPr>
          <w:rFonts w:hint="eastAsia" w:ascii="宋体" w:hAnsi="宋体" w:cs="宋体"/>
          <w:sz w:val="24"/>
        </w:rPr>
      </w:pPr>
      <w:r>
        <w:rPr>
          <w:rFonts w:hint="eastAsia" w:ascii="宋体" w:hAnsi="宋体" w:cs="宋体"/>
          <w:sz w:val="24"/>
        </w:rPr>
        <w:t>2、商务标（报价）30分（权值30%）</w:t>
      </w:r>
    </w:p>
    <w:p>
      <w:pPr>
        <w:spacing w:line="360" w:lineRule="auto"/>
        <w:ind w:firstLine="480" w:firstLineChars="200"/>
        <w:rPr>
          <w:rFonts w:hint="eastAsia" w:ascii="宋体" w:hAnsi="宋体" w:cs="宋体"/>
          <w:sz w:val="24"/>
        </w:rPr>
      </w:pPr>
      <w:r>
        <w:rPr>
          <w:rFonts w:hint="eastAsia" w:ascii="宋体" w:hAnsi="宋体" w:cs="宋体"/>
          <w:sz w:val="24"/>
        </w:rPr>
        <w:t>满足招标文件要求且报价最低的报价为评审基准价，其余投标人报价与该基准价对比，计算出商务报价评分值（保留小数2位）：</w:t>
      </w:r>
    </w:p>
    <w:p>
      <w:pPr>
        <w:spacing w:line="360" w:lineRule="auto"/>
        <w:ind w:firstLine="480" w:firstLineChars="200"/>
        <w:rPr>
          <w:rFonts w:hint="eastAsia" w:ascii="宋体" w:hAnsi="宋体" w:cs="宋体"/>
          <w:sz w:val="24"/>
        </w:rPr>
      </w:pPr>
      <w:r>
        <w:rPr>
          <w:rFonts w:hint="eastAsia" w:ascii="宋体" w:hAnsi="宋体" w:cs="宋体"/>
          <w:sz w:val="24"/>
        </w:rPr>
        <w:t>1）有效投标人的报价等于评审基准价时其报价分为满分30分；</w:t>
      </w:r>
    </w:p>
    <w:p>
      <w:pPr>
        <w:spacing w:line="360" w:lineRule="auto"/>
        <w:ind w:firstLine="480" w:firstLineChars="200"/>
        <w:rPr>
          <w:rFonts w:hint="eastAsia" w:ascii="宋体" w:hAnsi="宋体" w:cs="宋体"/>
          <w:sz w:val="24"/>
        </w:rPr>
      </w:pPr>
      <w:r>
        <w:rPr>
          <w:rFonts w:hint="eastAsia" w:ascii="宋体" w:hAnsi="宋体" w:cs="宋体"/>
          <w:sz w:val="24"/>
        </w:rPr>
        <w:t>2）其他投标人的价格分按以下公式计算：</w:t>
      </w:r>
    </w:p>
    <w:p>
      <w:pPr>
        <w:spacing w:line="360" w:lineRule="auto"/>
        <w:ind w:firstLine="480" w:firstLineChars="200"/>
        <w:rPr>
          <w:rFonts w:hint="eastAsia" w:ascii="宋体" w:hAnsi="宋体" w:cs="宋体"/>
          <w:sz w:val="24"/>
        </w:rPr>
      </w:pPr>
      <w:r>
        <w:rPr>
          <w:rFonts w:hint="eastAsia" w:ascii="宋体" w:hAnsi="宋体" w:cs="宋体"/>
          <w:sz w:val="24"/>
        </w:rPr>
        <w:t>报价得分=（评分基准价/投标人投标报价）× 价格权值 ×100（保留小数2位）</w:t>
      </w:r>
    </w:p>
    <w:p>
      <w:pPr>
        <w:spacing w:line="360" w:lineRule="auto"/>
        <w:rPr>
          <w:rFonts w:hint="eastAsia" w:ascii="宋体" w:hAnsi="宋体" w:cs="宋体"/>
          <w:sz w:val="24"/>
        </w:rPr>
      </w:pPr>
      <w:r>
        <w:rPr>
          <w:rFonts w:hint="eastAsia" w:ascii="宋体" w:hAnsi="宋体" w:cs="宋体"/>
          <w:sz w:val="24"/>
        </w:rPr>
        <w:t>3、有效投标人的综合得分为技术分和商务（报价）分的总和。</w:t>
      </w:r>
    </w:p>
    <w:p>
      <w:pPr>
        <w:spacing w:line="360" w:lineRule="auto"/>
        <w:rPr>
          <w:rFonts w:hint="eastAsia" w:ascii="宋体" w:hAnsi="宋体" w:cs="宋体"/>
          <w:sz w:val="24"/>
        </w:rPr>
      </w:pPr>
      <w:r>
        <w:rPr>
          <w:rFonts w:hint="eastAsia" w:ascii="宋体" w:hAnsi="宋体" w:cs="宋体"/>
          <w:sz w:val="24"/>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4"/>
      </w:pPr>
    </w:p>
    <w:p/>
    <w:p>
      <w:pPr>
        <w:pStyle w:val="4"/>
      </w:pPr>
    </w:p>
    <w:p/>
    <w:p/>
    <w:p/>
    <w:p/>
    <w:p/>
    <w:p/>
    <w:p/>
    <w:p/>
    <w:p/>
    <w:p/>
    <w:p/>
    <w:p/>
    <w:p/>
    <w:p/>
    <w:p/>
    <w:p/>
    <w:p/>
    <w:p>
      <w:pPr>
        <w:pStyle w:val="2"/>
        <w:rPr>
          <w:sz w:val="28"/>
          <w:szCs w:val="28"/>
        </w:rPr>
      </w:pPr>
      <w:r>
        <w:rPr>
          <w:rFonts w:hint="eastAsia"/>
          <w:sz w:val="28"/>
          <w:szCs w:val="28"/>
        </w:rPr>
        <w:t>八、附件</w:t>
      </w:r>
    </w:p>
    <w:p>
      <w:pPr>
        <w:spacing w:line="360" w:lineRule="auto"/>
        <w:rPr>
          <w:rFonts w:hint="eastAsia" w:ascii="宋体" w:hAnsi="宋体"/>
          <w:b/>
          <w:sz w:val="22"/>
          <w:szCs w:val="22"/>
        </w:rPr>
      </w:pPr>
      <w:r>
        <w:rPr>
          <w:rFonts w:hint="eastAsia" w:ascii="宋体" w:hAnsi="宋体"/>
          <w:b/>
          <w:sz w:val="22"/>
          <w:szCs w:val="22"/>
        </w:rPr>
        <w:t>1、技术评分：满分70分</w:t>
      </w:r>
    </w:p>
    <w:tbl>
      <w:tblPr>
        <w:tblStyle w:val="13"/>
        <w:tblW w:w="9418"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shd w:val="clear" w:color="auto" w:fill="FFFFFF"/>
        <w:tblLayout w:type="fixed"/>
        <w:tblCellMar>
          <w:top w:w="0" w:type="dxa"/>
          <w:left w:w="108" w:type="dxa"/>
          <w:bottom w:w="0" w:type="dxa"/>
          <w:right w:w="108" w:type="dxa"/>
        </w:tblCellMar>
      </w:tblPr>
      <w:tblGrid>
        <w:gridCol w:w="1229"/>
        <w:gridCol w:w="1575"/>
        <w:gridCol w:w="6614"/>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24" w:hRule="atLeast"/>
          <w:jc w:val="center"/>
        </w:trPr>
        <w:tc>
          <w:tcPr>
            <w:tcW w:w="1229" w:type="dxa"/>
            <w:shd w:val="clear" w:color="auto" w:fill="FFFFFF"/>
            <w:vAlign w:val="center"/>
          </w:tcPr>
          <w:p>
            <w:pPr>
              <w:spacing w:before="156" w:line="360" w:lineRule="auto"/>
              <w:rPr>
                <w:rFonts w:hint="eastAsia" w:ascii="宋体" w:hAnsi="宋体"/>
                <w:b/>
                <w:bCs/>
                <w:caps/>
                <w:szCs w:val="21"/>
              </w:rPr>
            </w:pPr>
            <w:r>
              <w:rPr>
                <w:rFonts w:hint="eastAsia" w:ascii="宋体" w:hAnsi="宋体"/>
                <w:b/>
                <w:bCs/>
                <w:caps/>
                <w:szCs w:val="21"/>
              </w:rPr>
              <w:t>内容</w:t>
            </w:r>
          </w:p>
        </w:tc>
        <w:tc>
          <w:tcPr>
            <w:tcW w:w="1575" w:type="dxa"/>
            <w:shd w:val="clear" w:color="auto" w:fill="FFFFFF"/>
            <w:vAlign w:val="center"/>
          </w:tcPr>
          <w:p>
            <w:pPr>
              <w:spacing w:before="156" w:line="360" w:lineRule="auto"/>
              <w:rPr>
                <w:rFonts w:hint="eastAsia" w:ascii="宋体" w:hAnsi="宋体"/>
                <w:b/>
                <w:bCs/>
                <w:caps/>
                <w:szCs w:val="21"/>
              </w:rPr>
            </w:pPr>
            <w:r>
              <w:rPr>
                <w:rFonts w:hint="eastAsia" w:ascii="宋体" w:hAnsi="宋体"/>
                <w:b/>
                <w:bCs/>
                <w:caps/>
                <w:szCs w:val="21"/>
              </w:rPr>
              <w:t>分值</w:t>
            </w:r>
          </w:p>
        </w:tc>
        <w:tc>
          <w:tcPr>
            <w:tcW w:w="6614" w:type="dxa"/>
            <w:shd w:val="clear" w:color="auto" w:fill="FFFFFF"/>
            <w:vAlign w:val="center"/>
          </w:tcPr>
          <w:p>
            <w:pPr>
              <w:spacing w:before="156" w:line="360" w:lineRule="auto"/>
              <w:rPr>
                <w:rFonts w:hint="eastAsia" w:ascii="宋体" w:hAnsi="宋体"/>
                <w:b/>
                <w:bCs/>
                <w:caps/>
                <w:szCs w:val="21"/>
              </w:rPr>
            </w:pPr>
            <w:r>
              <w:rPr>
                <w:rFonts w:hint="eastAsia" w:ascii="宋体" w:hAnsi="宋体"/>
                <w:b/>
                <w:bCs/>
                <w:caps/>
                <w:szCs w:val="21"/>
              </w:rPr>
              <w:t>评分细则</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534" w:hRule="atLeast"/>
          <w:jc w:val="center"/>
        </w:trPr>
        <w:tc>
          <w:tcPr>
            <w:tcW w:w="1229" w:type="dxa"/>
            <w:vMerge w:val="restart"/>
            <w:shd w:val="clear" w:color="auto" w:fill="FFFFFF"/>
            <w:vAlign w:val="center"/>
          </w:tcPr>
          <w:p>
            <w:pPr>
              <w:spacing w:before="156" w:line="360" w:lineRule="auto"/>
              <w:rPr>
                <w:rFonts w:hint="eastAsia" w:ascii="宋体" w:hAnsi="宋体"/>
                <w:sz w:val="18"/>
                <w:szCs w:val="18"/>
              </w:rPr>
            </w:pPr>
          </w:p>
          <w:p>
            <w:pPr>
              <w:spacing w:before="156"/>
              <w:rPr>
                <w:rFonts w:hint="eastAsia" w:ascii="宋体" w:hAnsi="宋体"/>
                <w:sz w:val="18"/>
                <w:szCs w:val="18"/>
              </w:rPr>
            </w:pPr>
            <w:r>
              <w:rPr>
                <w:rFonts w:hint="eastAsia" w:ascii="宋体" w:hAnsi="宋体"/>
                <w:b/>
                <w:bCs/>
                <w:szCs w:val="21"/>
              </w:rPr>
              <w:t>资质部分</w:t>
            </w:r>
          </w:p>
        </w:tc>
        <w:tc>
          <w:tcPr>
            <w:tcW w:w="1575" w:type="dxa"/>
            <w:shd w:val="clear" w:color="auto" w:fill="FFFFFF"/>
            <w:vAlign w:val="center"/>
          </w:tcPr>
          <w:p>
            <w:pPr>
              <w:spacing w:before="156"/>
              <w:rPr>
                <w:rFonts w:hint="eastAsia" w:ascii="宋体" w:hAnsi="宋体"/>
                <w:szCs w:val="21"/>
              </w:rPr>
            </w:pPr>
            <w:r>
              <w:rPr>
                <w:rFonts w:hint="eastAsia" w:ascii="宋体" w:hAnsi="宋体"/>
                <w:szCs w:val="21"/>
              </w:rPr>
              <w:t>3</w:t>
            </w:r>
          </w:p>
        </w:tc>
        <w:tc>
          <w:tcPr>
            <w:tcW w:w="6614" w:type="dxa"/>
            <w:shd w:val="clear" w:color="auto" w:fill="FFFFFF"/>
            <w:vAlign w:val="center"/>
          </w:tcPr>
          <w:p>
            <w:pPr>
              <w:spacing w:before="156"/>
              <w:rPr>
                <w:rFonts w:hint="eastAsia" w:ascii="宋体" w:hAnsi="宋体"/>
                <w:szCs w:val="21"/>
              </w:rPr>
            </w:pPr>
            <w:r>
              <w:rPr>
                <w:rFonts w:hint="eastAsia" w:ascii="宋体" w:hAnsi="宋体"/>
                <w:szCs w:val="21"/>
              </w:rPr>
              <w:t>投标人已取得ISO9001质量管理体系认证证书3分：有3分，没有不得分(提供复印件</w:t>
            </w:r>
            <w:r>
              <w:rPr>
                <w:rFonts w:hint="eastAsia" w:ascii="宋体" w:hAnsi="宋体"/>
                <w:szCs w:val="21"/>
                <w:lang w:val="en-US" w:eastAsia="zh-CN"/>
              </w:rPr>
              <w:t>并加盖投标人公章</w:t>
            </w:r>
            <w:r>
              <w:rPr>
                <w:rFonts w:hint="eastAsia" w:ascii="宋体" w:hAnsi="宋体"/>
                <w:szCs w:val="21"/>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229" w:type="dxa"/>
            <w:vMerge w:val="continue"/>
            <w:shd w:val="clear" w:color="auto" w:fill="FFFFFF"/>
            <w:vAlign w:val="center"/>
          </w:tcPr>
          <w:p>
            <w:pPr>
              <w:spacing w:before="156" w:line="360" w:lineRule="auto"/>
              <w:rPr>
                <w:rFonts w:hint="eastAsia" w:ascii="宋体" w:hAnsi="宋体"/>
                <w:sz w:val="18"/>
                <w:szCs w:val="18"/>
              </w:rPr>
            </w:pPr>
          </w:p>
        </w:tc>
        <w:tc>
          <w:tcPr>
            <w:tcW w:w="1575" w:type="dxa"/>
            <w:shd w:val="clear" w:color="auto" w:fill="FFFFFF"/>
            <w:vAlign w:val="center"/>
          </w:tcPr>
          <w:p>
            <w:pPr>
              <w:spacing w:before="156"/>
              <w:rPr>
                <w:rFonts w:hint="eastAsia" w:ascii="宋体" w:hAnsi="宋体"/>
                <w:szCs w:val="21"/>
              </w:rPr>
            </w:pPr>
            <w:r>
              <w:rPr>
                <w:rFonts w:hint="eastAsia" w:ascii="宋体" w:hAnsi="宋体"/>
                <w:szCs w:val="21"/>
              </w:rPr>
              <w:t>3</w:t>
            </w:r>
          </w:p>
        </w:tc>
        <w:tc>
          <w:tcPr>
            <w:tcW w:w="6614" w:type="dxa"/>
            <w:shd w:val="clear" w:color="auto" w:fill="FFFFFF"/>
            <w:vAlign w:val="center"/>
          </w:tcPr>
          <w:p>
            <w:pPr>
              <w:spacing w:before="156"/>
              <w:rPr>
                <w:rFonts w:hint="eastAsia" w:ascii="宋体" w:hAnsi="宋体"/>
                <w:szCs w:val="21"/>
              </w:rPr>
            </w:pPr>
            <w:r>
              <w:rPr>
                <w:rFonts w:hint="eastAsia" w:ascii="宋体" w:hAnsi="宋体"/>
                <w:szCs w:val="21"/>
              </w:rPr>
              <w:t>投标人已取得省级“守合同重信用”企业证书3分：有3分，没有不得分(提供复印件</w:t>
            </w:r>
            <w:r>
              <w:rPr>
                <w:rFonts w:hint="eastAsia" w:ascii="宋体" w:hAnsi="宋体"/>
                <w:szCs w:val="21"/>
                <w:lang w:val="en-US" w:eastAsia="zh-CN"/>
              </w:rPr>
              <w:t>并加盖投标人公章</w:t>
            </w:r>
            <w:r>
              <w:rPr>
                <w:rFonts w:hint="eastAsia" w:ascii="宋体" w:hAnsi="宋体"/>
                <w:szCs w:val="21"/>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414" w:hRule="atLeast"/>
          <w:jc w:val="center"/>
        </w:trPr>
        <w:tc>
          <w:tcPr>
            <w:tcW w:w="1229" w:type="dxa"/>
            <w:vMerge w:val="continue"/>
            <w:shd w:val="clear" w:color="auto" w:fill="FFFFFF"/>
            <w:vAlign w:val="center"/>
          </w:tcPr>
          <w:p>
            <w:pPr>
              <w:spacing w:before="156" w:line="360" w:lineRule="auto"/>
              <w:rPr>
                <w:rFonts w:hint="eastAsia" w:ascii="宋体" w:hAnsi="宋体"/>
                <w:sz w:val="18"/>
                <w:szCs w:val="18"/>
              </w:rPr>
            </w:pPr>
          </w:p>
        </w:tc>
        <w:tc>
          <w:tcPr>
            <w:tcW w:w="1575" w:type="dxa"/>
            <w:shd w:val="clear" w:color="auto" w:fill="FFFFFF"/>
            <w:vAlign w:val="center"/>
          </w:tcPr>
          <w:p>
            <w:pPr>
              <w:spacing w:before="156"/>
              <w:rPr>
                <w:rFonts w:hint="eastAsia" w:ascii="宋体" w:hAnsi="宋体"/>
                <w:szCs w:val="21"/>
              </w:rPr>
            </w:pPr>
            <w:r>
              <w:rPr>
                <w:rFonts w:hint="eastAsia" w:ascii="宋体" w:hAnsi="宋体"/>
                <w:szCs w:val="21"/>
              </w:rPr>
              <w:t>3</w:t>
            </w:r>
          </w:p>
        </w:tc>
        <w:tc>
          <w:tcPr>
            <w:tcW w:w="6614" w:type="dxa"/>
            <w:shd w:val="clear" w:color="auto" w:fill="FFFFFF"/>
            <w:vAlign w:val="center"/>
          </w:tcPr>
          <w:p>
            <w:pPr>
              <w:spacing w:before="156"/>
              <w:rPr>
                <w:rFonts w:hint="eastAsia" w:ascii="宋体" w:hAnsi="宋体"/>
                <w:szCs w:val="21"/>
              </w:rPr>
            </w:pPr>
            <w:r>
              <w:rPr>
                <w:rFonts w:hint="eastAsia" w:ascii="宋体" w:hAnsi="宋体"/>
                <w:szCs w:val="21"/>
              </w:rPr>
              <w:t>投标人已取得院感监控系统软件著作权登记证书3分：有3分，没有不得分(提供复印件</w:t>
            </w:r>
            <w:r>
              <w:rPr>
                <w:rFonts w:hint="eastAsia" w:ascii="宋体" w:hAnsi="宋体"/>
                <w:szCs w:val="21"/>
                <w:lang w:val="en-US" w:eastAsia="zh-CN"/>
              </w:rPr>
              <w:t>并加盖投标人公章</w:t>
            </w:r>
            <w:r>
              <w:rPr>
                <w:rFonts w:hint="eastAsia" w:ascii="宋体" w:hAnsi="宋体"/>
                <w:szCs w:val="21"/>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414" w:hRule="atLeast"/>
          <w:jc w:val="center"/>
        </w:trPr>
        <w:tc>
          <w:tcPr>
            <w:tcW w:w="1229" w:type="dxa"/>
            <w:vMerge w:val="continue"/>
            <w:shd w:val="clear" w:color="auto" w:fill="FFFFFF"/>
            <w:vAlign w:val="center"/>
          </w:tcPr>
          <w:p>
            <w:pPr>
              <w:spacing w:before="156" w:line="360" w:lineRule="auto"/>
              <w:rPr>
                <w:rFonts w:hint="eastAsia" w:ascii="宋体" w:hAnsi="宋体"/>
                <w:sz w:val="18"/>
                <w:szCs w:val="18"/>
              </w:rPr>
            </w:pPr>
          </w:p>
        </w:tc>
        <w:tc>
          <w:tcPr>
            <w:tcW w:w="1575" w:type="dxa"/>
            <w:shd w:val="clear" w:color="auto" w:fill="FFFFFF"/>
            <w:vAlign w:val="center"/>
          </w:tcPr>
          <w:p>
            <w:pPr>
              <w:spacing w:before="156"/>
              <w:rPr>
                <w:rFonts w:hint="eastAsia" w:ascii="宋体" w:hAnsi="宋体" w:eastAsia="宋体"/>
                <w:szCs w:val="21"/>
                <w:lang w:eastAsia="zh-CN"/>
              </w:rPr>
            </w:pPr>
            <w:r>
              <w:rPr>
                <w:rFonts w:hint="eastAsia" w:ascii="宋体" w:hAnsi="宋体"/>
                <w:szCs w:val="21"/>
                <w:lang w:val="en-US" w:eastAsia="zh-CN"/>
              </w:rPr>
              <w:t>7</w:t>
            </w:r>
          </w:p>
        </w:tc>
        <w:tc>
          <w:tcPr>
            <w:tcW w:w="6614" w:type="dxa"/>
            <w:shd w:val="clear" w:color="auto" w:fill="FFFFFF"/>
            <w:vAlign w:val="center"/>
          </w:tcPr>
          <w:p>
            <w:pPr>
              <w:spacing w:before="156"/>
              <w:rPr>
                <w:rFonts w:hint="eastAsia" w:ascii="宋体" w:hAnsi="宋体"/>
                <w:szCs w:val="21"/>
              </w:rPr>
            </w:pPr>
            <w:r>
              <w:rPr>
                <w:rFonts w:hint="eastAsia" w:ascii="宋体" w:hAnsi="宋体"/>
                <w:szCs w:val="21"/>
              </w:rPr>
              <w:t>提供项目团队人员的数量、专业素质、技术能力，相关类似项目对应的服务经验，项目组人员工作履历、服务单位证明材料等情况：有软考高级证书，有一个证书</w:t>
            </w:r>
            <w:r>
              <w:rPr>
                <w:rFonts w:hint="eastAsia" w:ascii="宋体" w:hAnsi="宋体"/>
                <w:szCs w:val="21"/>
                <w:lang w:val="en-US" w:eastAsia="zh-CN"/>
              </w:rPr>
              <w:t>得</w:t>
            </w:r>
            <w:r>
              <w:rPr>
                <w:rFonts w:hint="eastAsia" w:ascii="宋体" w:hAnsi="宋体"/>
                <w:szCs w:val="21"/>
              </w:rPr>
              <w:t>2分，有软考中级证书，有一个证书</w:t>
            </w:r>
            <w:r>
              <w:rPr>
                <w:rFonts w:hint="eastAsia" w:ascii="宋体" w:hAnsi="宋体"/>
                <w:szCs w:val="21"/>
                <w:lang w:val="en-US" w:eastAsia="zh-CN"/>
              </w:rPr>
              <w:t>得</w:t>
            </w:r>
            <w:r>
              <w:rPr>
                <w:rFonts w:hint="eastAsia" w:ascii="宋体" w:hAnsi="宋体"/>
                <w:szCs w:val="21"/>
              </w:rPr>
              <w:t>1分，每个人员不能重复得分，最高得</w:t>
            </w:r>
            <w:r>
              <w:rPr>
                <w:rFonts w:hint="eastAsia" w:ascii="宋体" w:hAnsi="宋体"/>
                <w:szCs w:val="21"/>
                <w:lang w:val="en-US" w:eastAsia="zh-CN"/>
              </w:rPr>
              <w:t>7</w:t>
            </w:r>
            <w:r>
              <w:rPr>
                <w:rFonts w:hint="eastAsia" w:ascii="宋体" w:hAnsi="宋体"/>
                <w:szCs w:val="21"/>
              </w:rPr>
              <w:t>分；(提供</w:t>
            </w:r>
            <w:r>
              <w:rPr>
                <w:rFonts w:hint="eastAsia" w:ascii="宋体" w:hAnsi="宋体"/>
                <w:szCs w:val="21"/>
                <w:lang w:val="en-US" w:eastAsia="zh-CN"/>
              </w:rPr>
              <w:t>近</w:t>
            </w:r>
            <w:r>
              <w:rPr>
                <w:rFonts w:hint="eastAsia" w:ascii="宋体" w:hAnsi="宋体"/>
                <w:szCs w:val="21"/>
              </w:rPr>
              <w:t>3</w:t>
            </w:r>
            <w:r>
              <w:rPr>
                <w:rFonts w:hint="eastAsia" w:ascii="宋体" w:hAnsi="宋体"/>
                <w:szCs w:val="21"/>
                <w:lang w:val="en-US" w:eastAsia="zh-CN"/>
              </w:rPr>
              <w:t>个</w:t>
            </w:r>
            <w:r>
              <w:rPr>
                <w:rFonts w:hint="eastAsia" w:ascii="宋体" w:hAnsi="宋体"/>
                <w:szCs w:val="21"/>
              </w:rPr>
              <w:t>月社保证明及证书复印件</w:t>
            </w:r>
            <w:r>
              <w:rPr>
                <w:rFonts w:hint="eastAsia" w:ascii="宋体" w:hAnsi="宋体"/>
                <w:szCs w:val="21"/>
                <w:lang w:eastAsia="zh-CN"/>
              </w:rPr>
              <w:t>，</w:t>
            </w:r>
            <w:r>
              <w:rPr>
                <w:rFonts w:hint="eastAsia" w:ascii="宋体" w:hAnsi="宋体"/>
                <w:szCs w:val="21"/>
                <w:lang w:val="en-US" w:eastAsia="zh-CN"/>
              </w:rPr>
              <w:t>加盖投标人公章</w:t>
            </w:r>
            <w:r>
              <w:rPr>
                <w:rFonts w:hint="eastAsia" w:ascii="宋体" w:hAnsi="宋体"/>
                <w:szCs w:val="21"/>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454" w:hRule="atLeast"/>
          <w:jc w:val="center"/>
        </w:trPr>
        <w:tc>
          <w:tcPr>
            <w:tcW w:w="1229" w:type="dxa"/>
            <w:vMerge w:val="continue"/>
            <w:shd w:val="clear" w:color="auto" w:fill="FFFFFF"/>
            <w:vAlign w:val="center"/>
          </w:tcPr>
          <w:p>
            <w:pPr>
              <w:spacing w:before="156" w:line="360" w:lineRule="auto"/>
              <w:rPr>
                <w:rFonts w:hint="eastAsia" w:ascii="宋体" w:hAnsi="宋体"/>
                <w:sz w:val="18"/>
                <w:szCs w:val="18"/>
              </w:rPr>
            </w:pPr>
          </w:p>
        </w:tc>
        <w:tc>
          <w:tcPr>
            <w:tcW w:w="1575" w:type="dxa"/>
            <w:shd w:val="clear" w:color="auto" w:fill="FFFFFF"/>
            <w:vAlign w:val="center"/>
          </w:tcPr>
          <w:p>
            <w:pPr>
              <w:spacing w:before="156"/>
              <w:rPr>
                <w:rFonts w:hint="eastAsia" w:ascii="宋体" w:hAnsi="宋体"/>
                <w:szCs w:val="21"/>
              </w:rPr>
            </w:pPr>
            <w:r>
              <w:rPr>
                <w:rFonts w:hint="eastAsia" w:ascii="宋体" w:hAnsi="宋体"/>
                <w:szCs w:val="21"/>
                <w:lang w:val="en-US" w:eastAsia="zh-CN"/>
              </w:rPr>
              <w:t>3</w:t>
            </w:r>
          </w:p>
        </w:tc>
        <w:tc>
          <w:tcPr>
            <w:tcW w:w="6614" w:type="dxa"/>
            <w:shd w:val="clear" w:color="auto" w:fill="FFFFFF"/>
            <w:vAlign w:val="center"/>
          </w:tcPr>
          <w:p>
            <w:pPr>
              <w:spacing w:before="156"/>
              <w:rPr>
                <w:rFonts w:hint="eastAsia" w:ascii="宋体" w:hAnsi="宋体"/>
                <w:szCs w:val="21"/>
              </w:rPr>
            </w:pPr>
            <w:r>
              <w:rPr>
                <w:rFonts w:hint="eastAsia" w:ascii="宋体" w:hAnsi="宋体" w:cs="微软雅黑"/>
                <w:szCs w:val="21"/>
              </w:rPr>
              <w:t>投标人提供20</w:t>
            </w:r>
            <w:r>
              <w:rPr>
                <w:rFonts w:ascii="宋体" w:hAnsi="宋体" w:cs="微软雅黑"/>
                <w:szCs w:val="21"/>
              </w:rPr>
              <w:t>21</w:t>
            </w:r>
            <w:r>
              <w:rPr>
                <w:rFonts w:hint="eastAsia" w:ascii="宋体" w:hAnsi="宋体" w:cs="微软雅黑"/>
                <w:szCs w:val="21"/>
              </w:rPr>
              <w:t>年1月1日以来的类似案例业绩，每提供1个业绩得1分，最高得</w:t>
            </w:r>
            <w:r>
              <w:rPr>
                <w:rFonts w:hint="eastAsia" w:ascii="宋体" w:hAnsi="宋体" w:cs="微软雅黑"/>
                <w:szCs w:val="21"/>
                <w:lang w:val="en-US" w:eastAsia="zh-CN"/>
              </w:rPr>
              <w:t>3</w:t>
            </w:r>
            <w:r>
              <w:rPr>
                <w:rFonts w:hint="eastAsia" w:ascii="宋体" w:hAnsi="宋体" w:cs="微软雅黑"/>
                <w:szCs w:val="21"/>
              </w:rPr>
              <w:t>分（提供合同复印件加盖公章</w:t>
            </w:r>
            <w:r>
              <w:rPr>
                <w:rFonts w:ascii="宋体" w:hAnsi="宋体" w:cs="微软雅黑"/>
                <w:szCs w:val="21"/>
              </w:rPr>
              <w:t>，不提供不得分</w:t>
            </w:r>
            <w:r>
              <w:rPr>
                <w:rFonts w:hint="eastAsia" w:ascii="宋体" w:hAnsi="宋体" w:cs="微软雅黑"/>
                <w:szCs w:val="21"/>
                <w:lang w:eastAsia="zh-CN"/>
              </w:rPr>
              <w:t>，</w:t>
            </w:r>
            <w:r>
              <w:rPr>
                <w:rFonts w:hint="eastAsia" w:ascii="宋体" w:hAnsi="宋体" w:cs="微软雅黑"/>
                <w:szCs w:val="21"/>
                <w:lang w:val="en-US" w:eastAsia="zh-CN"/>
              </w:rPr>
              <w:t>与同一采购人签订的多份合同视为1个业绩</w:t>
            </w:r>
            <w:r>
              <w:rPr>
                <w:rFonts w:hint="eastAsia" w:ascii="宋体" w:hAnsi="宋体" w:cs="微软雅黑"/>
                <w:szCs w:val="21"/>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229" w:type="dxa"/>
            <w:vMerge w:val="restart"/>
            <w:shd w:val="clear" w:color="auto" w:fill="FFFFFF"/>
            <w:vAlign w:val="center"/>
          </w:tcPr>
          <w:p>
            <w:pPr>
              <w:spacing w:before="156"/>
              <w:rPr>
                <w:rFonts w:hint="eastAsia" w:ascii="宋体" w:hAnsi="宋体"/>
                <w:b/>
                <w:bCs/>
                <w:szCs w:val="21"/>
              </w:rPr>
            </w:pPr>
          </w:p>
          <w:p>
            <w:pPr>
              <w:spacing w:before="156"/>
              <w:rPr>
                <w:rFonts w:hint="eastAsia" w:ascii="宋体" w:hAnsi="宋体"/>
                <w:sz w:val="18"/>
                <w:szCs w:val="18"/>
              </w:rPr>
            </w:pPr>
            <w:r>
              <w:rPr>
                <w:rFonts w:ascii="宋体" w:hAnsi="宋体"/>
                <w:b/>
                <w:bCs/>
                <w:szCs w:val="21"/>
              </w:rPr>
              <w:t>技术部分</w:t>
            </w:r>
          </w:p>
        </w:tc>
        <w:tc>
          <w:tcPr>
            <w:tcW w:w="1575" w:type="dxa"/>
            <w:shd w:val="clear" w:color="auto" w:fill="FFFFFF"/>
            <w:vAlign w:val="center"/>
          </w:tcPr>
          <w:p>
            <w:pPr>
              <w:spacing w:before="156"/>
              <w:rPr>
                <w:rFonts w:hint="eastAsia" w:ascii="宋体" w:hAnsi="宋体"/>
                <w:szCs w:val="21"/>
              </w:rPr>
            </w:pPr>
            <w:r>
              <w:rPr>
                <w:rFonts w:hint="eastAsia" w:ascii="宋体" w:hAnsi="宋体"/>
                <w:szCs w:val="21"/>
              </w:rPr>
              <w:t>21</w:t>
            </w:r>
          </w:p>
        </w:tc>
        <w:tc>
          <w:tcPr>
            <w:tcW w:w="6614" w:type="dxa"/>
            <w:shd w:val="clear" w:color="auto" w:fill="FFFFFF"/>
            <w:vAlign w:val="center"/>
          </w:tcPr>
          <w:p>
            <w:pPr>
              <w:spacing w:before="156"/>
              <w:rPr>
                <w:rFonts w:hint="eastAsia" w:ascii="宋体" w:hAnsi="宋体"/>
                <w:szCs w:val="21"/>
              </w:rPr>
            </w:pPr>
            <w:r>
              <w:rPr>
                <w:rFonts w:hint="eastAsia"/>
                <w:szCs w:val="21"/>
              </w:rPr>
              <w:t>所供的技术参数均能满足招标文件性能指标及技术参数要求的得21分，有负偏离或缺漏项的每项扣3分，本项扣至0分为止。</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454" w:hRule="atLeast"/>
          <w:jc w:val="center"/>
        </w:trPr>
        <w:tc>
          <w:tcPr>
            <w:tcW w:w="1229" w:type="dxa"/>
            <w:vMerge w:val="continue"/>
            <w:shd w:val="clear" w:color="auto" w:fill="FFFFFF"/>
            <w:vAlign w:val="center"/>
          </w:tcPr>
          <w:p>
            <w:pPr>
              <w:spacing w:before="156"/>
              <w:rPr>
                <w:rFonts w:hint="eastAsia" w:ascii="宋体" w:hAnsi="宋体"/>
                <w:sz w:val="18"/>
                <w:szCs w:val="18"/>
              </w:rPr>
            </w:pPr>
          </w:p>
        </w:tc>
        <w:tc>
          <w:tcPr>
            <w:tcW w:w="1575" w:type="dxa"/>
            <w:shd w:val="clear" w:color="auto" w:fill="FFFFFF"/>
            <w:vAlign w:val="center"/>
          </w:tcPr>
          <w:p>
            <w:pPr>
              <w:spacing w:before="156"/>
              <w:rPr>
                <w:rFonts w:hint="eastAsia" w:ascii="宋体" w:hAnsi="宋体"/>
                <w:szCs w:val="21"/>
              </w:rPr>
            </w:pPr>
            <w:r>
              <w:rPr>
                <w:rFonts w:hint="eastAsia" w:ascii="宋体" w:hAnsi="宋体"/>
                <w:szCs w:val="21"/>
              </w:rPr>
              <w:t>10</w:t>
            </w:r>
          </w:p>
        </w:tc>
        <w:tc>
          <w:tcPr>
            <w:tcW w:w="6614" w:type="dxa"/>
            <w:shd w:val="clear" w:color="auto" w:fill="FFFFFF"/>
            <w:vAlign w:val="center"/>
          </w:tcPr>
          <w:p>
            <w:pPr>
              <w:spacing w:before="156"/>
              <w:rPr>
                <w:rFonts w:hint="eastAsia" w:ascii="宋体" w:hAnsi="宋体"/>
                <w:szCs w:val="21"/>
              </w:rPr>
            </w:pPr>
            <w:r>
              <w:rPr>
                <w:rFonts w:hint="eastAsia" w:ascii="宋体" w:hAnsi="宋体"/>
                <w:szCs w:val="21"/>
              </w:rPr>
              <w:t>根据投标人的工期响应速度打分（0-10分）</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454" w:hRule="atLeast"/>
          <w:jc w:val="center"/>
        </w:trPr>
        <w:tc>
          <w:tcPr>
            <w:tcW w:w="1229" w:type="dxa"/>
            <w:vMerge w:val="continue"/>
            <w:shd w:val="clear" w:color="auto" w:fill="FFFFFF"/>
            <w:vAlign w:val="center"/>
          </w:tcPr>
          <w:p>
            <w:pPr>
              <w:spacing w:before="156"/>
              <w:rPr>
                <w:rFonts w:hint="eastAsia" w:ascii="宋体" w:hAnsi="宋体"/>
                <w:sz w:val="18"/>
                <w:szCs w:val="18"/>
              </w:rPr>
            </w:pPr>
          </w:p>
        </w:tc>
        <w:tc>
          <w:tcPr>
            <w:tcW w:w="1575" w:type="dxa"/>
            <w:shd w:val="clear" w:color="auto" w:fill="FFFFFF"/>
            <w:vAlign w:val="center"/>
          </w:tcPr>
          <w:p>
            <w:pPr>
              <w:spacing w:before="156"/>
              <w:rPr>
                <w:rFonts w:hint="eastAsia" w:ascii="宋体" w:hAnsi="宋体"/>
                <w:szCs w:val="21"/>
              </w:rPr>
            </w:pPr>
            <w:r>
              <w:rPr>
                <w:rFonts w:hint="eastAsia" w:ascii="宋体" w:hAnsi="宋体"/>
                <w:szCs w:val="21"/>
              </w:rPr>
              <w:t>10</w:t>
            </w:r>
          </w:p>
        </w:tc>
        <w:tc>
          <w:tcPr>
            <w:tcW w:w="6614" w:type="dxa"/>
            <w:shd w:val="clear" w:color="auto" w:fill="FFFFFF"/>
            <w:vAlign w:val="center"/>
          </w:tcPr>
          <w:p>
            <w:pPr>
              <w:spacing w:before="156"/>
              <w:rPr>
                <w:rFonts w:hint="eastAsia" w:ascii="宋体" w:hAnsi="宋体"/>
                <w:szCs w:val="21"/>
              </w:rPr>
            </w:pPr>
            <w:r>
              <w:rPr>
                <w:rFonts w:hint="eastAsia" w:ascii="宋体" w:hAnsi="宋体" w:cs="宋体"/>
                <w:color w:val="000000"/>
                <w:kern w:val="0"/>
                <w:szCs w:val="21"/>
                <w:lang w:bidi="ar"/>
              </w:rPr>
              <w:t>投标人项目组织实施方案的科学性、合理性、规范性和可操作性，包括安装调试、组织机构、工作时间进度表、工作程序和步骤、管理和协调方法等。</w:t>
            </w:r>
            <w:r>
              <w:rPr>
                <w:rFonts w:hint="eastAsia" w:ascii="宋体" w:hAnsi="宋体"/>
                <w:szCs w:val="21"/>
              </w:rPr>
              <w:t>（0-10分）</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454" w:hRule="atLeast"/>
          <w:jc w:val="center"/>
        </w:trPr>
        <w:tc>
          <w:tcPr>
            <w:tcW w:w="1229" w:type="dxa"/>
            <w:vMerge w:val="continue"/>
            <w:shd w:val="clear" w:color="auto" w:fill="FFFFFF"/>
            <w:vAlign w:val="center"/>
          </w:tcPr>
          <w:p>
            <w:pPr>
              <w:spacing w:before="156"/>
              <w:rPr>
                <w:rFonts w:hint="eastAsia" w:ascii="宋体" w:hAnsi="宋体"/>
                <w:sz w:val="18"/>
                <w:szCs w:val="18"/>
              </w:rPr>
            </w:pPr>
          </w:p>
        </w:tc>
        <w:tc>
          <w:tcPr>
            <w:tcW w:w="1575" w:type="dxa"/>
            <w:shd w:val="clear" w:color="auto" w:fill="FFFFFF"/>
            <w:vAlign w:val="center"/>
          </w:tcPr>
          <w:p>
            <w:pPr>
              <w:spacing w:before="156"/>
              <w:rPr>
                <w:rFonts w:hint="eastAsia" w:ascii="宋体" w:hAnsi="宋体"/>
                <w:szCs w:val="21"/>
              </w:rPr>
            </w:pPr>
            <w:r>
              <w:rPr>
                <w:rFonts w:hint="eastAsia" w:ascii="宋体" w:hAnsi="宋体"/>
                <w:szCs w:val="21"/>
              </w:rPr>
              <w:t>10</w:t>
            </w:r>
          </w:p>
        </w:tc>
        <w:tc>
          <w:tcPr>
            <w:tcW w:w="6614" w:type="dxa"/>
            <w:shd w:val="clear" w:color="auto" w:fill="FFFFFF"/>
            <w:vAlign w:val="center"/>
          </w:tcPr>
          <w:p>
            <w:pPr>
              <w:widowControl/>
              <w:jc w:val="left"/>
              <w:rPr>
                <w:szCs w:val="21"/>
              </w:rPr>
            </w:pPr>
            <w:r>
              <w:rPr>
                <w:rFonts w:hint="eastAsia" w:ascii="宋体" w:hAnsi="宋体" w:cs="宋体"/>
                <w:color w:val="000000"/>
                <w:kern w:val="0"/>
                <w:szCs w:val="21"/>
                <w:lang w:bidi="ar"/>
              </w:rPr>
              <w:t>根据投标人的售后服务承诺、维护响应计划进行评分，包括具体的售后服务内容、故障响应时间、响应方式时间等内容。</w:t>
            </w:r>
            <w:r>
              <w:rPr>
                <w:rFonts w:hint="eastAsia" w:ascii="宋体" w:hAnsi="宋体"/>
                <w:szCs w:val="21"/>
              </w:rPr>
              <w:t>（0-10分）</w:t>
            </w:r>
            <w:r>
              <w:rPr>
                <w:rFonts w:hint="eastAsia" w:ascii="宋体" w:hAnsi="宋体" w:cs="宋体"/>
                <w:color w:val="000000"/>
                <w:kern w:val="0"/>
                <w:szCs w:val="21"/>
                <w:lang w:bidi="ar"/>
              </w:rPr>
              <w:t xml:space="preserve"> </w:t>
            </w:r>
          </w:p>
        </w:tc>
      </w:tr>
    </w:tbl>
    <w:p>
      <w:pPr>
        <w:rPr>
          <w:rFonts w:hint="eastAsia" w:ascii="宋体" w:hAnsi="宋体" w:cs="宋体"/>
          <w:b/>
          <w:bCs/>
          <w:sz w:val="22"/>
          <w:szCs w:val="22"/>
        </w:rPr>
      </w:pPr>
    </w:p>
    <w:p>
      <w:pPr>
        <w:rPr>
          <w:rFonts w:hint="eastAsia" w:ascii="宋体" w:hAnsi="宋体" w:cs="宋体"/>
          <w:b/>
          <w:bCs/>
          <w:sz w:val="22"/>
          <w:szCs w:val="22"/>
        </w:rPr>
      </w:pPr>
    </w:p>
    <w:p>
      <w:pPr>
        <w:rPr>
          <w:rFonts w:hint="eastAsia" w:ascii="宋体" w:hAnsi="宋体" w:cs="宋体"/>
          <w:b/>
          <w:bCs/>
          <w:sz w:val="22"/>
          <w:szCs w:val="22"/>
        </w:rPr>
      </w:pPr>
    </w:p>
    <w:p>
      <w:pPr>
        <w:rPr>
          <w:rFonts w:hint="eastAsia" w:ascii="宋体" w:hAnsi="宋体" w:cs="宋体"/>
          <w:b/>
          <w:bCs/>
          <w:sz w:val="22"/>
          <w:szCs w:val="22"/>
        </w:rPr>
      </w:pPr>
    </w:p>
    <w:p>
      <w:pPr>
        <w:rPr>
          <w:rFonts w:hint="eastAsia" w:ascii="宋体" w:hAnsi="宋体" w:cs="宋体"/>
          <w:b/>
          <w:bCs/>
          <w:sz w:val="22"/>
          <w:szCs w:val="22"/>
        </w:rPr>
      </w:pPr>
    </w:p>
    <w:p>
      <w:pPr>
        <w:rPr>
          <w:rFonts w:hint="eastAsia" w:ascii="宋体" w:hAnsi="宋体" w:cs="宋体"/>
          <w:b/>
          <w:bCs/>
          <w:sz w:val="22"/>
          <w:szCs w:val="22"/>
        </w:rPr>
      </w:pPr>
    </w:p>
    <w:p>
      <w:pPr>
        <w:rPr>
          <w:rFonts w:hint="eastAsia" w:ascii="宋体" w:hAnsi="宋体" w:cs="宋体"/>
          <w:b/>
          <w:bCs/>
          <w:sz w:val="22"/>
          <w:szCs w:val="22"/>
        </w:rPr>
      </w:pPr>
    </w:p>
    <w:p>
      <w:pPr>
        <w:pStyle w:val="4"/>
        <w:rPr>
          <w:rFonts w:hint="eastAsia" w:ascii="宋体" w:hAnsi="宋体" w:cs="宋体"/>
          <w:b/>
          <w:bCs/>
          <w:sz w:val="22"/>
          <w:szCs w:val="22"/>
        </w:rPr>
      </w:pPr>
    </w:p>
    <w:p>
      <w:pPr>
        <w:rPr>
          <w:rFonts w:hint="eastAsia" w:ascii="宋体" w:hAnsi="宋体" w:cs="宋体"/>
          <w:b/>
          <w:bCs/>
          <w:sz w:val="22"/>
          <w:szCs w:val="22"/>
        </w:rPr>
      </w:pPr>
    </w:p>
    <w:p>
      <w:pPr>
        <w:pStyle w:val="4"/>
        <w:rPr>
          <w:rFonts w:hint="eastAsia" w:ascii="宋体" w:hAnsi="宋体" w:cs="宋体"/>
          <w:b/>
          <w:bCs/>
          <w:sz w:val="22"/>
          <w:szCs w:val="22"/>
        </w:rPr>
      </w:pPr>
    </w:p>
    <w:p>
      <w:pPr>
        <w:rPr>
          <w:rFonts w:hint="eastAsia" w:ascii="宋体" w:hAnsi="宋体" w:cs="宋体"/>
          <w:b/>
          <w:bCs/>
          <w:sz w:val="22"/>
          <w:szCs w:val="22"/>
        </w:rPr>
      </w:pPr>
    </w:p>
    <w:p>
      <w:pPr>
        <w:rPr>
          <w:rFonts w:hint="eastAsia" w:ascii="宋体" w:hAnsi="宋体" w:cs="宋体"/>
          <w:b/>
          <w:bCs/>
          <w:sz w:val="22"/>
          <w:szCs w:val="22"/>
        </w:rPr>
      </w:pPr>
    </w:p>
    <w:p>
      <w:pPr>
        <w:rPr>
          <w:rFonts w:hint="eastAsia" w:ascii="宋体" w:hAnsi="宋体" w:cs="宋体"/>
          <w:b/>
          <w:bCs/>
          <w:sz w:val="22"/>
          <w:szCs w:val="22"/>
        </w:rPr>
      </w:pPr>
    </w:p>
    <w:p>
      <w:pPr>
        <w:rPr>
          <w:rFonts w:hint="eastAsia" w:ascii="宋体" w:hAnsi="宋体" w:cs="宋体"/>
          <w:b/>
          <w:bCs/>
          <w:sz w:val="22"/>
          <w:szCs w:val="22"/>
        </w:rPr>
      </w:pPr>
    </w:p>
    <w:p>
      <w:pPr>
        <w:rPr>
          <w:rFonts w:hint="eastAsia" w:ascii="宋体" w:hAnsi="宋体" w:cs="宋体"/>
          <w:b/>
          <w:bCs/>
          <w:sz w:val="22"/>
          <w:szCs w:val="22"/>
        </w:rPr>
      </w:pPr>
    </w:p>
    <w:p>
      <w:pPr>
        <w:rPr>
          <w:rFonts w:hint="eastAsia" w:ascii="宋体" w:hAnsi="宋体" w:cs="宋体"/>
          <w:b/>
          <w:bCs/>
          <w:sz w:val="22"/>
          <w:szCs w:val="22"/>
        </w:rPr>
      </w:pPr>
    </w:p>
    <w:p>
      <w:pPr>
        <w:numPr>
          <w:ilvl w:val="0"/>
          <w:numId w:val="1"/>
        </w:numPr>
        <w:rPr>
          <w:rFonts w:hint="eastAsia" w:ascii="宋体" w:hAnsi="宋体" w:cs="宋体"/>
          <w:b/>
          <w:bCs/>
          <w:sz w:val="22"/>
          <w:szCs w:val="22"/>
        </w:rPr>
      </w:pPr>
      <w:r>
        <w:rPr>
          <w:rFonts w:hint="eastAsia" w:ascii="宋体" w:hAnsi="宋体" w:cs="宋体"/>
          <w:b/>
          <w:bCs/>
          <w:sz w:val="22"/>
          <w:szCs w:val="22"/>
        </w:rPr>
        <w:t>价格评分：满分30分</w:t>
      </w:r>
    </w:p>
    <w:p>
      <w:pPr>
        <w:tabs>
          <w:tab w:val="left" w:pos="774"/>
        </w:tabs>
        <w:autoSpaceDE w:val="0"/>
        <w:autoSpaceDN w:val="0"/>
        <w:spacing w:before="240" w:line="276" w:lineRule="auto"/>
        <w:ind w:left="774" w:hanging="576"/>
        <w:jc w:val="center"/>
        <w:outlineLvl w:val="2"/>
        <w:rPr>
          <w:rFonts w:hint="eastAsia" w:ascii="宋体" w:hAnsi="宋体" w:cs="宋体"/>
          <w:b/>
          <w:sz w:val="28"/>
          <w:szCs w:val="28"/>
          <w:lang w:val="zh-CN"/>
        </w:rPr>
      </w:pPr>
      <w:bookmarkStart w:id="1" w:name="_Toc11964"/>
      <w:bookmarkStart w:id="2" w:name="_Toc8618"/>
      <w:r>
        <w:rPr>
          <w:rFonts w:hint="eastAsia" w:ascii="宋体" w:hAnsi="宋体" w:cs="宋体"/>
          <w:b/>
          <w:sz w:val="28"/>
          <w:szCs w:val="28"/>
          <w:lang w:val="zh-CN"/>
        </w:rPr>
        <w:t>报价一览表</w:t>
      </w:r>
      <w:bookmarkEnd w:id="1"/>
      <w:bookmarkEnd w:id="2"/>
    </w:p>
    <w:p>
      <w:pPr>
        <w:spacing w:line="360" w:lineRule="auto"/>
        <w:rPr>
          <w:rFonts w:hint="eastAsia" w:ascii="宋体" w:hAnsi="宋体" w:cs="宋体"/>
          <w:sz w:val="22"/>
          <w:szCs w:val="18"/>
        </w:rPr>
      </w:pPr>
      <w:r>
        <w:rPr>
          <w:rFonts w:hint="eastAsia" w:ascii="宋体" w:hAnsi="宋体" w:cs="宋体"/>
          <w:sz w:val="24"/>
        </w:rPr>
        <w:t>项目名称：</w:t>
      </w:r>
      <w:r>
        <w:rPr>
          <w:rFonts w:hint="eastAsia" w:ascii="宋体" w:hAnsi="宋体" w:cs="宋体"/>
          <w:sz w:val="24"/>
          <w:lang w:eastAsia="zh-Hans"/>
        </w:rPr>
        <w:t>温州市中医院</w:t>
      </w:r>
      <w:r>
        <w:rPr>
          <w:rFonts w:hint="eastAsia"/>
          <w:sz w:val="24"/>
        </w:rPr>
        <w:t>院感监控软件维保</w:t>
      </w:r>
      <w:r>
        <w:rPr>
          <w:rFonts w:hint="eastAsia" w:ascii="宋体" w:hAnsi="宋体" w:cs="宋体"/>
          <w:sz w:val="24"/>
        </w:rPr>
        <w:t xml:space="preserve">   </w:t>
      </w:r>
      <w:r>
        <w:rPr>
          <w:rFonts w:hint="eastAsia" w:ascii="宋体" w:hAnsi="宋体" w:cs="宋体"/>
          <w:sz w:val="22"/>
          <w:szCs w:val="18"/>
        </w:rPr>
        <w:t xml:space="preserve">                            </w:t>
      </w:r>
    </w:p>
    <w:tbl>
      <w:tblPr>
        <w:tblStyle w:val="13"/>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3540"/>
        <w:gridCol w:w="3105"/>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535" w:type="dxa"/>
            <w:vAlign w:val="center"/>
          </w:tcPr>
          <w:p>
            <w:pPr>
              <w:spacing w:line="380" w:lineRule="exact"/>
              <w:jc w:val="center"/>
              <w:rPr>
                <w:rFonts w:hint="eastAsia" w:ascii="宋体" w:hAnsi="宋体" w:cs="宋体"/>
                <w:sz w:val="22"/>
              </w:rPr>
            </w:pPr>
            <w:r>
              <w:rPr>
                <w:rFonts w:hint="eastAsia" w:ascii="宋体" w:hAnsi="宋体" w:cs="宋体"/>
                <w:sz w:val="22"/>
              </w:rPr>
              <w:t>序号</w:t>
            </w:r>
          </w:p>
        </w:tc>
        <w:tc>
          <w:tcPr>
            <w:tcW w:w="3540" w:type="dxa"/>
            <w:vAlign w:val="center"/>
          </w:tcPr>
          <w:p>
            <w:pPr>
              <w:spacing w:line="380" w:lineRule="exact"/>
              <w:jc w:val="center"/>
              <w:rPr>
                <w:rFonts w:hint="eastAsia" w:ascii="宋体" w:hAnsi="宋体" w:cs="宋体"/>
                <w:sz w:val="22"/>
              </w:rPr>
            </w:pPr>
            <w:r>
              <w:rPr>
                <w:rFonts w:hint="eastAsia" w:ascii="宋体" w:hAnsi="宋体" w:cs="宋体"/>
                <w:bCs/>
                <w:sz w:val="22"/>
                <w:szCs w:val="22"/>
              </w:rPr>
              <w:t>项目名称</w:t>
            </w:r>
          </w:p>
        </w:tc>
        <w:tc>
          <w:tcPr>
            <w:tcW w:w="3105" w:type="dxa"/>
            <w:vAlign w:val="center"/>
          </w:tcPr>
          <w:p>
            <w:pPr>
              <w:spacing w:line="380" w:lineRule="exact"/>
              <w:jc w:val="center"/>
              <w:rPr>
                <w:rFonts w:hint="eastAsia" w:ascii="宋体" w:hAnsi="宋体" w:cs="宋体"/>
                <w:sz w:val="22"/>
              </w:rPr>
            </w:pPr>
            <w:r>
              <w:rPr>
                <w:rFonts w:hint="eastAsia" w:ascii="宋体" w:hAnsi="宋体" w:cs="宋体"/>
                <w:bCs/>
                <w:sz w:val="22"/>
                <w:szCs w:val="22"/>
              </w:rPr>
              <w:t>报价（人民币元）</w:t>
            </w:r>
          </w:p>
        </w:tc>
        <w:tc>
          <w:tcPr>
            <w:tcW w:w="1323" w:type="dxa"/>
            <w:vAlign w:val="center"/>
          </w:tcPr>
          <w:p>
            <w:pPr>
              <w:spacing w:line="380" w:lineRule="exact"/>
              <w:jc w:val="center"/>
              <w:rPr>
                <w:rFonts w:hint="eastAsia" w:ascii="宋体" w:hAnsi="宋体" w:cs="宋体"/>
                <w:sz w:val="22"/>
              </w:rPr>
            </w:pPr>
            <w:r>
              <w:rPr>
                <w:rFonts w:hint="eastAsia" w:ascii="宋体" w:hAnsi="宋体" w:cs="宋体"/>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535" w:type="dxa"/>
            <w:vMerge w:val="restart"/>
            <w:vAlign w:val="center"/>
          </w:tcPr>
          <w:p>
            <w:pPr>
              <w:spacing w:line="380" w:lineRule="exact"/>
              <w:jc w:val="center"/>
              <w:rPr>
                <w:rFonts w:hint="eastAsia" w:ascii="宋体" w:hAnsi="宋体" w:cs="宋体"/>
                <w:sz w:val="22"/>
              </w:rPr>
            </w:pPr>
            <w:r>
              <w:rPr>
                <w:rFonts w:hint="eastAsia" w:ascii="宋体" w:hAnsi="宋体" w:cs="宋体"/>
                <w:sz w:val="22"/>
              </w:rPr>
              <w:t>1</w:t>
            </w:r>
          </w:p>
        </w:tc>
        <w:tc>
          <w:tcPr>
            <w:tcW w:w="3540" w:type="dxa"/>
            <w:vMerge w:val="restart"/>
            <w:vAlign w:val="center"/>
          </w:tcPr>
          <w:p>
            <w:pPr>
              <w:spacing w:line="380" w:lineRule="exact"/>
              <w:jc w:val="center"/>
              <w:rPr>
                <w:rFonts w:hint="eastAsia" w:ascii="宋体" w:hAnsi="宋体" w:cs="宋体"/>
                <w:sz w:val="22"/>
              </w:rPr>
            </w:pPr>
            <w:r>
              <w:rPr>
                <w:rFonts w:hint="eastAsia" w:ascii="宋体" w:hAnsi="宋体" w:cs="宋体"/>
                <w:sz w:val="22"/>
              </w:rPr>
              <w:t>温州市中医院</w:t>
            </w:r>
            <w:r>
              <w:rPr>
                <w:rFonts w:hint="eastAsia"/>
                <w:szCs w:val="21"/>
              </w:rPr>
              <w:t>院感监控软件维保</w:t>
            </w:r>
          </w:p>
        </w:tc>
        <w:tc>
          <w:tcPr>
            <w:tcW w:w="3105" w:type="dxa"/>
            <w:vAlign w:val="center"/>
          </w:tcPr>
          <w:p>
            <w:pPr>
              <w:spacing w:line="380" w:lineRule="exact"/>
              <w:rPr>
                <w:rFonts w:hint="eastAsia" w:ascii="宋体" w:hAnsi="宋体" w:cs="宋体"/>
                <w:sz w:val="22"/>
              </w:rPr>
            </w:pPr>
            <w:r>
              <w:rPr>
                <w:rFonts w:hint="eastAsia" w:ascii="宋体" w:hAnsi="宋体" w:cs="宋体"/>
                <w:sz w:val="22"/>
              </w:rPr>
              <w:t>大写：</w:t>
            </w:r>
          </w:p>
        </w:tc>
        <w:tc>
          <w:tcPr>
            <w:tcW w:w="1323" w:type="dxa"/>
            <w:vMerge w:val="restart"/>
            <w:vAlign w:val="center"/>
          </w:tcPr>
          <w:p>
            <w:pPr>
              <w:spacing w:line="380" w:lineRule="exact"/>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1535" w:type="dxa"/>
            <w:vMerge w:val="continue"/>
            <w:vAlign w:val="center"/>
          </w:tcPr>
          <w:p>
            <w:pPr>
              <w:spacing w:line="380" w:lineRule="exact"/>
              <w:jc w:val="center"/>
              <w:rPr>
                <w:rFonts w:hint="eastAsia" w:ascii="宋体" w:hAnsi="宋体" w:cs="宋体"/>
                <w:sz w:val="22"/>
              </w:rPr>
            </w:pPr>
          </w:p>
        </w:tc>
        <w:tc>
          <w:tcPr>
            <w:tcW w:w="3540" w:type="dxa"/>
            <w:vMerge w:val="continue"/>
            <w:vAlign w:val="center"/>
          </w:tcPr>
          <w:p>
            <w:pPr>
              <w:spacing w:line="380" w:lineRule="exact"/>
              <w:jc w:val="center"/>
              <w:rPr>
                <w:rFonts w:hint="eastAsia" w:ascii="宋体" w:hAnsi="宋体" w:cs="宋体"/>
                <w:sz w:val="22"/>
              </w:rPr>
            </w:pPr>
          </w:p>
        </w:tc>
        <w:tc>
          <w:tcPr>
            <w:tcW w:w="3105" w:type="dxa"/>
            <w:vAlign w:val="center"/>
          </w:tcPr>
          <w:p>
            <w:pPr>
              <w:spacing w:line="380" w:lineRule="exact"/>
              <w:rPr>
                <w:rFonts w:hint="eastAsia" w:ascii="宋体" w:hAnsi="宋体" w:cs="宋体"/>
                <w:sz w:val="22"/>
              </w:rPr>
            </w:pPr>
            <w:r>
              <w:rPr>
                <w:rFonts w:hint="eastAsia" w:ascii="宋体" w:hAnsi="宋体" w:cs="宋体"/>
                <w:sz w:val="22"/>
              </w:rPr>
              <w:t>小写：</w:t>
            </w:r>
          </w:p>
        </w:tc>
        <w:tc>
          <w:tcPr>
            <w:tcW w:w="1323" w:type="dxa"/>
            <w:vMerge w:val="continue"/>
            <w:vAlign w:val="center"/>
          </w:tcPr>
          <w:p>
            <w:pPr>
              <w:spacing w:line="380" w:lineRule="exact"/>
              <w:jc w:val="center"/>
              <w:rPr>
                <w:rFonts w:hint="eastAsia" w:ascii="宋体" w:hAnsi="宋体" w:cs="宋体"/>
                <w:sz w:val="22"/>
              </w:rPr>
            </w:pPr>
          </w:p>
        </w:tc>
      </w:tr>
    </w:tbl>
    <w:p>
      <w:pPr>
        <w:spacing w:line="450" w:lineRule="exact"/>
        <w:ind w:firstLine="541" w:firstLineChars="245"/>
        <w:rPr>
          <w:rFonts w:hint="eastAsia" w:ascii="宋体" w:hAnsi="宋体" w:cs="宋体"/>
          <w:b/>
          <w:sz w:val="22"/>
        </w:rPr>
      </w:pPr>
    </w:p>
    <w:p>
      <w:pPr>
        <w:rPr>
          <w:rFonts w:hint="eastAsia" w:ascii="宋体" w:hAnsi="宋体" w:cs="宋体"/>
          <w:b/>
          <w:sz w:val="22"/>
        </w:rPr>
      </w:pPr>
      <w:r>
        <w:rPr>
          <w:rFonts w:hint="eastAsia" w:ascii="宋体" w:hAnsi="宋体" w:cs="宋体"/>
          <w:b/>
          <w:sz w:val="22"/>
        </w:rPr>
        <w:t>说明：</w:t>
      </w:r>
    </w:p>
    <w:p>
      <w:pPr>
        <w:spacing w:line="360" w:lineRule="auto"/>
        <w:ind w:firstLine="442" w:firstLineChars="200"/>
        <w:rPr>
          <w:rFonts w:hint="eastAsia" w:ascii="宋体" w:hAnsi="宋体" w:cs="宋体"/>
          <w:b/>
          <w:sz w:val="22"/>
        </w:rPr>
      </w:pPr>
      <w:r>
        <w:rPr>
          <w:rFonts w:hint="eastAsia" w:ascii="宋体" w:hAnsi="宋体" w:cs="宋体"/>
          <w:b/>
          <w:sz w:val="22"/>
        </w:rPr>
        <w:t>1、全部报价均为税后价。</w:t>
      </w:r>
    </w:p>
    <w:p>
      <w:pPr>
        <w:pStyle w:val="2"/>
        <w:ind w:firstLine="442" w:firstLineChars="200"/>
        <w:rPr>
          <w:sz w:val="22"/>
          <w:szCs w:val="22"/>
        </w:rPr>
      </w:pPr>
      <w:r>
        <w:rPr>
          <w:rFonts w:hint="eastAsia"/>
          <w:sz w:val="22"/>
          <w:szCs w:val="22"/>
        </w:rPr>
        <w:t>2、投标总价应包括本项目整个服务期所需的一切设备、材料、软硬件、人工、工具、设备、保险、交通、利润、税金（包含须由投标人承担的各种税费）、其它需投标人承担的费用及潜在可能涉及的一切费用。投标人应认真计算可能发生的各相关费用并计入投标报价内，在项目实施过程中不得藉此要求增加任何费用。如上述没有提及但该项目仍需要的内容，请投标人自行考虑一并计入投标报价中（未计入的，视为投标人的优惠）</w:t>
      </w:r>
    </w:p>
    <w:p>
      <w:pPr>
        <w:pStyle w:val="2"/>
        <w:ind w:firstLine="442" w:firstLineChars="200"/>
        <w:rPr>
          <w:rFonts w:hint="eastAsia" w:hAnsi="宋体" w:cs="宋体"/>
          <w:sz w:val="22"/>
        </w:rPr>
      </w:pPr>
      <w:r>
        <w:rPr>
          <w:rFonts w:hint="eastAsia" w:hAnsi="宋体" w:cs="宋体"/>
          <w:sz w:val="22"/>
        </w:rPr>
        <w:t>3、不提供此表格将被视为没有实质性响应文件。</w:t>
      </w:r>
    </w:p>
    <w:p>
      <w:pPr>
        <w:ind w:firstLine="442" w:firstLineChars="200"/>
      </w:pPr>
      <w:r>
        <w:rPr>
          <w:rFonts w:hint="eastAsia" w:ascii="宋体" w:hAnsi="宋体" w:cs="宋体"/>
          <w:b/>
          <w:sz w:val="22"/>
        </w:rPr>
        <w:t>4、报价超过预算金额按无效标处理。</w:t>
      </w: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w:t>
      </w:r>
    </w:p>
    <w:p>
      <w:pPr>
        <w:spacing w:line="460" w:lineRule="exact"/>
        <w:ind w:firstLine="4400" w:firstLineChars="2000"/>
        <w:rPr>
          <w:rFonts w:hint="eastAsia" w:ascii="宋体" w:hAnsi="宋体" w:cs="宋体"/>
          <w:sz w:val="22"/>
          <w:szCs w:val="22"/>
        </w:rPr>
      </w:pPr>
    </w:p>
    <w:p>
      <w:pPr>
        <w:spacing w:line="460" w:lineRule="exact"/>
        <w:ind w:firstLine="4400" w:firstLineChars="2000"/>
        <w:rPr>
          <w:rFonts w:hint="eastAsia" w:ascii="宋体" w:hAnsi="宋体" w:cs="宋体"/>
          <w:sz w:val="22"/>
          <w:szCs w:val="22"/>
        </w:rPr>
      </w:pPr>
    </w:p>
    <w:p>
      <w:pPr>
        <w:spacing w:line="460" w:lineRule="exact"/>
        <w:ind w:firstLine="4400" w:firstLineChars="2000"/>
        <w:rPr>
          <w:rFonts w:hint="eastAsia" w:ascii="宋体" w:hAnsi="宋体" w:cs="宋体"/>
          <w:sz w:val="22"/>
          <w:szCs w:val="22"/>
        </w:rPr>
      </w:pPr>
    </w:p>
    <w:p>
      <w:pPr>
        <w:spacing w:line="460" w:lineRule="exact"/>
        <w:ind w:firstLine="4400" w:firstLineChars="2000"/>
        <w:rPr>
          <w:rFonts w:hint="eastAsia" w:ascii="宋体" w:hAnsi="宋体" w:cs="宋体"/>
          <w:sz w:val="22"/>
          <w:szCs w:val="22"/>
        </w:rPr>
      </w:pP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w:t>
      </w: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供应商全称（盖章）：</w:t>
      </w: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供应商代表（签字）：</w:t>
      </w: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日  期：   </w:t>
      </w:r>
    </w:p>
    <w:p>
      <w:pPr>
        <w:pStyle w:val="2"/>
      </w:pPr>
    </w:p>
    <w:p>
      <w:pPr>
        <w:adjustRightInd w:val="0"/>
        <w:snapToGrid w:val="0"/>
        <w:spacing w:line="360" w:lineRule="auto"/>
        <w:jc w:val="left"/>
        <w:rPr>
          <w:rFonts w:hint="eastAsia" w:ascii="宋体" w:hAnsi="宋体"/>
          <w:color w:val="000000"/>
          <w:szCs w:val="21"/>
        </w:rPr>
      </w:pPr>
    </w:p>
    <w:sectPr>
      <w:pgSz w:w="11906" w:h="16838"/>
      <w:pgMar w:top="850" w:right="1236" w:bottom="85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F69252"/>
    <w:multiLevelType w:val="singleLevel"/>
    <w:tmpl w:val="E7F6925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ZjMDk4ZjUyNmI5ZWM0NTQwMmI0OWNkNmNiZDhjNjUifQ=="/>
  </w:docVars>
  <w:rsids>
    <w:rsidRoot w:val="442D7AA8"/>
    <w:rsid w:val="000838A3"/>
    <w:rsid w:val="000913DA"/>
    <w:rsid w:val="001E4496"/>
    <w:rsid w:val="0029760C"/>
    <w:rsid w:val="002C045F"/>
    <w:rsid w:val="003268C5"/>
    <w:rsid w:val="003D149F"/>
    <w:rsid w:val="003D41C7"/>
    <w:rsid w:val="003E091A"/>
    <w:rsid w:val="00537F7B"/>
    <w:rsid w:val="005D6C7D"/>
    <w:rsid w:val="0077449E"/>
    <w:rsid w:val="0090171C"/>
    <w:rsid w:val="0092586E"/>
    <w:rsid w:val="009B52D3"/>
    <w:rsid w:val="009C732C"/>
    <w:rsid w:val="00A81427"/>
    <w:rsid w:val="00AE1323"/>
    <w:rsid w:val="00BD504C"/>
    <w:rsid w:val="00D36E2B"/>
    <w:rsid w:val="00DB7EDC"/>
    <w:rsid w:val="00FA6B75"/>
    <w:rsid w:val="03F44E33"/>
    <w:rsid w:val="04CC4F31"/>
    <w:rsid w:val="060A06A6"/>
    <w:rsid w:val="0EF80781"/>
    <w:rsid w:val="0F427144"/>
    <w:rsid w:val="0F9C6A6C"/>
    <w:rsid w:val="1124087B"/>
    <w:rsid w:val="1367269B"/>
    <w:rsid w:val="154327F2"/>
    <w:rsid w:val="15F0193F"/>
    <w:rsid w:val="16586A57"/>
    <w:rsid w:val="1AAC3B0A"/>
    <w:rsid w:val="1DD0413A"/>
    <w:rsid w:val="203F5CE6"/>
    <w:rsid w:val="215E5325"/>
    <w:rsid w:val="253F05F7"/>
    <w:rsid w:val="26614AE7"/>
    <w:rsid w:val="2B9D1E83"/>
    <w:rsid w:val="2C0B329E"/>
    <w:rsid w:val="2DA52879"/>
    <w:rsid w:val="2EE23DA1"/>
    <w:rsid w:val="304676BA"/>
    <w:rsid w:val="32EC217B"/>
    <w:rsid w:val="33A108D4"/>
    <w:rsid w:val="33F15215"/>
    <w:rsid w:val="36F56D67"/>
    <w:rsid w:val="38620F4A"/>
    <w:rsid w:val="39072D82"/>
    <w:rsid w:val="3AA307AA"/>
    <w:rsid w:val="3D4A148F"/>
    <w:rsid w:val="3E3C64D5"/>
    <w:rsid w:val="3EBF27E8"/>
    <w:rsid w:val="442D7AA8"/>
    <w:rsid w:val="4BB26B7D"/>
    <w:rsid w:val="4C6463E2"/>
    <w:rsid w:val="50250266"/>
    <w:rsid w:val="53303AC0"/>
    <w:rsid w:val="57A36574"/>
    <w:rsid w:val="58D72375"/>
    <w:rsid w:val="59F74833"/>
    <w:rsid w:val="5DAF6DF6"/>
    <w:rsid w:val="62426A58"/>
    <w:rsid w:val="63750765"/>
    <w:rsid w:val="6B1E16E2"/>
    <w:rsid w:val="724D0AFE"/>
    <w:rsid w:val="72E83474"/>
    <w:rsid w:val="72F62F44"/>
    <w:rsid w:val="78362761"/>
    <w:rsid w:val="79F966D5"/>
    <w:rsid w:val="7DBF4FA6"/>
    <w:rsid w:val="7E036272"/>
    <w:rsid w:val="7E7A2C7B"/>
    <w:rsid w:val="7F0817C6"/>
    <w:rsid w:val="7F7411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tabs>
        <w:tab w:val="left" w:pos="840"/>
      </w:tabs>
      <w:adjustRightInd w:val="0"/>
      <w:snapToGrid w:val="0"/>
      <w:spacing w:line="360" w:lineRule="auto"/>
      <w:outlineLvl w:val="0"/>
    </w:pPr>
    <w:rPr>
      <w:rFonts w:ascii="宋体"/>
      <w:b/>
      <w:kern w:val="44"/>
      <w:sz w:val="24"/>
    </w:rPr>
  </w:style>
  <w:style w:type="paragraph" w:styleId="3">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Normal Indent"/>
    <w:basedOn w:val="1"/>
    <w:next w:val="1"/>
    <w:autoRedefine/>
    <w:qFormat/>
    <w:uiPriority w:val="0"/>
    <w:pPr>
      <w:ind w:firstLine="420"/>
    </w:pPr>
    <w:rPr>
      <w:szCs w:val="20"/>
    </w:rPr>
  </w:style>
  <w:style w:type="paragraph" w:styleId="5">
    <w:name w:val="Body Text"/>
    <w:basedOn w:val="1"/>
    <w:next w:val="6"/>
    <w:autoRedefine/>
    <w:qFormat/>
    <w:uiPriority w:val="0"/>
    <w:pPr>
      <w:spacing w:after="120"/>
    </w:pPr>
  </w:style>
  <w:style w:type="paragraph" w:styleId="6">
    <w:name w:val="Body Text First Indent"/>
    <w:basedOn w:val="5"/>
    <w:autoRedefine/>
    <w:semiHidden/>
    <w:unhideWhenUsed/>
    <w:qFormat/>
    <w:uiPriority w:val="99"/>
    <w:pPr>
      <w:ind w:firstLine="420" w:firstLineChars="100"/>
    </w:pPr>
    <w:rPr>
      <w:rFonts w:asciiTheme="minorHAnsi" w:hAnsiTheme="minorHAnsi" w:eastAsiaTheme="minorEastAsia" w:cstheme="minorBidi"/>
      <w:szCs w:val="22"/>
    </w:rPr>
  </w:style>
  <w:style w:type="paragraph" w:styleId="7">
    <w:name w:val="Body Text Indent"/>
    <w:basedOn w:val="1"/>
    <w:autoRedefine/>
    <w:qFormat/>
    <w:uiPriority w:val="0"/>
    <w:pPr>
      <w:ind w:left="480" w:hanging="480" w:hangingChars="200"/>
    </w:pPr>
    <w:rPr>
      <w:sz w:val="24"/>
    </w:rPr>
  </w:style>
  <w:style w:type="paragraph" w:styleId="8">
    <w:name w:val="Plain Text"/>
    <w:basedOn w:val="1"/>
    <w:autoRedefine/>
    <w:qFormat/>
    <w:uiPriority w:val="0"/>
    <w:pPr>
      <w:spacing w:beforeLines="50" w:afterLines="50" w:line="400" w:lineRule="exact"/>
    </w:pPr>
    <w:rPr>
      <w:rFonts w:ascii="宋体" w:hAnsi="Courier New"/>
      <w:sz w:val="24"/>
    </w:rPr>
  </w:style>
  <w:style w:type="paragraph" w:styleId="9">
    <w:name w:val="endnote text"/>
    <w:basedOn w:val="1"/>
    <w:autoRedefine/>
    <w:unhideWhenUsed/>
    <w:qFormat/>
    <w:uiPriority w:val="99"/>
    <w:pPr>
      <w:snapToGrid w:val="0"/>
      <w:jc w:val="left"/>
    </w:pPr>
    <w:rPr>
      <w:lang w:val="zh-CN"/>
    </w:rPr>
  </w:style>
  <w:style w:type="paragraph" w:styleId="10">
    <w:name w:val="footer"/>
    <w:basedOn w:val="1"/>
    <w:link w:val="20"/>
    <w:autoRedefine/>
    <w:qFormat/>
    <w:uiPriority w:val="0"/>
    <w:pPr>
      <w:tabs>
        <w:tab w:val="center" w:pos="4153"/>
        <w:tab w:val="right" w:pos="8306"/>
      </w:tabs>
      <w:snapToGrid w:val="0"/>
      <w:jc w:val="left"/>
    </w:pPr>
    <w:rPr>
      <w:sz w:val="18"/>
      <w:szCs w:val="18"/>
    </w:rPr>
  </w:style>
  <w:style w:type="paragraph" w:styleId="11">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First Indent 2"/>
    <w:basedOn w:val="7"/>
    <w:autoRedefine/>
    <w:semiHidden/>
    <w:unhideWhenUsed/>
    <w:qFormat/>
    <w:uiPriority w:val="99"/>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BodyText1I"/>
    <w:basedOn w:val="17"/>
    <w:autoRedefine/>
    <w:qFormat/>
    <w:uiPriority w:val="0"/>
    <w:pPr>
      <w:ind w:firstLine="420" w:firstLineChars="100"/>
    </w:pPr>
  </w:style>
  <w:style w:type="paragraph" w:customStyle="1" w:styleId="17">
    <w:name w:val="BodyText"/>
    <w:basedOn w:val="1"/>
    <w:autoRedefine/>
    <w:qFormat/>
    <w:uiPriority w:val="0"/>
    <w:pPr>
      <w:spacing w:after="120"/>
    </w:pPr>
  </w:style>
  <w:style w:type="paragraph" w:customStyle="1" w:styleId="18">
    <w:name w:val="表格文字"/>
    <w:basedOn w:val="1"/>
    <w:next w:val="5"/>
    <w:autoRedefine/>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character" w:customStyle="1" w:styleId="19">
    <w:name w:val="页眉 字符"/>
    <w:basedOn w:val="15"/>
    <w:link w:val="11"/>
    <w:autoRedefine/>
    <w:qFormat/>
    <w:uiPriority w:val="0"/>
    <w:rPr>
      <w:kern w:val="2"/>
      <w:sz w:val="18"/>
      <w:szCs w:val="18"/>
    </w:rPr>
  </w:style>
  <w:style w:type="character" w:customStyle="1" w:styleId="20">
    <w:name w:val="页脚 字符"/>
    <w:basedOn w:val="15"/>
    <w:link w:val="10"/>
    <w:autoRedefine/>
    <w:qFormat/>
    <w:uiPriority w:val="0"/>
    <w:rPr>
      <w:kern w:val="2"/>
      <w:sz w:val="18"/>
      <w:szCs w:val="18"/>
    </w:rPr>
  </w:style>
  <w:style w:type="paragraph" w:styleId="21">
    <w:name w:val="List Paragraph"/>
    <w:basedOn w:val="1"/>
    <w:autoRedefine/>
    <w:qFormat/>
    <w:uiPriority w:val="0"/>
    <w:pPr>
      <w:ind w:firstLine="420" w:firstLineChars="200"/>
    </w:pPr>
    <w:rPr>
      <w:rFonts w:ascii="Calibri" w:hAnsi="Calibri"/>
      <w:szCs w:val="22"/>
    </w:rPr>
  </w:style>
  <w:style w:type="paragraph" w:customStyle="1" w:styleId="22">
    <w:name w:val="列出段落1"/>
    <w:basedOn w:val="1"/>
    <w:autoRedefine/>
    <w:qFormat/>
    <w:uiPriority w:val="0"/>
    <w:pPr>
      <w:widowControl/>
      <w:spacing w:after="160" w:line="360" w:lineRule="auto"/>
      <w:ind w:left="720"/>
      <w:contextualSpacing/>
      <w:jc w:val="left"/>
    </w:pPr>
    <w:rPr>
      <w:szCs w:val="22"/>
    </w:rPr>
  </w:style>
  <w:style w:type="table" w:customStyle="1" w:styleId="23">
    <w:name w:val="网格型1"/>
    <w:basedOn w:val="1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9389</Words>
  <Characters>9618</Characters>
  <Lines>82</Lines>
  <Paragraphs>23</Paragraphs>
  <TotalTime>80</TotalTime>
  <ScaleCrop>false</ScaleCrop>
  <LinksUpToDate>false</LinksUpToDate>
  <CharactersWithSpaces>9686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2024-07-30T01:21:00Z</dcterms:created>
  <dc:creator>小米</dc:creator>
  <cp:lastModifiedBy>李侃</cp:lastModifiedBy>
  <dcterms:modified xsi:type="dcterms:W3CDTF">2024-08-02T04:34:01Z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BDC350B777C44DFDACB8FBB696258D1E</vt:lpwstr>
  </property>
</Properties>
</file>