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6"/>
          <w:szCs w:val="36"/>
          <w:lang w:val="en-US" w:eastAsia="zh-CN"/>
        </w:rPr>
        <w:t>温州市中医院关于超低温冰箱实验室设备的招标</w:t>
      </w:r>
    </w:p>
    <w:p>
      <w:pPr>
        <w:numPr>
          <w:ilvl w:val="0"/>
          <w:numId w:val="1"/>
        </w:numPr>
        <w:jc w:val="both"/>
        <w:rPr>
          <w:rStyle w:val="14"/>
          <w:rFonts w:hint="eastAsia" w:asciiTheme="minorEastAsia" w:hAnsiTheme="minorEastAsia" w:eastAsiaTheme="minorEastAsia" w:cstheme="minorEastAsia"/>
          <w:b/>
          <w:bCs/>
          <w:sz w:val="32"/>
          <w:szCs w:val="32"/>
        </w:rPr>
      </w:pPr>
      <w:r>
        <w:rPr>
          <w:rStyle w:val="14"/>
          <w:rFonts w:hint="eastAsia" w:asciiTheme="minorEastAsia" w:hAnsiTheme="minorEastAsia" w:eastAsiaTheme="minorEastAsia" w:cstheme="minorEastAsia"/>
          <w:b/>
          <w:bCs/>
          <w:sz w:val="32"/>
          <w:szCs w:val="32"/>
        </w:rPr>
        <w:t>项目基本情况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434"/>
        <w:gridCol w:w="143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top"/>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项目名称：超低温冰箱</w:t>
            </w:r>
          </w:p>
        </w:tc>
        <w:tc>
          <w:tcPr>
            <w:tcW w:w="2869" w:type="dxa"/>
            <w:gridSpan w:val="2"/>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项目编号：</w:t>
            </w:r>
            <w:r>
              <w:rPr>
                <w:rFonts w:hint="eastAsia" w:asciiTheme="minorEastAsia" w:hAnsiTheme="minorEastAsia" w:cstheme="minorEastAsia"/>
                <w:color w:val="auto"/>
                <w:sz w:val="24"/>
                <w:szCs w:val="24"/>
                <w:vertAlign w:val="baseline"/>
                <w:lang w:val="en-US" w:eastAsia="zh-CN"/>
              </w:rPr>
              <w:t>2024-sb-cg-057</w:t>
            </w:r>
          </w:p>
        </w:tc>
        <w:tc>
          <w:tcPr>
            <w:tcW w:w="3440" w:type="dxa"/>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项目预算总金额：29.6万元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设备1：超低温冰箱</w:t>
            </w:r>
          </w:p>
        </w:tc>
        <w:tc>
          <w:tcPr>
            <w:tcW w:w="1434" w:type="dxa"/>
          </w:tcPr>
          <w:p>
            <w:pPr>
              <w:jc w:val="left"/>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数量：4</w:t>
            </w:r>
          </w:p>
        </w:tc>
        <w:tc>
          <w:tcPr>
            <w:tcW w:w="1435" w:type="dxa"/>
          </w:tcPr>
          <w:p>
            <w:pPr>
              <w:jc w:val="left"/>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进口</w:t>
            </w:r>
          </w:p>
        </w:tc>
        <w:tc>
          <w:tcPr>
            <w:tcW w:w="3440" w:type="dxa"/>
          </w:tcPr>
          <w:p>
            <w:pPr>
              <w:jc w:val="left"/>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单价：7.4万元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jc w:val="both"/>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val="en-US" w:eastAsia="zh-CN"/>
              </w:rPr>
              <w:t>允许进口</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本项目我院采取院内组织公开招标的方式，以综合评分最高者中标的原则确定中标供应商。</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获取招标文件</w:t>
      </w:r>
    </w:p>
    <w:p>
      <w:pPr>
        <w:pStyle w:val="8"/>
        <w:keepNext w:val="0"/>
        <w:keepLines w:val="0"/>
        <w:widowControl/>
        <w:suppressLineNumbers w:val="0"/>
        <w:spacing w:line="300" w:lineRule="atLeast"/>
        <w:rPr>
          <w:rFonts w:hint="eastAsia"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kern w:val="2"/>
          <w:sz w:val="21"/>
          <w:szCs w:val="21"/>
          <w:lang w:val="en-US" w:eastAsia="zh-CN" w:bidi="ar-SA"/>
        </w:rPr>
        <w:t>地点（网址）</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Theme="minorEastAsia" w:hAnsiTheme="minorEastAsia" w:eastAsiaTheme="minorEastAsia" w:cstheme="minorEastAsia"/>
          <w:kern w:val="2"/>
          <w:sz w:val="21"/>
          <w:szCs w:val="21"/>
          <w:highlight w:val="none"/>
          <w:lang w:eastAsia="zh-CN"/>
        </w:rPr>
        <w:t>h</w:t>
      </w:r>
      <w:r>
        <w:rPr>
          <w:rFonts w:hint="eastAsia" w:asciiTheme="minorEastAsia" w:hAnsiTheme="minorEastAsia" w:eastAsiaTheme="minorEastAsia" w:cstheme="minorEastAsia"/>
          <w:kern w:val="2"/>
          <w:sz w:val="21"/>
          <w:szCs w:val="21"/>
          <w:lang w:eastAsia="zh-CN"/>
        </w:rPr>
        <w:t>ttp://www.wzszyy.com/</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提交投标文件截止时间：202</w:t>
      </w: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7</w:t>
      </w:r>
      <w:r>
        <w:rPr>
          <w:rFonts w:hint="eastAsia" w:asciiTheme="minorEastAsia" w:hAnsiTheme="minorEastAsia" w:eastAsiaTheme="minorEastAsia" w:cstheme="minorEastAsia"/>
          <w:color w:val="0000FF"/>
          <w:kern w:val="2"/>
          <w:sz w:val="21"/>
          <w:szCs w:val="21"/>
          <w:lang w:val="en-US" w:eastAsia="zh-CN" w:bidi="ar-SA"/>
        </w:rPr>
        <w:t>月</w:t>
      </w:r>
      <w:r>
        <w:rPr>
          <w:rFonts w:hint="eastAsia" w:asciiTheme="minorEastAsia" w:hAnsiTheme="minorEastAsia" w:cstheme="minorEastAsia"/>
          <w:color w:val="0000FF"/>
          <w:kern w:val="2"/>
          <w:sz w:val="21"/>
          <w:szCs w:val="21"/>
          <w:lang w:val="en-US" w:eastAsia="zh-CN" w:bidi="ar-SA"/>
        </w:rPr>
        <w:t>17</w:t>
      </w:r>
      <w:r>
        <w:rPr>
          <w:rFonts w:hint="eastAsia" w:asciiTheme="minorEastAsia" w:hAnsiTheme="minorEastAsia" w:eastAsiaTheme="minorEastAsia" w:cstheme="minorEastAsia"/>
          <w:color w:val="0000FF"/>
          <w:kern w:val="2"/>
          <w:sz w:val="21"/>
          <w:szCs w:val="21"/>
          <w:lang w:val="en-US" w:eastAsia="zh-CN" w:bidi="ar-SA"/>
        </w:rPr>
        <w:t>日</w:t>
      </w:r>
      <w:r>
        <w:rPr>
          <w:rFonts w:hint="eastAsia" w:asciiTheme="minorEastAsia" w:hAnsiTheme="minorEastAsia" w:cstheme="minorEastAsia"/>
          <w:color w:val="0000FF"/>
          <w:kern w:val="2"/>
          <w:sz w:val="21"/>
          <w:szCs w:val="21"/>
          <w:lang w:val="en-US" w:eastAsia="zh-CN" w:bidi="ar-SA"/>
        </w:rPr>
        <w:t>上</w:t>
      </w:r>
      <w:r>
        <w:rPr>
          <w:rFonts w:hint="eastAsia" w:asciiTheme="minorEastAsia" w:hAnsiTheme="minorEastAsia" w:eastAsiaTheme="minorEastAsia" w:cstheme="minorEastAsia"/>
          <w:color w:val="0000FF"/>
          <w:kern w:val="2"/>
          <w:sz w:val="21"/>
          <w:szCs w:val="21"/>
          <w:lang w:val="en-US" w:eastAsia="zh-CN" w:bidi="ar-SA"/>
        </w:rPr>
        <w:t>午</w:t>
      </w:r>
      <w:r>
        <w:rPr>
          <w:rFonts w:hint="eastAsia" w:asciiTheme="minorEastAsia" w:hAnsiTheme="minorEastAsia" w:cstheme="minorEastAsia"/>
          <w:color w:val="0000FF"/>
          <w:kern w:val="2"/>
          <w:sz w:val="21"/>
          <w:szCs w:val="21"/>
          <w:lang w:val="en-US" w:eastAsia="zh-CN" w:bidi="ar-SA"/>
        </w:rPr>
        <w:t>10</w:t>
      </w:r>
      <w:r>
        <w:rPr>
          <w:rFonts w:hint="eastAsia" w:asciiTheme="minorEastAsia" w:hAnsiTheme="minorEastAsia" w:eastAsiaTheme="minorEastAsia" w:cstheme="minorEastAsia"/>
          <w:color w:val="0000FF"/>
          <w:kern w:val="2"/>
          <w:sz w:val="21"/>
          <w:szCs w:val="21"/>
          <w:lang w:val="en-US" w:eastAsia="zh-CN" w:bidi="ar-SA"/>
        </w:rPr>
        <w:t>：00</w:t>
      </w:r>
      <w:r>
        <w:rPr>
          <w:rFonts w:hint="eastAsia" w:asciiTheme="minorEastAsia" w:hAnsiTheme="minorEastAsia" w:eastAsiaTheme="minorEastAsia" w:cstheme="minorEastAsia"/>
          <w:kern w:val="2"/>
          <w:sz w:val="21"/>
          <w:szCs w:val="21"/>
          <w:lang w:val="en-US" w:eastAsia="zh-CN" w:bidi="ar-SA"/>
        </w:rPr>
        <w:t>（北京时间）</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cstheme="minorEastAsia"/>
          <w:kern w:val="2"/>
          <w:sz w:val="21"/>
          <w:szCs w:val="21"/>
          <w:lang w:val="en-US" w:eastAsia="zh-CN" w:bidi="ar-SA"/>
        </w:rPr>
        <w:t>2、</w:t>
      </w:r>
      <w:r>
        <w:rPr>
          <w:rFonts w:hint="eastAsia" w:asciiTheme="minorEastAsia" w:hAnsiTheme="minorEastAsia" w:eastAsiaTheme="minorEastAsia" w:cstheme="minorEastAsia"/>
          <w:kern w:val="2"/>
          <w:sz w:val="21"/>
          <w:szCs w:val="21"/>
          <w:lang w:val="en-US" w:eastAsia="zh-CN" w:bidi="ar-SA"/>
        </w:rPr>
        <w:t>开标时间：202</w:t>
      </w: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color w:val="0000FF"/>
          <w:kern w:val="2"/>
          <w:sz w:val="21"/>
          <w:szCs w:val="21"/>
          <w:lang w:val="en-US" w:eastAsia="zh-CN" w:bidi="ar-SA"/>
        </w:rPr>
        <w:t>7</w:t>
      </w:r>
      <w:r>
        <w:rPr>
          <w:rFonts w:hint="eastAsia" w:asciiTheme="minorEastAsia" w:hAnsiTheme="minorEastAsia" w:eastAsiaTheme="minorEastAsia" w:cstheme="minorEastAsia"/>
          <w:color w:val="0000FF"/>
          <w:kern w:val="2"/>
          <w:sz w:val="21"/>
          <w:szCs w:val="21"/>
          <w:lang w:val="en-US" w:eastAsia="zh-CN" w:bidi="ar-SA"/>
        </w:rPr>
        <w:t>月</w:t>
      </w:r>
      <w:r>
        <w:rPr>
          <w:rFonts w:hint="eastAsia" w:asciiTheme="minorEastAsia" w:hAnsiTheme="minorEastAsia" w:cstheme="minorEastAsia"/>
          <w:color w:val="0000FF"/>
          <w:kern w:val="2"/>
          <w:sz w:val="21"/>
          <w:szCs w:val="21"/>
          <w:lang w:val="en-US" w:eastAsia="zh-CN" w:bidi="ar-SA"/>
        </w:rPr>
        <w:t>17</w:t>
      </w:r>
      <w:bookmarkStart w:id="3" w:name="_GoBack"/>
      <w:bookmarkEnd w:id="3"/>
      <w:r>
        <w:rPr>
          <w:rFonts w:hint="eastAsia" w:asciiTheme="minorEastAsia" w:hAnsiTheme="minorEastAsia" w:eastAsiaTheme="minorEastAsia" w:cstheme="minorEastAsia"/>
          <w:color w:val="0000FF"/>
          <w:kern w:val="2"/>
          <w:sz w:val="21"/>
          <w:szCs w:val="21"/>
          <w:lang w:val="en-US" w:eastAsia="zh-CN" w:bidi="ar-SA"/>
        </w:rPr>
        <w:t>日</w:t>
      </w:r>
      <w:r>
        <w:rPr>
          <w:rFonts w:hint="eastAsia" w:asciiTheme="minorEastAsia" w:hAnsiTheme="minorEastAsia" w:cstheme="minorEastAsia"/>
          <w:color w:val="0000FF"/>
          <w:kern w:val="2"/>
          <w:sz w:val="21"/>
          <w:szCs w:val="21"/>
          <w:lang w:val="en-US" w:eastAsia="zh-CN" w:bidi="ar-SA"/>
        </w:rPr>
        <w:t>上</w:t>
      </w:r>
      <w:r>
        <w:rPr>
          <w:rFonts w:hint="eastAsia" w:asciiTheme="minorEastAsia" w:hAnsiTheme="minorEastAsia" w:eastAsiaTheme="minorEastAsia" w:cstheme="minorEastAsia"/>
          <w:color w:val="0000FF"/>
          <w:kern w:val="2"/>
          <w:sz w:val="21"/>
          <w:szCs w:val="21"/>
          <w:lang w:val="en-US" w:eastAsia="zh-CN" w:bidi="ar-SA"/>
        </w:rPr>
        <w:t>午</w:t>
      </w:r>
      <w:r>
        <w:rPr>
          <w:rFonts w:hint="eastAsia" w:asciiTheme="minorEastAsia" w:hAnsiTheme="minorEastAsia" w:cstheme="minorEastAsia"/>
          <w:color w:val="0000FF"/>
          <w:kern w:val="2"/>
          <w:sz w:val="21"/>
          <w:szCs w:val="21"/>
          <w:lang w:val="en-US" w:eastAsia="zh-CN" w:bidi="ar-SA"/>
        </w:rPr>
        <w:t>10</w:t>
      </w:r>
      <w:r>
        <w:rPr>
          <w:rFonts w:hint="eastAsia" w:asciiTheme="minorEastAsia" w:hAnsiTheme="minorEastAsia" w:eastAsiaTheme="minorEastAsia" w:cstheme="minorEastAsia"/>
          <w:color w:val="0000FF"/>
          <w:kern w:val="2"/>
          <w:sz w:val="21"/>
          <w:szCs w:val="21"/>
          <w:lang w:val="en-US" w:eastAsia="zh-CN" w:bidi="ar-SA"/>
        </w:rPr>
        <w:t>：</w:t>
      </w:r>
      <w:r>
        <w:rPr>
          <w:rFonts w:hint="eastAsia" w:asciiTheme="minorEastAsia" w:hAnsiTheme="minorEastAsia" w:cstheme="minorEastAsia"/>
          <w:color w:val="0000FF"/>
          <w:kern w:val="2"/>
          <w:sz w:val="21"/>
          <w:szCs w:val="21"/>
          <w:lang w:val="en-US" w:eastAsia="zh-CN" w:bidi="ar-SA"/>
        </w:rPr>
        <w:t>00</w:t>
      </w:r>
      <w:r>
        <w:rPr>
          <w:rFonts w:hint="eastAsia" w:asciiTheme="minorEastAsia" w:hAnsiTheme="minorEastAsia" w:eastAsiaTheme="minorEastAsia" w:cstheme="minorEastAsia"/>
          <w:kern w:val="2"/>
          <w:sz w:val="21"/>
          <w:szCs w:val="21"/>
          <w:lang w:val="en-US" w:eastAsia="zh-CN" w:bidi="ar-SA"/>
        </w:rPr>
        <w:t>（北京时间）</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投标方式：接受邮寄和现场投递的纸质投标文件</w:t>
      </w:r>
      <w:r>
        <w:rPr>
          <w:rFonts w:hint="eastAsia" w:asciiTheme="minorEastAsia" w:hAnsiTheme="minorEastAsia" w:cstheme="minorEastAsia"/>
          <w:kern w:val="2"/>
          <w:sz w:val="21"/>
          <w:szCs w:val="21"/>
          <w:lang w:val="en-US" w:eastAsia="zh-CN" w:bidi="ar-SA"/>
        </w:rPr>
        <w:t>/</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w:t>
      </w:r>
      <w:r>
        <w:rPr>
          <w:rFonts w:hint="eastAsia" w:asciiTheme="minorEastAsia" w:hAnsiTheme="minorEastAsia" w:eastAsiaTheme="minorEastAsia" w:cstheme="minorEastAsia"/>
          <w:kern w:val="2"/>
          <w:sz w:val="21"/>
          <w:szCs w:val="21"/>
          <w:lang w:val="en-US" w:eastAsia="zh-CN" w:bidi="ar-SA"/>
        </w:rPr>
        <w:t>其他:招标文件一式三份，一正两副加盖公章</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公告期限 </w:t>
      </w:r>
    </w:p>
    <w:p>
      <w:pPr>
        <w:pStyle w:val="8"/>
        <w:keepNext w:val="0"/>
        <w:keepLines w:val="0"/>
        <w:widowControl/>
        <w:suppressLineNumbers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4"/>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365" w:firstLineChars="174"/>
        <w:jc w:val="left"/>
        <w:outlineLvl w:val="2"/>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（一）投标文件的组成</w:t>
      </w:r>
    </w:p>
    <w:p>
      <w:pPr>
        <w:snapToGrid w:val="0"/>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投标文件由资格证明文件、商务技术文件和报价文件三部份组成</w:t>
      </w:r>
      <w:r>
        <w:rPr>
          <w:rFonts w:hint="eastAsia" w:asciiTheme="minorEastAsia" w:hAnsiTheme="minorEastAsia" w:eastAsiaTheme="minorEastAsia" w:cstheme="minorEastAsia"/>
          <w:b w:val="0"/>
          <w:bCs/>
          <w:sz w:val="21"/>
          <w:szCs w:val="21"/>
          <w:lang w:eastAsia="zh-CN"/>
        </w:rPr>
        <w:t>。</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1.资格证明文件：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（1）投标人资格承诺函；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（2）法人或者其他组织投标的提供营业执照等证明文件，自然人投标的提供身份证明；</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 商务技术文件：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（1）投标人营业执照；</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投标人为医疗器械经营企业的：第三类医疗器械经营企业提供《医疗器械经营许可证》、第二类医疗器械经营企业提供第二类医疗器械经营备案凭证；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且投标人经备案或许可的经营范围必须包含本次投标的所有医疗器械；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（3）提供食品药品监督管理部门核发的完整有效的医疗器械注册或备案证明；</w:t>
      </w:r>
    </w:p>
    <w:p>
      <w:pPr>
        <w:snapToGrid w:val="0"/>
        <w:spacing w:line="360" w:lineRule="auto"/>
        <w:ind w:firstLine="411" w:firstLineChars="196"/>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▲（4）货物制造商或其它有销售资格（提供证明材料）的供应商出具的授权书（适用于投标人是进口货物代理商的情形）；</w:t>
      </w:r>
    </w:p>
    <w:p>
      <w:pPr>
        <w:snapToGrid w:val="0"/>
        <w:spacing w:line="360" w:lineRule="auto"/>
        <w:ind w:firstLine="411" w:firstLineChars="196"/>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kern w:val="0"/>
          <w:sz w:val="21"/>
          <w:szCs w:val="21"/>
        </w:rPr>
        <w:t>（5）投标声明函</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（6）投标产品一览表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（7）技术响应表；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（8）合同条款响应承诺</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（9）设备配置清单；</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（10）消耗品或易耗品价格； </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（11）售后服务承诺书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（12）业绩证明</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（13）投标人建议的安装、调试、验收方法或方案；</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（14）技术服务、技术培训的内容和措施；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（15）项目实施人员一览表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（16）维修能力（详见评分标准要求）；</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（17）投标机型的彩页和原厂技术参数；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）评分方法中的评审证明文件等；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）投标人认为需要提供的其他文件。</w:t>
      </w:r>
    </w:p>
    <w:p>
      <w:pPr>
        <w:snapToGrid w:val="0"/>
        <w:spacing w:line="360" w:lineRule="auto"/>
        <w:ind w:firstLine="413" w:firstLineChars="196"/>
        <w:jc w:val="left"/>
        <w:rPr>
          <w:rFonts w:hint="eastAsia" w:asciiTheme="minorEastAsia" w:hAnsiTheme="minorEastAsia" w:eastAsiaTheme="minorEastAsia" w:cstheme="minorEastAsia"/>
          <w:b/>
          <w:sz w:val="21"/>
          <w:szCs w:val="21"/>
        </w:rPr>
      </w:pPr>
    </w:p>
    <w:p>
      <w:pPr>
        <w:snapToGrid w:val="0"/>
        <w:spacing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3.报价文件：</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（1）开标一览表；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（2）投标报价明细表；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（3）投标人针对报价需要说明的其他文件和说明（如有）；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（4）中小企业的相关证明材料（如有</w:t>
      </w:r>
      <w:r>
        <w:rPr>
          <w:rFonts w:hint="eastAsia" w:asciiTheme="minorEastAsia" w:hAnsiTheme="minorEastAsia" w:eastAsiaTheme="minorEastAsia" w:cstheme="minorEastAsia"/>
          <w:kern w:val="0"/>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（5）残疾人福利性单位声明函(如有）；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（6）由省级以上监狱管理局、戒毒管理局（含新疆生产建设兵团）出具的属于监狱企业的证明文件（如有）。</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商务、技术参数偏离表</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70" w:type="dxa"/>
          <w:bottom w:w="0" w:type="dxa"/>
          <w:right w:w="70" w:type="dxa"/>
        </w:tblCellMar>
      </w:tblPr>
      <w:tblGrid>
        <w:gridCol w:w="1397"/>
        <w:gridCol w:w="6621"/>
        <w:gridCol w:w="11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blHeader/>
        </w:trPr>
        <w:tc>
          <w:tcPr>
            <w:tcW w:w="758" w:type="pct"/>
            <w:shd w:val="clear" w:color="auto" w:fill="CCCCCC"/>
            <w:noWrap w:val="0"/>
            <w:vAlign w:val="center"/>
          </w:tcPr>
          <w:p>
            <w:pPr>
              <w:pStyle w:val="26"/>
              <w:jc w:val="center"/>
              <w:rPr>
                <w:rStyle w:val="25"/>
                <w:rFonts w:hint="eastAsia" w:ascii="宋体" w:hAnsi="宋体" w:eastAsia="宋体" w:cs="宋体"/>
                <w:bCs w:val="0"/>
                <w:sz w:val="21"/>
                <w:szCs w:val="21"/>
              </w:rPr>
            </w:pPr>
            <w:r>
              <w:rPr>
                <w:rStyle w:val="25"/>
                <w:rFonts w:hint="eastAsia" w:ascii="宋体" w:hAnsi="宋体" w:eastAsia="宋体" w:cs="宋体"/>
                <w:bCs w:val="0"/>
                <w:sz w:val="21"/>
                <w:szCs w:val="21"/>
              </w:rPr>
              <w:t>序号</w:t>
            </w:r>
          </w:p>
        </w:tc>
        <w:tc>
          <w:tcPr>
            <w:tcW w:w="3593" w:type="pct"/>
            <w:shd w:val="clear" w:color="auto" w:fill="CCCCCC"/>
            <w:noWrap w:val="0"/>
            <w:vAlign w:val="center"/>
          </w:tcPr>
          <w:p>
            <w:pPr>
              <w:pStyle w:val="26"/>
              <w:jc w:val="center"/>
              <w:rPr>
                <w:rStyle w:val="25"/>
                <w:rFonts w:hint="eastAsia" w:ascii="宋体" w:hAnsi="宋体" w:eastAsia="宋体" w:cs="宋体"/>
                <w:bCs w:val="0"/>
                <w:sz w:val="21"/>
                <w:szCs w:val="21"/>
              </w:rPr>
            </w:pPr>
            <w:r>
              <w:rPr>
                <w:rStyle w:val="25"/>
                <w:rFonts w:hint="eastAsia" w:ascii="宋体" w:hAnsi="宋体" w:eastAsia="宋体" w:cs="宋体"/>
                <w:bCs w:val="0"/>
                <w:sz w:val="21"/>
                <w:szCs w:val="21"/>
              </w:rPr>
              <w:t>招标要求</w:t>
            </w:r>
          </w:p>
        </w:tc>
        <w:tc>
          <w:tcPr>
            <w:tcW w:w="648" w:type="pct"/>
            <w:shd w:val="clear" w:color="auto" w:fill="CCCCCC"/>
            <w:noWrap w:val="0"/>
            <w:vAlign w:val="center"/>
          </w:tcPr>
          <w:p>
            <w:pPr>
              <w:pStyle w:val="26"/>
              <w:jc w:val="center"/>
              <w:rPr>
                <w:rStyle w:val="25"/>
                <w:rFonts w:hint="eastAsia" w:ascii="宋体" w:hAnsi="宋体" w:eastAsia="宋体" w:cs="宋体"/>
                <w:bCs w:val="0"/>
                <w:sz w:val="21"/>
                <w:szCs w:val="21"/>
              </w:rPr>
            </w:pPr>
            <w:r>
              <w:rPr>
                <w:rStyle w:val="25"/>
                <w:rFonts w:hint="eastAsia" w:ascii="宋体" w:hAnsi="宋体" w:eastAsia="宋体" w:cs="宋体"/>
                <w:bCs w:val="0"/>
                <w:sz w:val="21"/>
                <w:szCs w:val="21"/>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一</w:t>
            </w:r>
          </w:p>
        </w:tc>
        <w:tc>
          <w:tcPr>
            <w:tcW w:w="3593" w:type="pct"/>
            <w:noWrap w:val="0"/>
            <w:vAlign w:val="center"/>
          </w:tcPr>
          <w:p>
            <w:pPr>
              <w:widowControl/>
              <w:jc w:val="left"/>
              <w:rPr>
                <w:rFonts w:hint="eastAsia"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技术参数要求</w:t>
            </w:r>
          </w:p>
        </w:tc>
        <w:tc>
          <w:tcPr>
            <w:tcW w:w="648" w:type="pct"/>
            <w:noWrap w:val="0"/>
            <w:vAlign w:val="center"/>
          </w:tcPr>
          <w:p>
            <w:pPr>
              <w:pStyle w:val="26"/>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b/>
                <w:kern w:val="2"/>
                <w:sz w:val="21"/>
                <w:szCs w:val="21"/>
                <w:highlight w:val="none"/>
              </w:rPr>
              <w:t>1.1</w:t>
            </w:r>
          </w:p>
        </w:tc>
        <w:tc>
          <w:tcPr>
            <w:tcW w:w="3593" w:type="pct"/>
            <w:noWrap w:val="0"/>
            <w:vAlign w:val="top"/>
          </w:tcPr>
          <w:p>
            <w:pPr>
              <w:pStyle w:val="20"/>
              <w:ind w:left="0" w:leftChars="0" w:firstLine="0" w:firstLineChars="0"/>
              <w:jc w:val="left"/>
              <w:rPr>
                <w:rFonts w:hint="eastAsia" w:ascii="宋体" w:hAnsi="宋体" w:eastAsia="宋体" w:cs="宋体"/>
                <w:color w:val="000000"/>
                <w:sz w:val="21"/>
                <w:szCs w:val="21"/>
              </w:rPr>
            </w:pPr>
            <w:r>
              <w:rPr>
                <w:rFonts w:hint="eastAsia" w:ascii="宋体" w:hAnsi="宋体" w:eastAsia="宋体" w:cs="宋体"/>
                <w:b/>
                <w:sz w:val="21"/>
                <w:szCs w:val="21"/>
                <w:highlight w:val="none"/>
              </w:rPr>
              <w:t>用途：</w:t>
            </w:r>
            <w:r>
              <w:rPr>
                <w:rFonts w:hint="eastAsia" w:ascii="宋体" w:hAnsi="宋体" w:eastAsia="宋体" w:cs="宋体"/>
                <w:i w:val="0"/>
                <w:iCs w:val="0"/>
                <w:caps w:val="0"/>
                <w:color w:val="333333"/>
                <w:spacing w:val="0"/>
                <w:sz w:val="21"/>
                <w:szCs w:val="21"/>
                <w:shd w:val="clear" w:color="auto" w:fill="FFFFFF"/>
              </w:rPr>
              <w:t>可适用血浆、生物材料、疫苗、试剂、生物制品、</w:t>
            </w:r>
            <w:r>
              <w:rPr>
                <w:rFonts w:hint="eastAsia" w:ascii="宋体" w:hAnsi="宋体" w:eastAsia="宋体" w:cs="宋体"/>
                <w:i w:val="0"/>
                <w:iCs w:val="0"/>
                <w:caps w:val="0"/>
                <w:color w:val="136EC2"/>
                <w:spacing w:val="0"/>
                <w:sz w:val="21"/>
                <w:szCs w:val="21"/>
                <w:u w:val="none"/>
                <w:shd w:val="clear" w:color="auto" w:fill="FFFFFF"/>
              </w:rPr>
              <w:fldChar w:fldCharType="begin"/>
            </w:r>
            <w:r>
              <w:rPr>
                <w:rFonts w:hint="eastAsia" w:ascii="宋体" w:hAnsi="宋体" w:eastAsia="宋体" w:cs="宋体"/>
                <w:i w:val="0"/>
                <w:iCs w:val="0"/>
                <w:caps w:val="0"/>
                <w:color w:val="136EC2"/>
                <w:spacing w:val="0"/>
                <w:sz w:val="21"/>
                <w:szCs w:val="21"/>
                <w:u w:val="none"/>
                <w:shd w:val="clear" w:color="auto" w:fill="FFFFFF"/>
              </w:rPr>
              <w:instrText xml:space="preserve"> HYPERLINK "https://baike.baidu.com/item/%E5%8C%96%E5%AD%A6%E8%AF%95%E5%89%82/2609911?fromModule=lemma_inlink" \t "https://baike.baidu.com/item/%E8%B6%85%E4%BD%8E%E6%B8%A9%E5%86%B0%E7%AE%B1/_blank" </w:instrText>
            </w:r>
            <w:r>
              <w:rPr>
                <w:rFonts w:hint="eastAsia" w:ascii="宋体" w:hAnsi="宋体" w:eastAsia="宋体" w:cs="宋体"/>
                <w:i w:val="0"/>
                <w:iCs w:val="0"/>
                <w:caps w:val="0"/>
                <w:color w:val="136EC2"/>
                <w:spacing w:val="0"/>
                <w:sz w:val="21"/>
                <w:szCs w:val="21"/>
                <w:u w:val="none"/>
                <w:shd w:val="clear" w:color="auto" w:fill="FFFFFF"/>
              </w:rPr>
              <w:fldChar w:fldCharType="separate"/>
            </w:r>
            <w:r>
              <w:rPr>
                <w:rStyle w:val="16"/>
                <w:rFonts w:hint="eastAsia" w:ascii="宋体" w:hAnsi="宋体" w:eastAsia="宋体" w:cs="宋体"/>
                <w:i w:val="0"/>
                <w:iCs w:val="0"/>
                <w:caps w:val="0"/>
                <w:color w:val="136EC2"/>
                <w:spacing w:val="0"/>
                <w:sz w:val="21"/>
                <w:szCs w:val="21"/>
                <w:u w:val="none"/>
                <w:shd w:val="clear" w:color="auto" w:fill="FFFFFF"/>
              </w:rPr>
              <w:t>化学试剂</w:t>
            </w:r>
            <w:r>
              <w:rPr>
                <w:rFonts w:hint="eastAsia" w:ascii="宋体" w:hAnsi="宋体" w:eastAsia="宋体" w:cs="宋体"/>
                <w:i w:val="0"/>
                <w:iCs w:val="0"/>
                <w:caps w:val="0"/>
                <w:color w:val="136EC2"/>
                <w:spacing w:val="0"/>
                <w:sz w:val="21"/>
                <w:szCs w:val="21"/>
                <w:u w:val="none"/>
                <w:shd w:val="clear" w:color="auto" w:fill="FFFFFF"/>
              </w:rPr>
              <w:fldChar w:fldCharType="end"/>
            </w:r>
            <w:r>
              <w:rPr>
                <w:rFonts w:hint="eastAsia" w:ascii="宋体" w:hAnsi="宋体" w:eastAsia="宋体" w:cs="宋体"/>
                <w:i w:val="0"/>
                <w:iCs w:val="0"/>
                <w:caps w:val="0"/>
                <w:color w:val="333333"/>
                <w:spacing w:val="0"/>
                <w:sz w:val="21"/>
                <w:szCs w:val="21"/>
                <w:shd w:val="clear" w:color="auto" w:fill="FFFFFF"/>
              </w:rPr>
              <w:t>、菌种、生物样本等低温保存</w:t>
            </w:r>
          </w:p>
        </w:tc>
        <w:tc>
          <w:tcPr>
            <w:tcW w:w="648" w:type="pct"/>
            <w:noWrap w:val="0"/>
            <w:vAlign w:val="center"/>
          </w:tcPr>
          <w:p>
            <w:pPr>
              <w:widowControl/>
              <w:spacing w:line="360" w:lineRule="auto"/>
              <w:jc w:val="center"/>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b/>
                <w:kern w:val="2"/>
                <w:sz w:val="21"/>
                <w:szCs w:val="21"/>
                <w:highlight w:val="none"/>
              </w:rPr>
              <w:t>1.2</w:t>
            </w:r>
          </w:p>
        </w:tc>
        <w:tc>
          <w:tcPr>
            <w:tcW w:w="3593" w:type="pct"/>
            <w:noWrap w:val="0"/>
            <w:vAlign w:val="center"/>
          </w:tcPr>
          <w:p>
            <w:pPr>
              <w:widowControl/>
              <w:spacing w:line="360" w:lineRule="auto"/>
              <w:rPr>
                <w:rFonts w:hint="eastAsia" w:ascii="宋体" w:hAnsi="宋体" w:eastAsia="宋体" w:cs="宋体"/>
                <w:color w:val="000000"/>
                <w:sz w:val="21"/>
                <w:szCs w:val="21"/>
              </w:rPr>
            </w:pPr>
            <w:r>
              <w:rPr>
                <w:rFonts w:hint="eastAsia" w:ascii="宋体" w:hAnsi="宋体" w:eastAsia="宋体" w:cs="宋体"/>
                <w:b/>
                <w:kern w:val="2"/>
                <w:sz w:val="21"/>
                <w:szCs w:val="21"/>
                <w:highlight w:val="none"/>
              </w:rPr>
              <w:t>主要技术规格及系统概述：</w:t>
            </w:r>
          </w:p>
        </w:tc>
        <w:tc>
          <w:tcPr>
            <w:tcW w:w="648" w:type="pct"/>
            <w:noWrap w:val="0"/>
            <w:vAlign w:val="center"/>
          </w:tcPr>
          <w:p>
            <w:pPr>
              <w:widowControl/>
              <w:spacing w:line="360" w:lineRule="auto"/>
              <w:jc w:val="center"/>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eastAsia="zh-CN"/>
              </w:rPr>
              <w:t>▲</w:t>
            </w:r>
            <w:r>
              <w:rPr>
                <w:rFonts w:hint="eastAsia" w:ascii="宋体" w:hAnsi="宋体" w:eastAsia="宋体" w:cs="宋体"/>
                <w:color w:val="000000"/>
                <w:sz w:val="21"/>
                <w:szCs w:val="21"/>
                <w:lang w:val="en-US" w:eastAsia="zh-CN"/>
              </w:rPr>
              <w:t>1.2.1</w:t>
            </w:r>
          </w:p>
        </w:tc>
        <w:tc>
          <w:tcPr>
            <w:tcW w:w="3593" w:type="pct"/>
            <w:noWrap w:val="0"/>
            <w:vAlign w:val="top"/>
          </w:tcPr>
          <w:p>
            <w:pPr>
              <w:rPr>
                <w:rFonts w:hint="eastAsia" w:ascii="宋体" w:hAnsi="宋体" w:eastAsia="宋体" w:cs="宋体"/>
                <w:color w:val="000000"/>
                <w:sz w:val="21"/>
                <w:szCs w:val="21"/>
              </w:rPr>
            </w:pPr>
            <w:r>
              <w:rPr>
                <w:rFonts w:hint="eastAsia" w:ascii="宋体" w:hAnsi="宋体" w:eastAsia="宋体" w:cs="宋体"/>
                <w:bCs/>
                <w:sz w:val="21"/>
                <w:szCs w:val="21"/>
              </w:rPr>
              <w:t xml:space="preserve">内部容积：不小于 </w:t>
            </w:r>
            <w:r>
              <w:rPr>
                <w:rFonts w:hint="eastAsia" w:ascii="宋体" w:hAnsi="宋体" w:eastAsia="宋体" w:cs="宋体"/>
                <w:bCs/>
                <w:sz w:val="21"/>
                <w:szCs w:val="21"/>
                <w:lang w:val="en-US" w:eastAsia="zh-CN"/>
              </w:rPr>
              <w:t>816</w:t>
            </w:r>
            <w:r>
              <w:rPr>
                <w:rFonts w:hint="eastAsia" w:ascii="宋体" w:hAnsi="宋体" w:eastAsia="宋体" w:cs="宋体"/>
                <w:bCs/>
                <w:sz w:val="21"/>
                <w:szCs w:val="21"/>
              </w:rPr>
              <w:t xml:space="preserve">升，2 英寸冻存盒的存放数量：不少于 </w:t>
            </w:r>
            <w:r>
              <w:rPr>
                <w:rFonts w:hint="eastAsia" w:ascii="宋体" w:hAnsi="宋体" w:eastAsia="宋体" w:cs="宋体"/>
                <w:bCs/>
                <w:sz w:val="21"/>
                <w:szCs w:val="21"/>
                <w:lang w:val="en-US" w:eastAsia="zh-CN"/>
              </w:rPr>
              <w:t>6</w:t>
            </w:r>
            <w:r>
              <w:rPr>
                <w:rFonts w:hint="eastAsia" w:ascii="宋体" w:hAnsi="宋体" w:eastAsia="宋体" w:cs="宋体"/>
                <w:bCs/>
                <w:sz w:val="21"/>
                <w:szCs w:val="21"/>
              </w:rPr>
              <w:t>00 个</w:t>
            </w:r>
          </w:p>
        </w:tc>
        <w:tc>
          <w:tcPr>
            <w:tcW w:w="648" w:type="pct"/>
            <w:noWrap w:val="0"/>
            <w:vAlign w:val="center"/>
          </w:tcPr>
          <w:p>
            <w:pPr>
              <w:widowControl/>
              <w:spacing w:line="360" w:lineRule="auto"/>
              <w:jc w:val="center"/>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jc w:val="center"/>
              <w:rPr>
                <w:rFonts w:hint="eastAsia" w:ascii="宋体" w:hAnsi="宋体" w:eastAsia="宋体" w:cs="宋体"/>
                <w:b/>
                <w:bCs/>
                <w:sz w:val="21"/>
                <w:szCs w:val="21"/>
                <w:highlight w:val="none"/>
                <w:lang w:val="en-US"/>
              </w:rPr>
            </w:pPr>
            <w:r>
              <w:rPr>
                <w:rFonts w:hint="eastAsia" w:ascii="宋体" w:hAnsi="宋体" w:eastAsia="宋体" w:cs="宋体"/>
                <w:color w:val="000000"/>
                <w:sz w:val="21"/>
                <w:szCs w:val="21"/>
                <w:lang w:val="en-US" w:eastAsia="zh-CN"/>
              </w:rPr>
              <w:t>1.2.2</w:t>
            </w:r>
          </w:p>
        </w:tc>
        <w:tc>
          <w:tcPr>
            <w:tcW w:w="3593" w:type="pct"/>
            <w:noWrap w:val="0"/>
            <w:vAlign w:val="top"/>
          </w:tcPr>
          <w:p>
            <w:pPr>
              <w:rPr>
                <w:rFonts w:hint="eastAsia" w:ascii="宋体" w:hAnsi="宋体" w:eastAsia="宋体" w:cs="宋体"/>
                <w:color w:val="000000"/>
                <w:sz w:val="21"/>
                <w:szCs w:val="21"/>
              </w:rPr>
            </w:pPr>
            <w:r>
              <w:rPr>
                <w:rFonts w:hint="eastAsia" w:ascii="宋体" w:hAnsi="宋体" w:eastAsia="宋体" w:cs="宋体"/>
                <w:bCs/>
                <w:sz w:val="21"/>
                <w:szCs w:val="21"/>
              </w:rPr>
              <w:t>工作温度范围:-50℃∽-86℃，微电脑控制，PT1000 控制探头，工作温度设定点可调节</w:t>
            </w:r>
          </w:p>
        </w:tc>
        <w:tc>
          <w:tcPr>
            <w:tcW w:w="648" w:type="pct"/>
            <w:noWrap w:val="0"/>
            <w:vAlign w:val="center"/>
          </w:tcPr>
          <w:p>
            <w:pPr>
              <w:widowControl/>
              <w:spacing w:line="360" w:lineRule="auto"/>
              <w:jc w:val="center"/>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1242" w:hRule="atLeast"/>
        </w:trPr>
        <w:tc>
          <w:tcPr>
            <w:tcW w:w="758" w:type="pct"/>
            <w:noWrap w:val="0"/>
            <w:vAlign w:val="center"/>
          </w:tcPr>
          <w:p>
            <w:pPr>
              <w:jc w:val="center"/>
              <w:rPr>
                <w:rFonts w:hint="eastAsia" w:ascii="宋体" w:hAnsi="宋体" w:eastAsia="宋体" w:cs="宋体"/>
                <w:b/>
                <w:bCs/>
                <w:sz w:val="21"/>
                <w:szCs w:val="21"/>
                <w:highlight w:val="none"/>
                <w:lang w:val="en-US"/>
              </w:rPr>
            </w:pPr>
            <w:r>
              <w:rPr>
                <w:rFonts w:hint="eastAsia" w:ascii="宋体" w:hAnsi="宋体" w:eastAsia="宋体" w:cs="宋体"/>
                <w:b/>
                <w:bCs/>
                <w:color w:val="000000"/>
                <w:sz w:val="21"/>
                <w:szCs w:val="21"/>
                <w:lang w:eastAsia="zh-CN"/>
              </w:rPr>
              <w:t>★</w:t>
            </w:r>
            <w:r>
              <w:rPr>
                <w:rFonts w:hint="eastAsia" w:ascii="宋体" w:hAnsi="宋体" w:eastAsia="宋体" w:cs="宋体"/>
                <w:color w:val="000000"/>
                <w:sz w:val="21"/>
                <w:szCs w:val="21"/>
                <w:lang w:val="en-US" w:eastAsia="zh-CN"/>
              </w:rPr>
              <w:t>1.2.3</w:t>
            </w:r>
          </w:p>
        </w:tc>
        <w:tc>
          <w:tcPr>
            <w:tcW w:w="3593" w:type="pct"/>
            <w:noWrap w:val="0"/>
            <w:vAlign w:val="top"/>
          </w:tcPr>
          <w:p>
            <w:pPr>
              <w:rPr>
                <w:rFonts w:hint="eastAsia" w:ascii="宋体" w:hAnsi="宋体" w:eastAsia="宋体" w:cs="宋体"/>
                <w:color w:val="000000"/>
                <w:sz w:val="21"/>
                <w:szCs w:val="21"/>
              </w:rPr>
            </w:pPr>
            <w:r>
              <w:rPr>
                <w:rFonts w:hint="eastAsia" w:ascii="宋体" w:hAnsi="宋体" w:eastAsia="宋体" w:cs="宋体"/>
                <w:bCs/>
                <w:sz w:val="21"/>
                <w:szCs w:val="21"/>
              </w:rPr>
              <w:t>制冷系统: 2台559W国际知名品牌工业级高效压缩机层叠制冷；空载情况下，内外门全开一分钟后关闭，冰箱回温到 -75℃ 的时间不超过 15分钟</w:t>
            </w:r>
          </w:p>
        </w:tc>
        <w:tc>
          <w:tcPr>
            <w:tcW w:w="648" w:type="pct"/>
            <w:noWrap w:val="0"/>
            <w:vAlign w:val="center"/>
          </w:tcPr>
          <w:p>
            <w:pPr>
              <w:widowControl/>
              <w:spacing w:line="360" w:lineRule="auto"/>
              <w:jc w:val="center"/>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color w:val="000000"/>
                <w:sz w:val="21"/>
                <w:szCs w:val="21"/>
                <w:lang w:val="en-US" w:eastAsia="zh-CN"/>
              </w:rPr>
              <w:t>1.2.4</w:t>
            </w:r>
          </w:p>
        </w:tc>
        <w:tc>
          <w:tcPr>
            <w:tcW w:w="3593" w:type="pct"/>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rPr>
              <w:t>制冷剂为完全无氟碳氢制冷剂乙烷（R170）和丙烷 (R290) ，节能环保</w:t>
            </w:r>
          </w:p>
        </w:tc>
        <w:tc>
          <w:tcPr>
            <w:tcW w:w="648"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lang w:val="en-US" w:eastAsia="zh-CN"/>
              </w:rPr>
              <w:t>1.2.5</w:t>
            </w:r>
          </w:p>
        </w:tc>
        <w:tc>
          <w:tcPr>
            <w:tcW w:w="3593" w:type="pct"/>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rPr>
              <w:t>整机内置7个温度探头，全面监控超低温冰箱腔体温度、环境温度、热交换器温度、蒸发器入口温度、蒸发器出口温度、一级吸气管温度、二级吸气管温度等，确保冰箱顺利运行；</w:t>
            </w:r>
            <w:r>
              <w:rPr>
                <w:rFonts w:hint="eastAsia" w:ascii="宋体" w:hAnsi="宋体" w:eastAsia="宋体" w:cs="宋体"/>
                <w:bCs/>
                <w:kern w:val="0"/>
                <w:sz w:val="21"/>
                <w:szCs w:val="21"/>
              </w:rPr>
              <w:t>其中5个温度探头的数据工程师可直接导出</w:t>
            </w:r>
            <w:r>
              <w:rPr>
                <w:rFonts w:hint="eastAsia" w:ascii="宋体" w:hAnsi="宋体" w:eastAsia="宋体" w:cs="宋体"/>
                <w:bCs/>
                <w:sz w:val="21"/>
                <w:szCs w:val="21"/>
              </w:rPr>
              <w:t>，有助于故障原因的快速判断</w:t>
            </w:r>
          </w:p>
        </w:tc>
        <w:tc>
          <w:tcPr>
            <w:tcW w:w="648"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lang w:val="en-US" w:eastAsia="zh-CN"/>
              </w:rPr>
              <w:t>1.2.6</w:t>
            </w:r>
          </w:p>
        </w:tc>
        <w:tc>
          <w:tcPr>
            <w:tcW w:w="3593" w:type="pct"/>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rPr>
              <w:t>创新的超薄保温结构设计：2.5厘米厚真空绝热板，结合环保、水发泡沫绝热材料，显著增强保温性能及腔体存储空间</w:t>
            </w:r>
            <w:r>
              <w:rPr>
                <w:rFonts w:hint="eastAsia" w:ascii="宋体" w:hAnsi="宋体" w:eastAsia="宋体" w:cs="宋体"/>
                <w:sz w:val="21"/>
                <w:szCs w:val="21"/>
              </w:rPr>
              <w:t> </w:t>
            </w:r>
          </w:p>
        </w:tc>
        <w:tc>
          <w:tcPr>
            <w:tcW w:w="648"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color w:val="000000"/>
                <w:sz w:val="21"/>
                <w:szCs w:val="21"/>
                <w:lang w:eastAsia="zh-CN"/>
              </w:rPr>
              <w:t>★</w:t>
            </w:r>
            <w:r>
              <w:rPr>
                <w:rFonts w:hint="eastAsia" w:ascii="宋体" w:hAnsi="宋体" w:eastAsia="宋体" w:cs="宋体"/>
                <w:color w:val="000000"/>
                <w:sz w:val="21"/>
                <w:szCs w:val="21"/>
                <w:lang w:val="en-US" w:eastAsia="zh-CN"/>
              </w:rPr>
              <w:t>1.2.7</w:t>
            </w:r>
          </w:p>
        </w:tc>
        <w:tc>
          <w:tcPr>
            <w:tcW w:w="3593" w:type="pct"/>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rPr>
              <w:t>标配四扇聚苯乙烯泡沫绝热内门，减少冷气丢失；嵌入式磁铁门闩，防止传统插销式门把的结冰情况</w:t>
            </w:r>
          </w:p>
        </w:tc>
        <w:tc>
          <w:tcPr>
            <w:tcW w:w="648"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lang w:val="en-US" w:eastAsia="zh-CN"/>
              </w:rPr>
              <w:t>1.2.8</w:t>
            </w:r>
          </w:p>
        </w:tc>
        <w:tc>
          <w:tcPr>
            <w:tcW w:w="3593" w:type="pct"/>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rPr>
              <w:t>具有良好的保温性能，室温20℃断电时，空载的情况下从 -80℃ 升温到 -50℃ 的时间不低于</w:t>
            </w:r>
            <w:r>
              <w:rPr>
                <w:rFonts w:hint="eastAsia" w:ascii="宋体" w:hAnsi="宋体" w:eastAsia="宋体" w:cs="宋体"/>
                <w:bCs/>
                <w:sz w:val="21"/>
                <w:szCs w:val="21"/>
                <w:lang w:val="en-US" w:eastAsia="zh-CN"/>
              </w:rPr>
              <w:t>300</w:t>
            </w:r>
            <w:r>
              <w:rPr>
                <w:rFonts w:hint="eastAsia" w:ascii="宋体" w:hAnsi="宋体" w:eastAsia="宋体" w:cs="宋体"/>
                <w:bCs/>
                <w:sz w:val="21"/>
                <w:szCs w:val="21"/>
              </w:rPr>
              <w:t>分钟</w:t>
            </w:r>
          </w:p>
        </w:tc>
        <w:tc>
          <w:tcPr>
            <w:tcW w:w="648"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lang w:val="en-US" w:eastAsia="zh-CN"/>
              </w:rPr>
              <w:t>1.2.9</w:t>
            </w:r>
          </w:p>
        </w:tc>
        <w:tc>
          <w:tcPr>
            <w:tcW w:w="3593" w:type="pct"/>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rPr>
              <w:t>箱体结构：内外冷轧钢壁，高强度、耐刮擦的粉末涂层外壁</w:t>
            </w:r>
          </w:p>
        </w:tc>
        <w:tc>
          <w:tcPr>
            <w:tcW w:w="648"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lang w:val="en-US" w:eastAsia="zh-CN"/>
              </w:rPr>
              <w:t>1.2.10</w:t>
            </w:r>
          </w:p>
        </w:tc>
        <w:tc>
          <w:tcPr>
            <w:tcW w:w="3593" w:type="pct"/>
            <w:noWrap w:val="0"/>
            <w:vAlign w:val="top"/>
          </w:tcPr>
          <w:p>
            <w:pPr>
              <w:pStyle w:val="20"/>
              <w:numPr>
                <w:ilvl w:val="0"/>
                <w:numId w:val="0"/>
              </w:numPr>
              <w:spacing w:line="440" w:lineRule="exact"/>
              <w:ind w:leftChars="0"/>
              <w:rPr>
                <w:rFonts w:hint="eastAsia" w:ascii="宋体" w:hAnsi="宋体" w:eastAsia="宋体" w:cs="宋体"/>
                <w:bCs/>
                <w:sz w:val="21"/>
                <w:szCs w:val="21"/>
              </w:rPr>
            </w:pPr>
            <w:r>
              <w:rPr>
                <w:rFonts w:hint="eastAsia" w:ascii="宋体" w:hAnsi="宋体" w:eastAsia="宋体" w:cs="宋体"/>
                <w:bCs/>
                <w:sz w:val="21"/>
                <w:szCs w:val="21"/>
              </w:rPr>
              <w:t>标配3块不锈钢搁板, 隔板数量可增加，可调节高度；最大承重达</w:t>
            </w:r>
            <w:r>
              <w:rPr>
                <w:rFonts w:hint="eastAsia" w:ascii="宋体" w:hAnsi="宋体" w:eastAsia="宋体" w:cs="宋体"/>
                <w:bCs/>
                <w:sz w:val="21"/>
                <w:szCs w:val="21"/>
                <w:lang w:val="en-US" w:eastAsia="zh-CN"/>
              </w:rPr>
              <w:t>110</w:t>
            </w:r>
            <w:r>
              <w:rPr>
                <w:rFonts w:hint="eastAsia" w:ascii="宋体" w:hAnsi="宋体" w:eastAsia="宋体" w:cs="宋体"/>
                <w:bCs/>
                <w:sz w:val="21"/>
                <w:szCs w:val="21"/>
              </w:rPr>
              <w:t>KG</w:t>
            </w:r>
          </w:p>
          <w:p>
            <w:pPr>
              <w:rPr>
                <w:rFonts w:hint="eastAsia" w:ascii="宋体" w:hAnsi="宋体" w:eastAsia="宋体" w:cs="宋体"/>
                <w:kern w:val="2"/>
                <w:sz w:val="21"/>
                <w:szCs w:val="21"/>
                <w:highlight w:val="none"/>
                <w:lang w:val="en-US" w:eastAsia="zh-CN" w:bidi="ar-SA"/>
              </w:rPr>
            </w:pPr>
          </w:p>
        </w:tc>
        <w:tc>
          <w:tcPr>
            <w:tcW w:w="648"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color w:val="000000"/>
                <w:sz w:val="21"/>
                <w:szCs w:val="21"/>
                <w:lang w:eastAsia="zh-CN"/>
              </w:rPr>
              <w:t>★</w:t>
            </w:r>
            <w:r>
              <w:rPr>
                <w:rFonts w:hint="eastAsia" w:ascii="宋体" w:hAnsi="宋体" w:eastAsia="宋体" w:cs="宋体"/>
                <w:color w:val="000000"/>
                <w:sz w:val="21"/>
                <w:szCs w:val="21"/>
                <w:lang w:val="en-US" w:eastAsia="zh-CN"/>
              </w:rPr>
              <w:t>1.2.11</w:t>
            </w:r>
          </w:p>
        </w:tc>
        <w:tc>
          <w:tcPr>
            <w:tcW w:w="3593" w:type="pct"/>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rPr>
              <w:t>创新四点七层电加热式密封条，有效防止门封条及周边结霜，确保最佳密封保温效果；加热器嵌入门内，确保热量不会进入样品存储区域</w:t>
            </w:r>
          </w:p>
        </w:tc>
        <w:tc>
          <w:tcPr>
            <w:tcW w:w="648"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lang w:val="en-US" w:eastAsia="zh-CN"/>
              </w:rPr>
              <w:t>1.2.12</w:t>
            </w:r>
          </w:p>
        </w:tc>
        <w:tc>
          <w:tcPr>
            <w:tcW w:w="3593" w:type="pct"/>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rPr>
              <w:t>工业级门铰链不易变形，确保良好的密封性</w:t>
            </w:r>
          </w:p>
        </w:tc>
        <w:tc>
          <w:tcPr>
            <w:tcW w:w="648"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lang w:val="en-US" w:eastAsia="zh-CN"/>
              </w:rPr>
              <w:t>1.2.13</w:t>
            </w:r>
          </w:p>
        </w:tc>
        <w:tc>
          <w:tcPr>
            <w:tcW w:w="3593" w:type="pct"/>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rPr>
              <w:t>外门配有带加热功能的自动减压阀，可在关门后迅速平衡冰箱门内外压差，方便高度密封的外门在1分钟左右的时间内再次单手轻松开启</w:t>
            </w:r>
          </w:p>
        </w:tc>
        <w:tc>
          <w:tcPr>
            <w:tcW w:w="648"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lang w:val="en-US" w:eastAsia="zh-CN"/>
              </w:rPr>
              <w:t>1.2.14</w:t>
            </w:r>
          </w:p>
        </w:tc>
        <w:tc>
          <w:tcPr>
            <w:tcW w:w="3593" w:type="pct"/>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rPr>
              <w:t>符合人体工程学的单手操作门把手，可锁定并可同时增加一挂锁，提高安全性</w:t>
            </w:r>
          </w:p>
        </w:tc>
        <w:tc>
          <w:tcPr>
            <w:tcW w:w="648"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lang w:val="en-US" w:eastAsia="zh-CN"/>
              </w:rPr>
              <w:t>1.2.15</w:t>
            </w:r>
          </w:p>
        </w:tc>
        <w:tc>
          <w:tcPr>
            <w:tcW w:w="3593" w:type="pct"/>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rPr>
              <w:t>冷凝器过滤网易拆卸，可水洗, 保护冷凝器免沾灰尘，提高制冷性能</w:t>
            </w:r>
          </w:p>
        </w:tc>
        <w:tc>
          <w:tcPr>
            <w:tcW w:w="648"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lang w:val="en-US" w:eastAsia="zh-CN"/>
              </w:rPr>
              <w:t>1.2.16</w:t>
            </w:r>
          </w:p>
        </w:tc>
        <w:tc>
          <w:tcPr>
            <w:tcW w:w="3593" w:type="pct"/>
            <w:noWrap w:val="0"/>
            <w:vAlign w:val="top"/>
          </w:tcPr>
          <w:p>
            <w:pPr>
              <w:pStyle w:val="20"/>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rPr>
              <w:t>重型脚轮，方便移动和固定冰箱</w:t>
            </w:r>
          </w:p>
        </w:tc>
        <w:tc>
          <w:tcPr>
            <w:tcW w:w="648"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lang w:val="en-US" w:eastAsia="zh-CN"/>
              </w:rPr>
              <w:t>1.2.17</w:t>
            </w:r>
          </w:p>
        </w:tc>
        <w:tc>
          <w:tcPr>
            <w:tcW w:w="3593" w:type="pct"/>
            <w:noWrap w:val="0"/>
            <w:vAlign w:val="top"/>
          </w:tcPr>
          <w:p>
            <w:pPr>
              <w:pStyle w:val="20"/>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rPr>
              <w:t>用户界面：5.6英寸电容式触摸按键屏, 清晰的数字温度显示, 面板上的图标直观显示冰箱运行健康状态、以及超温、门半开或电源故障</w:t>
            </w:r>
            <w:bookmarkStart w:id="0" w:name="OLE_LINK6"/>
            <w:r>
              <w:rPr>
                <w:rFonts w:hint="eastAsia" w:ascii="宋体" w:hAnsi="宋体" w:eastAsia="宋体" w:cs="宋体"/>
                <w:bCs/>
                <w:sz w:val="21"/>
                <w:szCs w:val="21"/>
              </w:rPr>
              <w:t>等警报状态</w:t>
            </w:r>
            <w:bookmarkEnd w:id="0"/>
          </w:p>
        </w:tc>
        <w:tc>
          <w:tcPr>
            <w:tcW w:w="648"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lang w:val="en-US" w:eastAsia="zh-CN"/>
              </w:rPr>
              <w:t>1.2.18</w:t>
            </w:r>
          </w:p>
        </w:tc>
        <w:tc>
          <w:tcPr>
            <w:tcW w:w="3593" w:type="pct"/>
            <w:noWrap w:val="0"/>
            <w:vAlign w:val="top"/>
          </w:tcPr>
          <w:p>
            <w:pPr>
              <w:pStyle w:val="20"/>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rPr>
              <w:t>通过控制面板，可进行运行温度和报警温度设置，温度过高警报测试功能，以及温度校准补偿功能</w:t>
            </w:r>
          </w:p>
        </w:tc>
        <w:tc>
          <w:tcPr>
            <w:tcW w:w="648"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lang w:val="en-US" w:eastAsia="zh-CN"/>
              </w:rPr>
              <w:t>1.2.19</w:t>
            </w:r>
          </w:p>
        </w:tc>
        <w:tc>
          <w:tcPr>
            <w:tcW w:w="3593" w:type="pct"/>
            <w:noWrap w:val="0"/>
            <w:vAlign w:val="top"/>
          </w:tcPr>
          <w:p>
            <w:pPr>
              <w:pStyle w:val="20"/>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rPr>
              <w:t>控制面板具有屏幕防水设计，可以有效防止清洁时液体进入损坏控制器</w:t>
            </w:r>
          </w:p>
        </w:tc>
        <w:tc>
          <w:tcPr>
            <w:tcW w:w="648"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lang w:val="en-US" w:eastAsia="zh-CN"/>
              </w:rPr>
              <w:t>1.2.20</w:t>
            </w:r>
          </w:p>
        </w:tc>
        <w:tc>
          <w:tcPr>
            <w:tcW w:w="3593" w:type="pct"/>
            <w:noWrap w:val="0"/>
            <w:vAlign w:val="top"/>
          </w:tcPr>
          <w:p>
            <w:pPr>
              <w:pStyle w:val="20"/>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rPr>
              <w:t>标配2个1” (25mm) 预留</w:t>
            </w:r>
            <w:bookmarkStart w:id="1" w:name="OLE_LINK35"/>
            <w:bookmarkStart w:id="2" w:name="OLE_LINK36"/>
            <w:r>
              <w:rPr>
                <w:rFonts w:hint="eastAsia" w:ascii="宋体" w:hAnsi="宋体" w:eastAsia="宋体" w:cs="宋体"/>
                <w:bCs/>
                <w:sz w:val="21"/>
                <w:szCs w:val="21"/>
              </w:rPr>
              <w:t>外接端口</w:t>
            </w:r>
            <w:bookmarkEnd w:id="1"/>
            <w:bookmarkEnd w:id="2"/>
            <w:r>
              <w:rPr>
                <w:rFonts w:hint="eastAsia" w:ascii="宋体" w:hAnsi="宋体" w:eastAsia="宋体" w:cs="宋体"/>
                <w:bCs/>
                <w:sz w:val="21"/>
                <w:szCs w:val="21"/>
              </w:rPr>
              <w:t>，可连接外部探头或仪器</w:t>
            </w:r>
          </w:p>
        </w:tc>
        <w:tc>
          <w:tcPr>
            <w:tcW w:w="648"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lang w:val="en-US" w:eastAsia="zh-CN"/>
              </w:rPr>
              <w:t>1.2.21</w:t>
            </w:r>
          </w:p>
        </w:tc>
        <w:tc>
          <w:tcPr>
            <w:tcW w:w="3593" w:type="pct"/>
            <w:noWrap w:val="0"/>
            <w:vAlign w:val="top"/>
          </w:tcPr>
          <w:p>
            <w:pPr>
              <w:pStyle w:val="20"/>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rPr>
              <w:t>完善的温度数据和报警信号通信端口：标配RS485,4-20 毫安输出端口及Dry Contact远程报警接口</w:t>
            </w:r>
          </w:p>
        </w:tc>
        <w:tc>
          <w:tcPr>
            <w:tcW w:w="648"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lang w:val="en-US" w:eastAsia="zh-CN"/>
              </w:rPr>
              <w:t>1.2.22</w:t>
            </w:r>
          </w:p>
        </w:tc>
        <w:tc>
          <w:tcPr>
            <w:tcW w:w="3593" w:type="pct"/>
            <w:noWrap w:val="0"/>
            <w:vAlign w:val="top"/>
          </w:tcPr>
          <w:p>
            <w:pPr>
              <w:pStyle w:val="20"/>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rPr>
              <w:t>冰箱底部装有消声器和吸音泡沫，能大大减少噪音，运行分贝不超过51dBA</w:t>
            </w:r>
          </w:p>
        </w:tc>
        <w:tc>
          <w:tcPr>
            <w:tcW w:w="648"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lang w:val="en-US" w:eastAsia="zh-CN"/>
              </w:rPr>
              <w:t>1.2.23</w:t>
            </w:r>
          </w:p>
        </w:tc>
        <w:tc>
          <w:tcPr>
            <w:tcW w:w="3593" w:type="pct"/>
            <w:noWrap w:val="0"/>
            <w:vAlign w:val="top"/>
          </w:tcPr>
          <w:p>
            <w:pPr>
              <w:pStyle w:val="20"/>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rPr>
              <w:t>符合多项权威认证：CE 认证、ISO认证</w:t>
            </w:r>
          </w:p>
        </w:tc>
        <w:tc>
          <w:tcPr>
            <w:tcW w:w="648"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color w:val="000000"/>
                <w:sz w:val="21"/>
                <w:szCs w:val="21"/>
              </w:rPr>
            </w:pPr>
            <w:r>
              <w:rPr>
                <w:rFonts w:hint="eastAsia" w:ascii="宋体" w:hAnsi="宋体" w:eastAsia="宋体" w:cs="宋体"/>
                <w:b/>
                <w:bCs w:val="0"/>
                <w:sz w:val="21"/>
                <w:szCs w:val="21"/>
                <w:highlight w:val="none"/>
              </w:rPr>
              <w:t>二</w:t>
            </w:r>
          </w:p>
        </w:tc>
        <w:tc>
          <w:tcPr>
            <w:tcW w:w="3593" w:type="pct"/>
            <w:noWrap w:val="0"/>
            <w:vAlign w:val="center"/>
          </w:tcPr>
          <w:p>
            <w:pPr>
              <w:pStyle w:val="20"/>
              <w:ind w:firstLine="0" w:firstLineChars="0"/>
              <w:jc w:val="left"/>
              <w:rPr>
                <w:rFonts w:hint="eastAsia" w:ascii="宋体" w:hAnsi="宋体" w:eastAsia="宋体" w:cs="宋体"/>
                <w:color w:val="000000"/>
                <w:sz w:val="21"/>
                <w:szCs w:val="21"/>
              </w:rPr>
            </w:pPr>
            <w:r>
              <w:rPr>
                <w:rFonts w:hint="eastAsia" w:ascii="宋体" w:hAnsi="宋体" w:eastAsia="宋体" w:cs="宋体"/>
                <w:b/>
                <w:bCs w:val="0"/>
                <w:sz w:val="21"/>
                <w:szCs w:val="21"/>
                <w:highlight w:val="none"/>
              </w:rPr>
              <w:t>配置</w:t>
            </w:r>
          </w:p>
        </w:tc>
        <w:tc>
          <w:tcPr>
            <w:tcW w:w="648"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color w:val="FF0000"/>
                <w:sz w:val="21"/>
                <w:szCs w:val="21"/>
                <w:highlight w:val="none"/>
              </w:rPr>
            </w:pPr>
            <w:r>
              <w:rPr>
                <w:rFonts w:hint="eastAsia" w:ascii="宋体" w:hAnsi="宋体" w:eastAsia="宋体" w:cs="宋体"/>
                <w:b w:val="0"/>
                <w:bCs/>
                <w:sz w:val="21"/>
                <w:szCs w:val="21"/>
                <w:highlight w:val="none"/>
              </w:rPr>
              <w:t>1、</w:t>
            </w:r>
          </w:p>
        </w:tc>
        <w:tc>
          <w:tcPr>
            <w:tcW w:w="3593" w:type="pct"/>
            <w:noWrap w:val="0"/>
            <w:vAlign w:val="center"/>
          </w:tcPr>
          <w:p>
            <w:pPr>
              <w:pStyle w:val="20"/>
              <w:ind w:firstLine="0" w:firstLineChars="0"/>
              <w:jc w:val="left"/>
              <w:rPr>
                <w:rFonts w:hint="eastAsia" w:ascii="宋体" w:hAnsi="宋体" w:eastAsia="宋体" w:cs="宋体"/>
                <w:color w:val="FF0000"/>
                <w:sz w:val="21"/>
                <w:szCs w:val="21"/>
                <w:highlight w:val="none"/>
              </w:rPr>
            </w:pPr>
            <w:r>
              <w:rPr>
                <w:rFonts w:hint="eastAsia" w:ascii="宋体" w:hAnsi="宋体" w:eastAsia="宋体" w:cs="宋体"/>
                <w:b w:val="0"/>
                <w:bCs/>
                <w:color w:val="FF0000"/>
                <w:sz w:val="21"/>
                <w:szCs w:val="21"/>
                <w:highlight w:val="none"/>
              </w:rPr>
              <w:t>数量：</w:t>
            </w:r>
            <w:r>
              <w:rPr>
                <w:rFonts w:hint="eastAsia" w:ascii="宋体" w:hAnsi="宋体" w:eastAsia="宋体" w:cs="宋体"/>
                <w:b w:val="0"/>
                <w:bCs/>
                <w:color w:val="FF0000"/>
                <w:sz w:val="21"/>
                <w:szCs w:val="21"/>
                <w:highlight w:val="none"/>
                <w:lang w:val="en-US" w:eastAsia="zh-CN"/>
              </w:rPr>
              <w:t>1</w:t>
            </w:r>
            <w:r>
              <w:rPr>
                <w:rFonts w:hint="eastAsia" w:ascii="宋体" w:hAnsi="宋体" w:eastAsia="宋体" w:cs="宋体"/>
                <w:b w:val="0"/>
                <w:bCs/>
                <w:color w:val="FF0000"/>
                <w:sz w:val="21"/>
                <w:szCs w:val="21"/>
                <w:highlight w:val="none"/>
              </w:rPr>
              <w:t>套</w:t>
            </w:r>
          </w:p>
        </w:tc>
        <w:tc>
          <w:tcPr>
            <w:tcW w:w="648"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color w:val="FF0000"/>
                <w:sz w:val="21"/>
                <w:szCs w:val="21"/>
                <w:highlight w:val="none"/>
              </w:rPr>
            </w:pPr>
            <w:r>
              <w:rPr>
                <w:rFonts w:hint="eastAsia" w:ascii="宋体" w:hAnsi="宋体" w:eastAsia="宋体" w:cs="宋体"/>
                <w:b w:val="0"/>
                <w:bCs/>
                <w:sz w:val="21"/>
                <w:szCs w:val="21"/>
                <w:highlight w:val="none"/>
              </w:rPr>
              <w:t>2、</w:t>
            </w:r>
          </w:p>
        </w:tc>
        <w:tc>
          <w:tcPr>
            <w:tcW w:w="3593" w:type="pct"/>
            <w:noWrap w:val="0"/>
            <w:vAlign w:val="center"/>
          </w:tcPr>
          <w:p>
            <w:pPr>
              <w:pStyle w:val="20"/>
              <w:ind w:firstLine="0" w:firstLineChars="0"/>
              <w:jc w:val="left"/>
              <w:rPr>
                <w:rFonts w:hint="eastAsia" w:ascii="宋体" w:hAnsi="宋体" w:eastAsia="宋体" w:cs="宋体"/>
                <w:color w:val="FF0000"/>
                <w:sz w:val="21"/>
                <w:szCs w:val="21"/>
                <w:highlight w:val="none"/>
                <w:lang w:val="en-US" w:eastAsia="zh-CN"/>
              </w:rPr>
            </w:pPr>
            <w:r>
              <w:rPr>
                <w:rFonts w:hint="eastAsia" w:ascii="宋体" w:hAnsi="宋体" w:eastAsia="宋体" w:cs="宋体"/>
                <w:b w:val="0"/>
                <w:bCs/>
                <w:color w:val="FF0000"/>
                <w:sz w:val="21"/>
                <w:szCs w:val="21"/>
                <w:highlight w:val="none"/>
              </w:rPr>
              <w:t>每套设备含主机</w:t>
            </w:r>
            <w:r>
              <w:rPr>
                <w:rFonts w:hint="eastAsia" w:ascii="宋体" w:hAnsi="宋体" w:eastAsia="宋体" w:cs="宋体"/>
                <w:b w:val="0"/>
                <w:bCs/>
                <w:color w:val="FF0000"/>
                <w:sz w:val="21"/>
                <w:szCs w:val="21"/>
                <w:highlight w:val="none"/>
                <w:lang w:val="en-US" w:eastAsia="zh-CN"/>
              </w:rPr>
              <w:t>:</w:t>
            </w:r>
          </w:p>
        </w:tc>
        <w:tc>
          <w:tcPr>
            <w:tcW w:w="648"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w:t>
            </w:r>
          </w:p>
        </w:tc>
        <w:tc>
          <w:tcPr>
            <w:tcW w:w="3593" w:type="pct"/>
            <w:noWrap w:val="0"/>
            <w:vAlign w:val="center"/>
          </w:tcPr>
          <w:p>
            <w:pPr>
              <w:pStyle w:val="20"/>
              <w:ind w:firstLine="0" w:firstLineChars="0"/>
              <w:jc w:val="left"/>
              <w:rPr>
                <w:rFonts w:hint="eastAsia" w:ascii="宋体" w:hAnsi="宋体" w:eastAsia="宋体" w:cs="宋体"/>
                <w:b w:val="0"/>
                <w:bCs/>
                <w:color w:val="FF0000"/>
                <w:sz w:val="21"/>
                <w:szCs w:val="21"/>
                <w:highlight w:val="none"/>
                <w:lang w:val="en-US" w:eastAsia="zh-CN"/>
              </w:rPr>
            </w:pPr>
            <w:r>
              <w:rPr>
                <w:rFonts w:hint="eastAsia" w:ascii="宋体" w:hAnsi="宋体" w:eastAsia="宋体" w:cs="宋体"/>
                <w:b w:val="0"/>
                <w:bCs/>
                <w:color w:val="FF0000"/>
                <w:sz w:val="21"/>
                <w:szCs w:val="21"/>
                <w:highlight w:val="none"/>
                <w:lang w:val="en-US" w:eastAsia="zh-CN"/>
              </w:rPr>
              <w:t>3块隔板</w:t>
            </w:r>
          </w:p>
        </w:tc>
        <w:tc>
          <w:tcPr>
            <w:tcW w:w="648"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w:t>
            </w:r>
          </w:p>
        </w:tc>
        <w:tc>
          <w:tcPr>
            <w:tcW w:w="3593" w:type="pct"/>
            <w:noWrap w:val="0"/>
            <w:vAlign w:val="center"/>
          </w:tcPr>
          <w:p>
            <w:pPr>
              <w:pStyle w:val="20"/>
              <w:ind w:firstLine="0" w:firstLineChars="0"/>
              <w:jc w:val="left"/>
              <w:rPr>
                <w:rFonts w:hint="eastAsia" w:ascii="宋体" w:hAnsi="宋体" w:eastAsia="宋体" w:cs="宋体"/>
                <w:b w:val="0"/>
                <w:bCs/>
                <w:color w:val="FF0000"/>
                <w:sz w:val="21"/>
                <w:szCs w:val="21"/>
                <w:highlight w:val="none"/>
                <w:lang w:val="en-US" w:eastAsia="zh-CN"/>
              </w:rPr>
            </w:pPr>
            <w:r>
              <w:rPr>
                <w:rFonts w:hint="eastAsia" w:ascii="宋体" w:hAnsi="宋体" w:eastAsia="宋体" w:cs="宋体"/>
                <w:b w:val="0"/>
                <w:bCs/>
                <w:color w:val="FF0000"/>
                <w:sz w:val="21"/>
                <w:szCs w:val="21"/>
                <w:highlight w:val="none"/>
                <w:lang w:val="en-US" w:eastAsia="zh-CN"/>
              </w:rPr>
              <w:t>满配冻存架</w:t>
            </w:r>
          </w:p>
        </w:tc>
        <w:tc>
          <w:tcPr>
            <w:tcW w:w="648"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sz w:val="21"/>
                <w:szCs w:val="21"/>
                <w:highlight w:val="none"/>
              </w:rPr>
              <w:t>三</w:t>
            </w:r>
          </w:p>
        </w:tc>
        <w:tc>
          <w:tcPr>
            <w:tcW w:w="3593" w:type="pct"/>
            <w:noWrap w:val="0"/>
            <w:vAlign w:val="center"/>
          </w:tcPr>
          <w:p>
            <w:pPr>
              <w:pStyle w:val="20"/>
              <w:ind w:firstLine="0" w:firstLineChars="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sz w:val="21"/>
                <w:szCs w:val="21"/>
                <w:highlight w:val="none"/>
              </w:rPr>
              <w:t>其他</w:t>
            </w:r>
          </w:p>
        </w:tc>
        <w:tc>
          <w:tcPr>
            <w:tcW w:w="648"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1</w:t>
            </w:r>
          </w:p>
        </w:tc>
        <w:tc>
          <w:tcPr>
            <w:tcW w:w="3593"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投标产品验收合格后保修≥</w:t>
            </w:r>
            <w:r>
              <w:rPr>
                <w:rFonts w:hint="eastAsia" w:ascii="宋体" w:hAnsi="宋体" w:eastAsia="宋体" w:cs="宋体"/>
                <w:b w:val="0"/>
                <w:bCs/>
                <w:sz w:val="21"/>
                <w:szCs w:val="21"/>
                <w:highlight w:val="none"/>
                <w:lang w:val="en-US" w:eastAsia="zh-CN"/>
              </w:rPr>
              <w:t>3</w:t>
            </w:r>
            <w:r>
              <w:rPr>
                <w:rFonts w:hint="eastAsia" w:ascii="宋体" w:hAnsi="宋体" w:eastAsia="宋体" w:cs="宋体"/>
                <w:b w:val="0"/>
                <w:bCs/>
                <w:color w:val="FF0000"/>
                <w:sz w:val="21"/>
                <w:szCs w:val="21"/>
                <w:highlight w:val="none"/>
              </w:rPr>
              <w:t>年</w:t>
            </w:r>
            <w:r>
              <w:rPr>
                <w:rFonts w:hint="eastAsia" w:ascii="宋体" w:hAnsi="宋体" w:eastAsia="宋体" w:cs="宋体"/>
                <w:b w:val="0"/>
                <w:bCs/>
                <w:sz w:val="21"/>
                <w:szCs w:val="21"/>
                <w:highlight w:val="none"/>
              </w:rPr>
              <w:t>，投标时提供制造商原厂保修证明。整机终生免费提供软件功能升级服务，并及时提供设备新功能和临床应用的资料。零配件在该设备停产后仍需保证10年的供应。。</w:t>
            </w:r>
          </w:p>
        </w:tc>
        <w:tc>
          <w:tcPr>
            <w:tcW w:w="648"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2</w:t>
            </w:r>
          </w:p>
        </w:tc>
        <w:tc>
          <w:tcPr>
            <w:tcW w:w="3593"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报出保后每套设备的年保修价格（允许非连保），不含在投标总价中，今后医院购买保修，制造商承诺不得高于此价格。</w:t>
            </w:r>
          </w:p>
        </w:tc>
        <w:tc>
          <w:tcPr>
            <w:tcW w:w="648"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3</w:t>
            </w:r>
          </w:p>
        </w:tc>
        <w:tc>
          <w:tcPr>
            <w:tcW w:w="3593"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合同签订后45天内到货，货物必须是</w:t>
            </w:r>
            <w:r>
              <w:rPr>
                <w:rFonts w:hint="eastAsia" w:ascii="宋体" w:hAnsi="宋体" w:eastAsia="宋体" w:cs="宋体"/>
                <w:b w:val="0"/>
                <w:bCs/>
                <w:sz w:val="21"/>
                <w:szCs w:val="21"/>
                <w:highlight w:val="none"/>
                <w:lang w:eastAsia="zh-CN"/>
              </w:rPr>
              <w:t>距投标日</w:t>
            </w:r>
            <w:r>
              <w:rPr>
                <w:rFonts w:hint="eastAsia" w:ascii="宋体" w:hAnsi="宋体" w:eastAsia="宋体" w:cs="宋体"/>
                <w:b w:val="0"/>
                <w:bCs/>
                <w:sz w:val="21"/>
                <w:szCs w:val="21"/>
                <w:highlight w:val="none"/>
                <w:lang w:val="en-US" w:eastAsia="zh-CN"/>
              </w:rPr>
              <w:t>10个月内</w:t>
            </w:r>
            <w:r>
              <w:rPr>
                <w:rFonts w:hint="eastAsia" w:ascii="宋体" w:hAnsi="宋体" w:eastAsia="宋体" w:cs="宋体"/>
                <w:b w:val="0"/>
                <w:bCs/>
                <w:sz w:val="21"/>
                <w:szCs w:val="21"/>
                <w:highlight w:val="none"/>
              </w:rPr>
              <w:t>生产。</w:t>
            </w:r>
          </w:p>
        </w:tc>
        <w:tc>
          <w:tcPr>
            <w:tcW w:w="648"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b/>
                <w:kern w:val="2"/>
                <w:sz w:val="21"/>
                <w:szCs w:val="21"/>
                <w:lang w:val="en-US" w:eastAsia="zh-CN" w:bidi="ar-SA"/>
              </w:rPr>
            </w:pPr>
            <w:r>
              <w:rPr>
                <w:rFonts w:hint="eastAsia" w:ascii="宋体" w:hAnsi="宋体" w:eastAsia="宋体" w:cs="宋体"/>
                <w:b w:val="0"/>
                <w:bCs/>
                <w:sz w:val="21"/>
                <w:szCs w:val="21"/>
                <w:highlight w:val="none"/>
              </w:rPr>
              <w:t>4</w:t>
            </w:r>
          </w:p>
        </w:tc>
        <w:tc>
          <w:tcPr>
            <w:tcW w:w="3593" w:type="pct"/>
            <w:noWrap w:val="0"/>
            <w:vAlign w:val="center"/>
          </w:tcPr>
          <w:p>
            <w:pPr>
              <w:pStyle w:val="20"/>
              <w:ind w:firstLine="0" w:firstLineChars="0"/>
              <w:jc w:val="left"/>
              <w:rPr>
                <w:rFonts w:hint="eastAsia" w:ascii="宋体" w:hAnsi="宋体" w:eastAsia="宋体" w:cs="宋体"/>
                <w:b/>
                <w:kern w:val="2"/>
                <w:sz w:val="21"/>
                <w:szCs w:val="21"/>
                <w:lang w:val="en-US" w:eastAsia="zh-CN" w:bidi="ar-SA"/>
              </w:rPr>
            </w:pPr>
            <w:r>
              <w:rPr>
                <w:rFonts w:hint="eastAsia" w:ascii="宋体" w:hAnsi="宋体" w:eastAsia="宋体" w:cs="宋体"/>
                <w:b w:val="0"/>
                <w:bCs/>
                <w:sz w:val="21"/>
                <w:szCs w:val="21"/>
                <w:highlight w:val="none"/>
              </w:rPr>
              <w:t>投标产品使用寿命≥</w:t>
            </w:r>
            <w:r>
              <w:rPr>
                <w:rFonts w:hint="eastAsia" w:ascii="宋体" w:hAnsi="宋体" w:eastAsia="宋体" w:cs="宋体"/>
                <w:b w:val="0"/>
                <w:bCs/>
                <w:sz w:val="21"/>
                <w:szCs w:val="21"/>
                <w:highlight w:val="none"/>
                <w:lang w:val="en-US" w:eastAsia="zh-CN"/>
              </w:rPr>
              <w:t>3</w:t>
            </w:r>
            <w:r>
              <w:rPr>
                <w:rFonts w:hint="eastAsia" w:ascii="宋体" w:hAnsi="宋体" w:eastAsia="宋体" w:cs="宋体"/>
                <w:b w:val="0"/>
                <w:bCs/>
                <w:color w:val="FF0000"/>
                <w:sz w:val="21"/>
                <w:szCs w:val="21"/>
                <w:highlight w:val="none"/>
              </w:rPr>
              <w:t>年</w:t>
            </w:r>
            <w:r>
              <w:rPr>
                <w:rFonts w:hint="eastAsia" w:ascii="宋体" w:hAnsi="宋体" w:eastAsia="宋体" w:cs="宋体"/>
                <w:b w:val="0"/>
                <w:bCs/>
                <w:sz w:val="21"/>
                <w:szCs w:val="21"/>
                <w:highlight w:val="none"/>
              </w:rPr>
              <w:t>，投标时须提供证明材料（依据注册证或说明书或产品铭牌照片）</w:t>
            </w:r>
          </w:p>
        </w:tc>
        <w:tc>
          <w:tcPr>
            <w:tcW w:w="648"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5</w:t>
            </w:r>
          </w:p>
        </w:tc>
        <w:tc>
          <w:tcPr>
            <w:tcW w:w="3593"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保修期内，除一次性耗材，易耗品外其他维修部件全部免费提供，投标时列明一次性耗材、易耗品清单及价格，未列明的视为免费提供。</w:t>
            </w:r>
          </w:p>
        </w:tc>
        <w:tc>
          <w:tcPr>
            <w:tcW w:w="648"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6</w:t>
            </w:r>
          </w:p>
        </w:tc>
        <w:tc>
          <w:tcPr>
            <w:tcW w:w="3593"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设备生命周期内（需满足国家法定要求），因配件无法供应、耗材无法供应、国家法律法规或地方法规、政策原因等等（包括但不限于上述原因的非院方因素）导致设备无法正常使用的，中标商承担设备后续折旧费。设备验收后导致生命周期无法满足国家规定报废最低年限要求的，中标商承担设备不足部分年限折旧费。</w:t>
            </w:r>
          </w:p>
        </w:tc>
        <w:tc>
          <w:tcPr>
            <w:tcW w:w="648"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7</w:t>
            </w:r>
          </w:p>
        </w:tc>
        <w:tc>
          <w:tcPr>
            <w:tcW w:w="3593"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投标时标明所有单价1000元以上维修备件的清单和供货价。提供不高于同期温州市其他市级医院相同产品的采购价格的最优惠报价，并承诺8年内售价不得高于此价格。如未列明，则默认为日后日常使用中免费提供。</w:t>
            </w:r>
          </w:p>
        </w:tc>
        <w:tc>
          <w:tcPr>
            <w:tcW w:w="648"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8</w:t>
            </w:r>
          </w:p>
          <w:p>
            <w:pPr>
              <w:pStyle w:val="20"/>
              <w:ind w:firstLine="0" w:firstLineChars="0"/>
              <w:jc w:val="left"/>
              <w:rPr>
                <w:rFonts w:hint="eastAsia" w:ascii="宋体" w:hAnsi="宋体" w:eastAsia="宋体" w:cs="宋体"/>
                <w:kern w:val="2"/>
                <w:sz w:val="21"/>
                <w:szCs w:val="21"/>
                <w:lang w:val="en-US" w:eastAsia="zh-CN" w:bidi="ar-SA"/>
              </w:rPr>
            </w:pPr>
          </w:p>
        </w:tc>
        <w:tc>
          <w:tcPr>
            <w:tcW w:w="3593"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质保期内每年每套设备故障率均不得超过14天，每超过一天该设备质保期相应延长10天。</w:t>
            </w:r>
          </w:p>
        </w:tc>
        <w:tc>
          <w:tcPr>
            <w:tcW w:w="648"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9</w:t>
            </w:r>
          </w:p>
        </w:tc>
        <w:tc>
          <w:tcPr>
            <w:tcW w:w="3593"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提供原厂DATASHEET</w:t>
            </w:r>
          </w:p>
        </w:tc>
        <w:tc>
          <w:tcPr>
            <w:tcW w:w="648"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b/>
                <w:kern w:val="2"/>
                <w:sz w:val="21"/>
                <w:szCs w:val="21"/>
                <w:lang w:val="en-US" w:eastAsia="zh-CN" w:bidi="ar-SA"/>
              </w:rPr>
            </w:pPr>
            <w:r>
              <w:rPr>
                <w:rFonts w:hint="eastAsia" w:ascii="宋体" w:hAnsi="宋体" w:eastAsia="宋体" w:cs="宋体"/>
                <w:b w:val="0"/>
                <w:bCs/>
                <w:sz w:val="21"/>
                <w:szCs w:val="21"/>
                <w:highlight w:val="none"/>
              </w:rPr>
              <w:t>10</w:t>
            </w:r>
          </w:p>
        </w:tc>
        <w:tc>
          <w:tcPr>
            <w:tcW w:w="3593" w:type="pct"/>
            <w:noWrap w:val="0"/>
            <w:vAlign w:val="center"/>
          </w:tcPr>
          <w:p>
            <w:pPr>
              <w:pStyle w:val="20"/>
              <w:ind w:firstLine="0" w:firstLineChars="0"/>
              <w:jc w:val="left"/>
              <w:rPr>
                <w:rFonts w:hint="eastAsia" w:ascii="宋体" w:hAnsi="宋体" w:eastAsia="宋体" w:cs="宋体"/>
                <w:b/>
                <w:kern w:val="2"/>
                <w:sz w:val="21"/>
                <w:szCs w:val="21"/>
                <w:lang w:val="en-US" w:eastAsia="zh-CN" w:bidi="ar-SA"/>
              </w:rPr>
            </w:pPr>
            <w:r>
              <w:rPr>
                <w:rFonts w:hint="eastAsia" w:ascii="宋体" w:hAnsi="宋体" w:eastAsia="宋体" w:cs="宋体"/>
                <w:b w:val="0"/>
                <w:bCs/>
                <w:sz w:val="21"/>
                <w:szCs w:val="21"/>
                <w:highlight w:val="none"/>
              </w:rPr>
              <w:t>设备安装、调试</w:t>
            </w:r>
          </w:p>
        </w:tc>
        <w:tc>
          <w:tcPr>
            <w:tcW w:w="648"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10.1</w:t>
            </w:r>
          </w:p>
        </w:tc>
        <w:tc>
          <w:tcPr>
            <w:tcW w:w="3593" w:type="pct"/>
            <w:noWrap w:val="0"/>
            <w:vAlign w:val="center"/>
          </w:tcPr>
          <w:p>
            <w:pPr>
              <w:pStyle w:val="20"/>
              <w:ind w:firstLine="0" w:firstLineChars="0"/>
              <w:jc w:val="left"/>
              <w:rPr>
                <w:rFonts w:hint="eastAsia" w:ascii="宋体" w:hAnsi="宋体" w:eastAsia="宋体" w:cs="宋体"/>
                <w:b/>
                <w:kern w:val="2"/>
                <w:sz w:val="21"/>
                <w:szCs w:val="21"/>
                <w:lang w:val="en-US" w:eastAsia="zh-CN" w:bidi="ar-SA"/>
              </w:rPr>
            </w:pPr>
            <w:r>
              <w:rPr>
                <w:rFonts w:hint="eastAsia" w:ascii="宋体" w:hAnsi="宋体" w:eastAsia="宋体" w:cs="宋体"/>
                <w:b w:val="0"/>
                <w:bCs/>
                <w:sz w:val="21"/>
                <w:szCs w:val="21"/>
                <w:highlight w:val="none"/>
              </w:rPr>
              <w:t>安装地点：采购单位指定位置。</w:t>
            </w:r>
          </w:p>
        </w:tc>
        <w:tc>
          <w:tcPr>
            <w:tcW w:w="648"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10.2</w:t>
            </w:r>
          </w:p>
        </w:tc>
        <w:tc>
          <w:tcPr>
            <w:tcW w:w="3593"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安装完成时间：投标方应在投标文件中明确正常完成安装调试的时间期限，并提供超出期限情况下投标方对因此给买方造成损失的赔偿计划。</w:t>
            </w:r>
          </w:p>
        </w:tc>
        <w:tc>
          <w:tcPr>
            <w:tcW w:w="648"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10.3</w:t>
            </w:r>
          </w:p>
        </w:tc>
        <w:tc>
          <w:tcPr>
            <w:tcW w:w="3593"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安装标准：符合中华人民共和国国家有关技术规范要求和技术标准。所有的软件和硬件必须保证同时安装到位。</w:t>
            </w:r>
          </w:p>
        </w:tc>
        <w:tc>
          <w:tcPr>
            <w:tcW w:w="648"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10.4</w:t>
            </w:r>
          </w:p>
        </w:tc>
        <w:tc>
          <w:tcPr>
            <w:tcW w:w="3593"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安装费用：安装过程中发生的费用（含检测、耗材等）由卖方负责。投标方应在投标文件中提供其安装调试计划和对安装场地和环境的要求。</w:t>
            </w:r>
          </w:p>
        </w:tc>
        <w:tc>
          <w:tcPr>
            <w:tcW w:w="648"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10.5</w:t>
            </w:r>
          </w:p>
        </w:tc>
        <w:tc>
          <w:tcPr>
            <w:tcW w:w="3593"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安装人员：应由中标方有三台以上（含）同类型设备安装经验的原厂工程师负责安装。</w:t>
            </w:r>
          </w:p>
        </w:tc>
        <w:tc>
          <w:tcPr>
            <w:tcW w:w="648"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11</w:t>
            </w:r>
          </w:p>
        </w:tc>
        <w:tc>
          <w:tcPr>
            <w:tcW w:w="3593"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培训</w:t>
            </w:r>
          </w:p>
        </w:tc>
        <w:tc>
          <w:tcPr>
            <w:tcW w:w="648"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11.1</w:t>
            </w:r>
          </w:p>
        </w:tc>
        <w:tc>
          <w:tcPr>
            <w:tcW w:w="3593"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648"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11.2</w:t>
            </w:r>
          </w:p>
        </w:tc>
        <w:tc>
          <w:tcPr>
            <w:tcW w:w="3593"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中标方应对买方的操作人员进行培训并承担所有费用。</w:t>
            </w:r>
          </w:p>
        </w:tc>
        <w:tc>
          <w:tcPr>
            <w:tcW w:w="648"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11.3</w:t>
            </w:r>
          </w:p>
        </w:tc>
        <w:tc>
          <w:tcPr>
            <w:tcW w:w="3593"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培训完成后，中标方须提供详细培训记录，培训记录应有培训内容、参加人员（签字）、培训地点、培训时间以及操作人员考核情况。</w:t>
            </w:r>
          </w:p>
        </w:tc>
        <w:tc>
          <w:tcPr>
            <w:tcW w:w="648"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12</w:t>
            </w:r>
          </w:p>
        </w:tc>
        <w:tc>
          <w:tcPr>
            <w:tcW w:w="3593"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验收</w:t>
            </w:r>
          </w:p>
        </w:tc>
        <w:tc>
          <w:tcPr>
            <w:tcW w:w="648"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12.1</w:t>
            </w:r>
          </w:p>
        </w:tc>
        <w:tc>
          <w:tcPr>
            <w:tcW w:w="3593"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投标方在投标时应提供设备的验收标准、安装技术规范，供买方参考。</w:t>
            </w:r>
          </w:p>
        </w:tc>
        <w:tc>
          <w:tcPr>
            <w:tcW w:w="648"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12.2</w:t>
            </w:r>
          </w:p>
        </w:tc>
        <w:tc>
          <w:tcPr>
            <w:tcW w:w="3593"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验收依据：按投标文件、招标文件及国家标准验收。</w:t>
            </w:r>
          </w:p>
        </w:tc>
        <w:tc>
          <w:tcPr>
            <w:tcW w:w="648"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12.3</w:t>
            </w:r>
          </w:p>
        </w:tc>
        <w:tc>
          <w:tcPr>
            <w:tcW w:w="3593" w:type="pct"/>
            <w:noWrap w:val="0"/>
            <w:vAlign w:val="center"/>
          </w:tcPr>
          <w:p>
            <w:pPr>
              <w:pStyle w:val="20"/>
              <w:ind w:firstLine="0" w:firstLineChars="0"/>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验收时，投标人提供下列资料：</w:t>
            </w:r>
          </w:p>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提供三证，完整的中英文技术资料，包括操作手册</w:t>
            </w:r>
            <w:r>
              <w:rPr>
                <w:rFonts w:hint="eastAsia" w:ascii="宋体" w:hAnsi="宋体" w:eastAsia="宋体" w:cs="宋体"/>
                <w:b w:val="0"/>
                <w:bCs/>
                <w:sz w:val="21"/>
                <w:szCs w:val="21"/>
                <w:highlight w:val="none"/>
                <w:lang w:val="en-US" w:eastAsia="zh-CN"/>
              </w:rPr>
              <w:t>1</w:t>
            </w:r>
            <w:r>
              <w:rPr>
                <w:rFonts w:hint="eastAsia" w:ascii="宋体" w:hAnsi="宋体" w:eastAsia="宋体" w:cs="宋体"/>
                <w:b w:val="0"/>
                <w:bCs/>
                <w:sz w:val="21"/>
                <w:szCs w:val="21"/>
                <w:highlight w:val="none"/>
              </w:rPr>
              <w:t>套、维修手册1套及电子版的操作规程等。同时应提供原厂的出厂配置清单、设备出厂检验报告和质量合格证书等，如系进口产品，还应提供报关证明、检验检疫合格证明（如需）。如属计量产品还需提供计量检定报告。</w:t>
            </w:r>
          </w:p>
        </w:tc>
        <w:tc>
          <w:tcPr>
            <w:tcW w:w="648"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12.4</w:t>
            </w:r>
          </w:p>
        </w:tc>
        <w:tc>
          <w:tcPr>
            <w:tcW w:w="3593"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设备到达最终用户后，要求卖方及安装人员会同买方共同参与设备验收。设备安装调试后，卖方负责安装质量，并经验收合格后，买卖双方共同签署设备验收合格证书。</w:t>
            </w:r>
          </w:p>
        </w:tc>
        <w:tc>
          <w:tcPr>
            <w:tcW w:w="648"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12.5</w:t>
            </w:r>
          </w:p>
        </w:tc>
        <w:tc>
          <w:tcPr>
            <w:tcW w:w="3593"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验收过程中发现货物性能或功能达不到要求，卖方必须更换有关部件，使货物最终达到规定的性能指标和功能要求，但必须在发现问题后15个工作日内完成。</w:t>
            </w:r>
          </w:p>
        </w:tc>
        <w:tc>
          <w:tcPr>
            <w:tcW w:w="648"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12.6</w:t>
            </w:r>
          </w:p>
        </w:tc>
        <w:tc>
          <w:tcPr>
            <w:tcW w:w="3593"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所有验收相关费用由产品中标方负担</w:t>
            </w:r>
          </w:p>
        </w:tc>
        <w:tc>
          <w:tcPr>
            <w:tcW w:w="648"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13</w:t>
            </w:r>
          </w:p>
        </w:tc>
        <w:tc>
          <w:tcPr>
            <w:tcW w:w="3593"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付款方式和条件</w:t>
            </w:r>
          </w:p>
        </w:tc>
        <w:tc>
          <w:tcPr>
            <w:tcW w:w="648"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13.1</w:t>
            </w:r>
          </w:p>
        </w:tc>
        <w:tc>
          <w:tcPr>
            <w:tcW w:w="3593" w:type="pct"/>
            <w:noWrap w:val="0"/>
            <w:vAlign w:val="center"/>
          </w:tcPr>
          <w:p>
            <w:pPr>
              <w:ind w:right="-21" w:rightChars="-10"/>
              <w:rPr>
                <w:rFonts w:hint="eastAsia" w:ascii="宋体" w:hAnsi="宋体" w:eastAsia="宋体" w:cs="宋体"/>
                <w:b w:val="0"/>
                <w:bCs/>
                <w:color w:val="FF0000"/>
                <w:kern w:val="2"/>
                <w:sz w:val="21"/>
                <w:szCs w:val="21"/>
                <w:highlight w:val="none"/>
                <w:lang w:val="zh-CN" w:eastAsia="zh-CN" w:bidi="ar-SA"/>
              </w:rPr>
            </w:pPr>
            <w:r>
              <w:rPr>
                <w:rFonts w:hint="eastAsia" w:ascii="宋体" w:hAnsi="宋体" w:eastAsia="宋体" w:cs="宋体"/>
                <w:b w:val="0"/>
                <w:bCs/>
                <w:color w:val="FF0000"/>
                <w:kern w:val="2"/>
                <w:sz w:val="21"/>
                <w:szCs w:val="21"/>
                <w:highlight w:val="none"/>
                <w:lang w:val="zh-CN" w:eastAsia="zh-CN" w:bidi="ar-SA"/>
              </w:rPr>
              <w:t>付款方式：对经评审小组按招标文件规定认定为中小微企业的，合同签订并通知中标方发货之日起7个工作日内，支付全部货款的40%作为预付款。剩余全部货款的60%在项目全部验收合格并收到中标人发票后的7个工作日内支付给中标人。</w:t>
            </w:r>
          </w:p>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color w:val="FF0000"/>
                <w:kern w:val="2"/>
                <w:sz w:val="21"/>
                <w:szCs w:val="21"/>
                <w:highlight w:val="none"/>
                <w:lang w:val="zh-CN" w:eastAsia="zh-CN" w:bidi="ar-SA"/>
              </w:rPr>
              <w:t>对非中小微企业中标的，项目全部货款在项目全部验收合格并收到中标人发票后的7个工作日内支付给中标人。</w:t>
            </w:r>
          </w:p>
        </w:tc>
        <w:tc>
          <w:tcPr>
            <w:tcW w:w="648"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13.2</w:t>
            </w:r>
          </w:p>
        </w:tc>
        <w:tc>
          <w:tcPr>
            <w:tcW w:w="3593"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投标商按合同开具多张发票的，额度应大于等于投标单台设备价格，且发票号需连续不中断。</w:t>
            </w:r>
          </w:p>
        </w:tc>
        <w:tc>
          <w:tcPr>
            <w:tcW w:w="648"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14</w:t>
            </w:r>
          </w:p>
        </w:tc>
        <w:tc>
          <w:tcPr>
            <w:tcW w:w="3593"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延期交货罚款：延期交货每7天，按合同总价的0.5%支付迟交违约金，不足7天按7天计，依次累计，最高罚款为合同总价的5%。</w:t>
            </w:r>
          </w:p>
        </w:tc>
        <w:tc>
          <w:tcPr>
            <w:tcW w:w="648"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15</w:t>
            </w:r>
          </w:p>
        </w:tc>
        <w:tc>
          <w:tcPr>
            <w:tcW w:w="3593"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保密：招投标及合同中凡涉及买方项目的有关信息，不得透露给第三方。</w:t>
            </w:r>
          </w:p>
        </w:tc>
        <w:tc>
          <w:tcPr>
            <w:tcW w:w="648"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58"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16</w:t>
            </w:r>
          </w:p>
        </w:tc>
        <w:tc>
          <w:tcPr>
            <w:tcW w:w="3593"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货物购销合同签订的同时，双方须签订廉洁购销合同</w:t>
            </w:r>
          </w:p>
        </w:tc>
        <w:tc>
          <w:tcPr>
            <w:tcW w:w="648" w:type="pct"/>
            <w:noWrap w:val="0"/>
            <w:vAlign w:val="center"/>
          </w:tcPr>
          <w:p>
            <w:pPr>
              <w:pStyle w:val="20"/>
              <w:ind w:firstLine="0" w:firstLineChars="0"/>
              <w:jc w:val="left"/>
              <w:rPr>
                <w:rStyle w:val="25"/>
                <w:rFonts w:hint="eastAsia" w:ascii="宋体" w:hAnsi="宋体" w:eastAsia="宋体" w:cs="宋体"/>
                <w:bCs w:val="0"/>
                <w:sz w:val="21"/>
                <w:szCs w:val="21"/>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评分细则</w:t>
      </w:r>
    </w:p>
    <w:tbl>
      <w:tblPr>
        <w:tblStyle w:val="11"/>
        <w:tblpPr w:leftFromText="180" w:rightFromText="180" w:vertAnchor="text" w:horzAnchor="page" w:tblpX="1259" w:tblpY="464"/>
        <w:tblOverlap w:val="never"/>
        <w:tblW w:w="936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2639"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评定项目</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分值</w:t>
            </w:r>
          </w:p>
        </w:tc>
        <w:tc>
          <w:tcPr>
            <w:tcW w:w="4945" w:type="dxa"/>
            <w:noWrap w:val="0"/>
            <w:vAlign w:val="center"/>
          </w:tcPr>
          <w:p>
            <w:pPr>
              <w:ind w:left="105" w:leftChars="50" w:right="10" w:rightChars="5"/>
              <w:jc w:val="center"/>
              <w:rPr>
                <w:rFonts w:hint="eastAsia" w:ascii="宋体" w:hAnsi="宋体" w:eastAsia="宋体" w:cs="宋体"/>
                <w:sz w:val="21"/>
                <w:szCs w:val="21"/>
              </w:rPr>
            </w:pPr>
            <w:r>
              <w:rPr>
                <w:rFonts w:hint="eastAsia" w:ascii="宋体" w:hAnsi="宋体" w:eastAsia="宋体" w:cs="宋体"/>
                <w:sz w:val="21"/>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对应于招标文件设备技术规格及配置的偏离度</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35</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color w:val="auto"/>
                <w:sz w:val="21"/>
                <w:szCs w:val="21"/>
                <w:highlight w:val="none"/>
              </w:rPr>
              <w:t>与招标文件</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货物技术规格及配置、商务要求对比，一项指标负偏离扣1分，标注★的指标</w:t>
            </w:r>
            <w:r>
              <w:rPr>
                <w:rFonts w:hint="eastAsia" w:ascii="宋体" w:hAnsi="宋体" w:eastAsia="宋体" w:cs="宋体"/>
                <w:color w:val="auto"/>
                <w:sz w:val="21"/>
                <w:szCs w:val="21"/>
                <w:highlight w:val="none"/>
                <w:lang w:eastAsia="zh-CN"/>
              </w:rPr>
              <w:t>负</w:t>
            </w:r>
            <w:r>
              <w:rPr>
                <w:rFonts w:hint="eastAsia" w:ascii="宋体" w:hAnsi="宋体" w:eastAsia="宋体" w:cs="宋体"/>
                <w:color w:val="auto"/>
                <w:sz w:val="21"/>
                <w:szCs w:val="21"/>
                <w:highlight w:val="none"/>
              </w:rPr>
              <w:t>偏离每项扣4分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扣完为止</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投标设备配套的合理性</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投标设备技术指标的先进性</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投标机型的档次</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运行成本</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保修服务</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lang w:eastAsia="zh-CN"/>
              </w:rPr>
              <w:t>设备</w:t>
            </w:r>
            <w:r>
              <w:rPr>
                <w:rFonts w:hint="eastAsia" w:ascii="宋体" w:hAnsi="宋体" w:eastAsia="宋体" w:cs="宋体"/>
                <w:sz w:val="21"/>
                <w:szCs w:val="21"/>
              </w:rPr>
              <w:t>保修期超过招标文件要求的，每增加1年加1分</w:t>
            </w:r>
            <w:r>
              <w:rPr>
                <w:rFonts w:hint="eastAsia" w:ascii="宋体" w:hAnsi="宋体" w:eastAsia="宋体" w:cs="宋体"/>
                <w:sz w:val="21"/>
                <w:szCs w:val="21"/>
                <w:lang w:val="en-US" w:eastAsia="zh-CN"/>
              </w:rPr>
              <w:t>，</w:t>
            </w:r>
            <w:r>
              <w:rPr>
                <w:rFonts w:hint="eastAsia" w:ascii="宋体" w:hAnsi="宋体" w:eastAsia="宋体" w:cs="宋体"/>
                <w:sz w:val="21"/>
                <w:szCs w:val="21"/>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投标产品总体质量性能</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市场占有率</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sz w:val="21"/>
                <w:szCs w:val="21"/>
                <w:lang w:eastAsia="zh-CN"/>
              </w:rPr>
              <w:t>温州市或浙江省内</w:t>
            </w:r>
            <w:r>
              <w:rPr>
                <w:rFonts w:hint="eastAsia" w:ascii="宋体" w:hAnsi="宋体" w:eastAsia="宋体" w:cs="宋体"/>
                <w:sz w:val="21"/>
                <w:szCs w:val="21"/>
              </w:rPr>
              <w:t>20</w:t>
            </w:r>
            <w:r>
              <w:rPr>
                <w:rFonts w:hint="eastAsia" w:ascii="宋体" w:hAnsi="宋体" w:eastAsia="宋体" w:cs="宋体"/>
                <w:sz w:val="21"/>
                <w:szCs w:val="21"/>
                <w:lang w:val="en-US" w:eastAsia="zh-CN"/>
              </w:rPr>
              <w:t>19</w:t>
            </w:r>
            <w:r>
              <w:rPr>
                <w:rFonts w:hint="eastAsia" w:ascii="宋体" w:hAnsi="宋体" w:eastAsia="宋体" w:cs="宋体"/>
                <w:sz w:val="21"/>
                <w:szCs w:val="21"/>
              </w:rPr>
              <w:t>年1月1日起至今与最终用户签订的投标机型合同复印件，每份有效合同得</w:t>
            </w:r>
            <w:r>
              <w:rPr>
                <w:rFonts w:hint="eastAsia" w:ascii="宋体" w:hAnsi="宋体" w:eastAsia="宋体" w:cs="宋体"/>
                <w:sz w:val="21"/>
                <w:szCs w:val="21"/>
                <w:lang w:val="en-US" w:eastAsia="zh-CN"/>
              </w:rPr>
              <w:t>1</w:t>
            </w:r>
            <w:r>
              <w:rPr>
                <w:rFonts w:hint="eastAsia" w:ascii="宋体" w:hAnsi="宋体" w:eastAsia="宋体" w:cs="宋体"/>
                <w:sz w:val="21"/>
                <w:szCs w:val="21"/>
              </w:rPr>
              <w:t>分，最多</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制造商或代理商的售后服务和维修能力</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4945" w:type="dxa"/>
            <w:noWrap w:val="0"/>
            <w:vAlign w:val="center"/>
          </w:tcPr>
          <w:p>
            <w:pPr>
              <w:ind w:left="105" w:leftChars="50" w:right="10" w:rightChars="5"/>
              <w:rPr>
                <w:rFonts w:hint="eastAsia" w:ascii="宋体" w:hAnsi="宋体" w:eastAsia="宋体" w:cs="宋体"/>
                <w:sz w:val="21"/>
                <w:szCs w:val="21"/>
                <w:lang w:eastAsia="zh-CN"/>
              </w:rPr>
            </w:pPr>
            <w:r>
              <w:rPr>
                <w:rFonts w:hint="eastAsia" w:ascii="宋体" w:hAnsi="宋体" w:eastAsia="宋体" w:cs="宋体"/>
                <w:sz w:val="21"/>
                <w:szCs w:val="21"/>
              </w:rPr>
              <w:t>制造商或代理商的售后服务和维修能力，服务响应速度、服务人员水平、备品备件配置等综合评价。</w:t>
            </w:r>
            <w:r>
              <w:rPr>
                <w:rFonts w:hint="eastAsia" w:ascii="宋体" w:hAnsi="宋体" w:eastAsia="宋体" w:cs="宋体"/>
                <w:sz w:val="21"/>
                <w:szCs w:val="21"/>
                <w:lang w:eastAsia="zh-CN"/>
              </w:rPr>
              <w:t>（厂家在温州市或者浙江省内有常驻维修服务点和维修工程师得</w:t>
            </w:r>
            <w:r>
              <w:rPr>
                <w:rFonts w:hint="eastAsia" w:ascii="宋体" w:hAnsi="宋体" w:eastAsia="宋体" w:cs="宋体"/>
                <w:sz w:val="21"/>
                <w:szCs w:val="21"/>
                <w:lang w:val="en-US" w:eastAsia="zh-CN"/>
              </w:rPr>
              <w:t>1分，代理商有维修服务人员得1分，承诺接用户报修后二十四小时内维修人员能到场维修的得1分</w:t>
            </w:r>
          </w:p>
        </w:tc>
      </w:tr>
    </w:tbl>
    <w:p>
      <w:pPr>
        <w:spacing w:line="360" w:lineRule="auto"/>
        <w:ind w:firstLine="457" w:firstLineChars="196"/>
        <w:rPr>
          <w:rStyle w:val="14"/>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p>
      <w:pPr>
        <w:spacing w:before="120" w:beforeLines="50" w:after="120" w:afterLines="50"/>
        <w:ind w:firstLine="398" w:firstLineChars="196"/>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b/>
          <w:spacing w:val="-4"/>
          <w:sz w:val="21"/>
          <w:szCs w:val="21"/>
        </w:rPr>
        <w:t>2、</w:t>
      </w:r>
      <w:r>
        <w:rPr>
          <w:rFonts w:hint="eastAsia" w:asciiTheme="minorEastAsia" w:hAnsiTheme="minorEastAsia" w:eastAsiaTheme="minorEastAsia" w:cstheme="minorEastAsia"/>
          <w:b/>
          <w:bCs/>
          <w:spacing w:val="-4"/>
          <w:sz w:val="21"/>
          <w:szCs w:val="21"/>
        </w:rPr>
        <w:t>价格分（0-35分）</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价格分=（评标基准价/</w:t>
      </w:r>
      <w:r>
        <w:rPr>
          <w:rFonts w:hint="eastAsia" w:asciiTheme="minorEastAsia" w:hAnsiTheme="minorEastAsia" w:eastAsiaTheme="minorEastAsia" w:cstheme="minorEastAsia"/>
          <w:bCs/>
          <w:spacing w:val="-4"/>
          <w:sz w:val="21"/>
          <w:szCs w:val="21"/>
        </w:rPr>
        <w:t>投标报价</w:t>
      </w:r>
      <w:r>
        <w:rPr>
          <w:rFonts w:hint="eastAsia" w:asciiTheme="minorEastAsia" w:hAnsiTheme="minorEastAsia" w:eastAsiaTheme="minorEastAsia" w:cstheme="minorEastAsia"/>
          <w:sz w:val="21"/>
          <w:szCs w:val="21"/>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b/>
          <w:bCs w:val="0"/>
          <w:sz w:val="21"/>
          <w:szCs w:val="21"/>
          <w:lang w:val="en-US" w:eastAsia="zh-CN"/>
        </w:rPr>
        <w:t>：</w:t>
      </w:r>
      <w:r>
        <w:rPr>
          <w:rFonts w:hint="eastAsia" w:asciiTheme="minorEastAsia" w:hAnsiTheme="minorEastAsia" w:eastAsiaTheme="minorEastAsia" w:cstheme="minorEastAsia"/>
          <w:sz w:val="21"/>
          <w:szCs w:val="21"/>
        </w:rPr>
        <w:t>投标人的综合得分为以上商务技术分及价格分之和</w:t>
      </w:r>
      <w:r>
        <w:rPr>
          <w:sz w:val="21"/>
          <w:szCs w:val="21"/>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default" w:eastAsia="宋体" w:asciiTheme="minorEastAsia" w:hAnsiTheme="minorEastAsia" w:cstheme="minorEastAsia"/>
          <w:b/>
          <w:bCs/>
          <w:kern w:val="2"/>
          <w:sz w:val="32"/>
          <w:szCs w:val="32"/>
          <w:lang w:val="en-US" w:eastAsia="zh-CN" w:bidi="ar-SA"/>
        </w:rPr>
      </w:pPr>
      <w:r>
        <w:rPr>
          <w:rStyle w:val="14"/>
          <w:rFonts w:hint="eastAsia" w:eastAsia="宋体" w:asciiTheme="minorEastAsia" w:hAnsiTheme="minorEastAsia" w:cstheme="minorEastAsia"/>
          <w:b/>
          <w:bCs/>
          <w:kern w:val="2"/>
          <w:sz w:val="32"/>
          <w:szCs w:val="32"/>
          <w:lang w:val="en-US" w:eastAsia="zh-CN" w:bidi="ar-SA"/>
        </w:rPr>
        <w:t>九、我院正式合同版本</w:t>
      </w:r>
    </w:p>
    <w:p>
      <w:pPr>
        <w:pStyle w:val="9"/>
        <w:rPr>
          <w:rFonts w:hint="eastAsia"/>
          <w:sz w:val="30"/>
          <w:szCs w:val="30"/>
        </w:rPr>
      </w:pPr>
    </w:p>
    <w:p>
      <w:pPr>
        <w:pStyle w:val="9"/>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4"/>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1"/>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19"/>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9"/>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9"/>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9"/>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9"/>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9"/>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9"/>
              <w:jc w:val="center"/>
              <w:rPr>
                <w:b/>
                <w:color w:val="000000" w:themeColor="text1"/>
                <w:sz w:val="22"/>
                <w:szCs w:val="22"/>
                <w:lang w:val="en-US"/>
                <w14:textFill>
                  <w14:solidFill>
                    <w14:schemeClr w14:val="tx1"/>
                  </w14:solidFill>
                </w14:textFill>
              </w:rPr>
            </w:pPr>
          </w:p>
        </w:tc>
        <w:tc>
          <w:tcPr>
            <w:tcW w:w="1418" w:type="dxa"/>
            <w:vAlign w:val="center"/>
          </w:tcPr>
          <w:p>
            <w:pPr>
              <w:pStyle w:val="19"/>
              <w:jc w:val="center"/>
              <w:rPr>
                <w:b/>
                <w:color w:val="000000" w:themeColor="text1"/>
                <w:sz w:val="22"/>
                <w:szCs w:val="22"/>
                <w:lang w:val="en-US"/>
                <w14:textFill>
                  <w14:solidFill>
                    <w14:schemeClr w14:val="tx1"/>
                  </w14:solidFill>
                </w14:textFill>
              </w:rPr>
            </w:pPr>
          </w:p>
        </w:tc>
        <w:tc>
          <w:tcPr>
            <w:tcW w:w="1559" w:type="dxa"/>
            <w:vAlign w:val="center"/>
          </w:tcPr>
          <w:p>
            <w:pPr>
              <w:pStyle w:val="19"/>
              <w:jc w:val="center"/>
              <w:rPr>
                <w:b/>
                <w:color w:val="000000" w:themeColor="text1"/>
                <w:sz w:val="22"/>
                <w:szCs w:val="22"/>
                <w:lang w:val="en-US"/>
                <w14:textFill>
                  <w14:solidFill>
                    <w14:schemeClr w14:val="tx1"/>
                  </w14:solidFill>
                </w14:textFill>
              </w:rPr>
            </w:pPr>
          </w:p>
        </w:tc>
        <w:tc>
          <w:tcPr>
            <w:tcW w:w="2126" w:type="dxa"/>
            <w:vAlign w:val="center"/>
          </w:tcPr>
          <w:p>
            <w:pPr>
              <w:pStyle w:val="19"/>
              <w:jc w:val="center"/>
              <w:rPr>
                <w:rFonts w:ascii="Verdana"/>
                <w:color w:val="000000" w:themeColor="text1"/>
                <w:sz w:val="22"/>
                <w:szCs w:val="22"/>
                <w14:textFill>
                  <w14:solidFill>
                    <w14:schemeClr w14:val="tx1"/>
                  </w14:solidFill>
                </w14:textFill>
              </w:rPr>
            </w:pPr>
          </w:p>
        </w:tc>
        <w:tc>
          <w:tcPr>
            <w:tcW w:w="993" w:type="dxa"/>
            <w:vAlign w:val="center"/>
          </w:tcPr>
          <w:p>
            <w:pPr>
              <w:pStyle w:val="19"/>
              <w:jc w:val="center"/>
              <w:rPr>
                <w:rFonts w:ascii="Verdana"/>
                <w:color w:val="000000" w:themeColor="text1"/>
                <w:sz w:val="22"/>
                <w:szCs w:val="22"/>
                <w14:textFill>
                  <w14:solidFill>
                    <w14:schemeClr w14:val="tx1"/>
                  </w14:solidFill>
                </w14:textFill>
              </w:rPr>
            </w:pPr>
          </w:p>
        </w:tc>
        <w:tc>
          <w:tcPr>
            <w:tcW w:w="1353" w:type="dxa"/>
            <w:vAlign w:val="center"/>
          </w:tcPr>
          <w:p>
            <w:pPr>
              <w:pStyle w:val="19"/>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9"/>
              <w:jc w:val="center"/>
              <w:rPr>
                <w:b/>
                <w:color w:val="000000" w:themeColor="text1"/>
                <w:sz w:val="22"/>
                <w:szCs w:val="22"/>
                <w:lang w:val="en-US"/>
                <w14:textFill>
                  <w14:solidFill>
                    <w14:schemeClr w14:val="tx1"/>
                  </w14:solidFill>
                </w14:textFill>
              </w:rPr>
            </w:pPr>
          </w:p>
        </w:tc>
        <w:tc>
          <w:tcPr>
            <w:tcW w:w="1418" w:type="dxa"/>
            <w:vAlign w:val="center"/>
          </w:tcPr>
          <w:p>
            <w:pPr>
              <w:pStyle w:val="19"/>
              <w:jc w:val="center"/>
              <w:rPr>
                <w:b/>
                <w:color w:val="000000" w:themeColor="text1"/>
                <w:sz w:val="22"/>
                <w:szCs w:val="22"/>
                <w:lang w:val="en-US"/>
                <w14:textFill>
                  <w14:solidFill>
                    <w14:schemeClr w14:val="tx1"/>
                  </w14:solidFill>
                </w14:textFill>
              </w:rPr>
            </w:pPr>
          </w:p>
        </w:tc>
        <w:tc>
          <w:tcPr>
            <w:tcW w:w="1559" w:type="dxa"/>
            <w:vAlign w:val="center"/>
          </w:tcPr>
          <w:p>
            <w:pPr>
              <w:pStyle w:val="19"/>
              <w:jc w:val="center"/>
              <w:rPr>
                <w:b/>
                <w:color w:val="000000" w:themeColor="text1"/>
                <w:sz w:val="22"/>
                <w:szCs w:val="22"/>
                <w:lang w:val="en-US"/>
                <w14:textFill>
                  <w14:solidFill>
                    <w14:schemeClr w14:val="tx1"/>
                  </w14:solidFill>
                </w14:textFill>
              </w:rPr>
            </w:pPr>
          </w:p>
        </w:tc>
        <w:tc>
          <w:tcPr>
            <w:tcW w:w="2126" w:type="dxa"/>
            <w:vAlign w:val="center"/>
          </w:tcPr>
          <w:p>
            <w:pPr>
              <w:pStyle w:val="19"/>
              <w:jc w:val="center"/>
              <w:rPr>
                <w:rFonts w:ascii="Verdana"/>
                <w:color w:val="000000" w:themeColor="text1"/>
                <w:sz w:val="22"/>
                <w:szCs w:val="22"/>
                <w14:textFill>
                  <w14:solidFill>
                    <w14:schemeClr w14:val="tx1"/>
                  </w14:solidFill>
                </w14:textFill>
              </w:rPr>
            </w:pPr>
          </w:p>
        </w:tc>
        <w:tc>
          <w:tcPr>
            <w:tcW w:w="993" w:type="dxa"/>
            <w:vAlign w:val="center"/>
          </w:tcPr>
          <w:p>
            <w:pPr>
              <w:pStyle w:val="19"/>
              <w:jc w:val="center"/>
              <w:rPr>
                <w:rFonts w:ascii="Verdana"/>
                <w:color w:val="000000" w:themeColor="text1"/>
                <w:sz w:val="22"/>
                <w:szCs w:val="22"/>
                <w14:textFill>
                  <w14:solidFill>
                    <w14:schemeClr w14:val="tx1"/>
                  </w14:solidFill>
                </w14:textFill>
              </w:rPr>
            </w:pPr>
          </w:p>
        </w:tc>
        <w:tc>
          <w:tcPr>
            <w:tcW w:w="1353" w:type="dxa"/>
            <w:vAlign w:val="center"/>
          </w:tcPr>
          <w:p>
            <w:pPr>
              <w:pStyle w:val="19"/>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19"/>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4"/>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4"/>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20"/>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20"/>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20"/>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20"/>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w:t>
      </w:r>
      <w:r>
        <w:rPr>
          <w:rFonts w:hint="eastAsia"/>
          <w:color w:val="000000" w:themeColor="text1"/>
          <w:spacing w:val="-6"/>
          <w:sz w:val="22"/>
          <w:szCs w:val="22"/>
          <w:highlight w:val="none"/>
          <w:u w:val="single"/>
          <w:lang w:val="en-US"/>
          <w14:textFill>
            <w14:solidFill>
              <w14:schemeClr w14:val="tx1"/>
            </w14:solidFill>
          </w14:textFill>
        </w:rPr>
        <w:t xml:space="preserve">    </w:t>
      </w:r>
    </w:p>
    <w:p>
      <w:pPr>
        <w:pStyle w:val="3"/>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20"/>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个工作日</w:t>
      </w:r>
      <w:r>
        <w:rPr>
          <w:rFonts w:hint="eastAsia"/>
          <w:color w:val="000000" w:themeColor="text1"/>
          <w:sz w:val="22"/>
          <w:szCs w:val="22"/>
          <w:highlight w:val="none"/>
          <w:lang w:eastAsia="zh-CN"/>
          <w14:textFill>
            <w14:solidFill>
              <w14:schemeClr w14:val="tx1"/>
            </w14:solidFill>
          </w14:textFill>
        </w:rPr>
        <w:t>内</w:t>
      </w:r>
    </w:p>
    <w:p>
      <w:pPr>
        <w:pStyle w:val="20"/>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20"/>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4"/>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4"/>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highlight w:val="none"/>
          <w:u w:val="single" w:color="4068E0"/>
          <w:lang w:val="en-US" w:eastAsia="zh-CN" w:bidi="zh-CN"/>
          <w14:textFill>
            <w14:solidFill>
              <w14:schemeClr w14:val="tx1"/>
            </w14:solidFill>
          </w14:textFill>
        </w:rPr>
        <w:t xml:space="preserve"> 3 </w:t>
      </w:r>
      <w:r>
        <w:rPr>
          <w:rFonts w:hint="default"/>
          <w:color w:val="000000" w:themeColor="text1"/>
          <w:sz w:val="22"/>
          <w:szCs w:val="22"/>
          <w:highlight w:val="none"/>
          <w:lang w:val="zh-CN"/>
          <w14:textFill>
            <w14:solidFill>
              <w14:schemeClr w14:val="tx1"/>
            </w14:solidFill>
          </w14:textFill>
        </w:rPr>
        <w:t>个月</w:t>
      </w:r>
      <w:r>
        <w:rPr>
          <w:color w:val="000000" w:themeColor="text1"/>
          <w:sz w:val="22"/>
          <w:szCs w:val="22"/>
          <w:highlight w:val="none"/>
          <w:lang w:val="zh-CN"/>
          <w14:textFill>
            <w14:solidFill>
              <w14:schemeClr w14:val="tx1"/>
            </w14:solidFill>
          </w14:textFill>
        </w:rPr>
        <w:t>内</w:t>
      </w:r>
      <w:r>
        <w:rPr>
          <w:color w:val="000000" w:themeColor="text1"/>
          <w:sz w:val="22"/>
          <w:szCs w:val="22"/>
          <w:highlight w:val="none"/>
          <w14:textFill>
            <w14:solidFill>
              <w14:schemeClr w14:val="tx1"/>
            </w14:solidFill>
          </w14:textFill>
        </w:rPr>
        <w:t>，甲方向乙方支付全部合同价款。</w:t>
      </w:r>
    </w:p>
    <w:p>
      <w:pPr>
        <w:pStyle w:val="4"/>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20"/>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0"/>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0"/>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40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20"/>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20"/>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20"/>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20"/>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20"/>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20"/>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20"/>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20"/>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eastAsia="zh-CN"/>
          <w14:textFill>
            <w14:solidFill>
              <w14:schemeClr w14:val="tx1"/>
            </w14:solidFill>
          </w14:textFill>
        </w:rPr>
        <w:t xml:space="preserve">2 </w:t>
      </w:r>
      <w:r>
        <w:rPr>
          <w:rFonts w:hint="eastAsia"/>
          <w:color w:val="000000" w:themeColor="text1"/>
          <w:sz w:val="22"/>
          <w:szCs w:val="22"/>
          <w14:textFill>
            <w14:solidFill>
              <w14:schemeClr w14:val="tx1"/>
            </w14:solidFill>
          </w14:textFill>
        </w:rPr>
        <w:t>日内到达货物所在地进行维修。</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20"/>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20"/>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20"/>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20"/>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20"/>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20"/>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20"/>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20"/>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20"/>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w:t>
      </w:r>
      <w:r>
        <w:rPr>
          <w:color w:val="000000" w:themeColor="text1"/>
          <w:spacing w:val="3"/>
          <w:sz w:val="22"/>
          <w:szCs w:val="22"/>
          <w:u w:val="none" w:color="auto"/>
          <w14:textFill>
            <w14:solidFill>
              <w14:schemeClr w14:val="tx1"/>
            </w14:solidFill>
          </w14:textFill>
        </w:rPr>
        <w:t>百分之五</w:t>
      </w:r>
      <w:r>
        <w:rPr>
          <w:color w:val="000000" w:themeColor="text1"/>
          <w:sz w:val="22"/>
          <w:szCs w:val="22"/>
          <w14:textFill>
            <w14:solidFill>
              <w14:schemeClr w14:val="tx1"/>
            </w14:solidFill>
          </w14:textFill>
        </w:rPr>
        <w:t>违约金。</w:t>
      </w:r>
    </w:p>
    <w:p>
      <w:pPr>
        <w:pStyle w:val="20"/>
        <w:numPr>
          <w:ilvl w:val="0"/>
          <w:numId w:val="0"/>
        </w:numPr>
        <w:tabs>
          <w:tab w:val="left" w:pos="522"/>
        </w:tabs>
        <w:spacing w:before="117"/>
        <w:ind w:left="351" w:leftChars="0"/>
        <w:rPr>
          <w:rFonts w:hint="default" w:eastAsia="宋体"/>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hint="eastAsia" w:ascii="Verdana" w:eastAsia="宋体"/>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none" w:color="auto"/>
          <w14:textFill>
            <w14:solidFill>
              <w14:schemeClr w14:val="tx1"/>
            </w14:solidFill>
          </w14:textFill>
        </w:rPr>
        <w:t>万分之五</w:t>
      </w:r>
      <w:r>
        <w:rPr>
          <w:color w:val="000000" w:themeColor="text1"/>
          <w:sz w:val="22"/>
          <w:szCs w:val="22"/>
          <w14:textFill>
            <w14:solidFill>
              <w14:schemeClr w14:val="tx1"/>
            </w14:solidFill>
          </w14:textFill>
        </w:rPr>
        <w:t>向乙方支付违约金</w:t>
      </w:r>
      <w:r>
        <w:rPr>
          <w:rFonts w:hint="eastAsia"/>
          <w:color w:val="000000" w:themeColor="text1"/>
          <w:sz w:val="22"/>
          <w:szCs w:val="22"/>
          <w:lang w:eastAsia="zh-CN"/>
          <w14:textFill>
            <w14:solidFill>
              <w14:schemeClr w14:val="tx1"/>
            </w14:solidFill>
          </w14:textFill>
        </w:rPr>
        <w:t>，最高不超过合同总金额的</w:t>
      </w:r>
      <w:r>
        <w:rPr>
          <w:rFonts w:hint="eastAsia"/>
          <w:color w:val="000000" w:themeColor="text1"/>
          <w:sz w:val="22"/>
          <w:szCs w:val="22"/>
          <w:lang w:val="en-US" w:eastAsia="zh-CN"/>
          <w14:textFill>
            <w14:solidFill>
              <w14:schemeClr w14:val="tx1"/>
            </w14:solidFill>
          </w14:textFill>
        </w:rPr>
        <w:t>5%。</w:t>
      </w:r>
    </w:p>
    <w:p>
      <w:pPr>
        <w:pStyle w:val="20"/>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none" w:color="auto"/>
          <w14:textFill>
            <w14:solidFill>
              <w14:schemeClr w14:val="tx1"/>
            </w14:solidFill>
          </w14:textFill>
        </w:rPr>
        <w:t>千分之六</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u w:val="none"/>
          <w14:textFill>
            <w14:solidFill>
              <w14:schemeClr w14:val="tx1"/>
            </w14:solidFill>
          </w14:textFill>
        </w:rPr>
        <w:t>5%</w:t>
      </w:r>
      <w:r>
        <w:rPr>
          <w:rFonts w:hint="eastAsia"/>
          <w:color w:val="000000" w:themeColor="text1"/>
          <w:sz w:val="22"/>
          <w:szCs w:val="22"/>
          <w:u w:val="non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20"/>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及招标文件规定标准的，甲方有权拒收该货物，乙方愿意更换货物，但逾期交货的，按乙方逾期交货处理。乙方拒绝更换货物的，甲方可单方面解除合同。</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20"/>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20"/>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20"/>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20"/>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20"/>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20"/>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20"/>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20"/>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4"/>
        <w:spacing w:before="106" w:line="264" w:lineRule="auto"/>
        <w:ind w:left="105" w:right="209"/>
        <w:rPr>
          <w:sz w:val="22"/>
          <w:szCs w:val="22"/>
        </w:rPr>
      </w:pPr>
      <w:r>
        <w:rPr>
          <w:rFonts w:hint="eastAsia"/>
          <w:sz w:val="22"/>
          <w:szCs w:val="22"/>
        </w:rPr>
        <w:t>地址：温州市六虹桥路蛟尾路9号                   地址：</w:t>
      </w:r>
    </w:p>
    <w:p>
      <w:pPr>
        <w:pStyle w:val="4"/>
        <w:spacing w:before="106" w:line="264" w:lineRule="auto"/>
        <w:ind w:left="105" w:right="209"/>
        <w:rPr>
          <w:sz w:val="22"/>
          <w:szCs w:val="22"/>
        </w:rPr>
      </w:pPr>
      <w:r>
        <w:rPr>
          <w:rFonts w:hint="eastAsia"/>
          <w:sz w:val="22"/>
          <w:szCs w:val="22"/>
        </w:rPr>
        <w:t xml:space="preserve">法定（授权）代表人：                            法定（授权）代表人： </w:t>
      </w:r>
    </w:p>
    <w:p>
      <w:pPr>
        <w:pStyle w:val="4"/>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4"/>
        <w:rPr>
          <w:sz w:val="20"/>
        </w:rPr>
      </w:pPr>
    </w:p>
    <w:tbl>
      <w:tblPr>
        <w:tblStyle w:val="11"/>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w:t>
      </w:r>
      <w:r>
        <w:rPr>
          <w:bCs/>
          <w:szCs w:val="20"/>
        </w:rPr>
        <w:t>本合同</w:t>
      </w:r>
      <w:r>
        <w:rPr>
          <w:rFonts w:hint="eastAsia"/>
          <w:bCs/>
          <w:szCs w:val="20"/>
          <w:lang w:eastAsia="zh-CN"/>
        </w:rPr>
        <w:t>壹</w:t>
      </w:r>
      <w:r>
        <w:rPr>
          <w:bCs/>
          <w:szCs w:val="20"/>
        </w:rPr>
        <w:t>式</w:t>
      </w:r>
      <w:r>
        <w:rPr>
          <w:rFonts w:hint="eastAsia"/>
          <w:bCs/>
          <w:szCs w:val="20"/>
          <w:lang w:eastAsia="zh-CN"/>
        </w:rPr>
        <w:t>贰</w:t>
      </w:r>
      <w:r>
        <w:rPr>
          <w:bCs/>
          <w:szCs w:val="20"/>
        </w:rPr>
        <w:t>份，甲、乙双方各执</w:t>
      </w:r>
      <w:r>
        <w:rPr>
          <w:rFonts w:hint="eastAsia"/>
          <w:bCs/>
          <w:szCs w:val="20"/>
          <w:lang w:eastAsia="zh-CN"/>
        </w:rPr>
        <w:t>壹</w:t>
      </w:r>
      <w:r>
        <w:rPr>
          <w:bCs/>
          <w:szCs w:val="20"/>
        </w:rPr>
        <w:t>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990" w:firstLineChars="450"/>
        <w:rPr>
          <w:rFonts w:ascii="Calibri" w:hAnsi="Calibri" w:eastAsia="宋体" w:cs="Times New Roman"/>
          <w:bCs/>
          <w:sz w:val="22"/>
          <w:szCs w:val="22"/>
        </w:rPr>
      </w:pPr>
    </w:p>
    <w:p>
      <w:pPr>
        <w:spacing w:line="440" w:lineRule="exact"/>
        <w:ind w:firstLine="1210" w:firstLineChars="5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Century Gothic">
    <w:panose1 w:val="020B0502020202020204"/>
    <w:charset w:val="00"/>
    <w:family w:val="swiss"/>
    <w:pitch w:val="default"/>
    <w:sig w:usb0="00000287"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yODZmNTE4ZWMzNjg3NTkxMjBiZjI1OGU3ZTBiMzY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7761DC"/>
    <w:rsid w:val="037819C8"/>
    <w:rsid w:val="04165086"/>
    <w:rsid w:val="07827398"/>
    <w:rsid w:val="079468F0"/>
    <w:rsid w:val="088815A9"/>
    <w:rsid w:val="0A277157"/>
    <w:rsid w:val="0A323667"/>
    <w:rsid w:val="0A964758"/>
    <w:rsid w:val="0B691EBF"/>
    <w:rsid w:val="0BDB7828"/>
    <w:rsid w:val="0D3C3F90"/>
    <w:rsid w:val="0D6B27A0"/>
    <w:rsid w:val="0D737863"/>
    <w:rsid w:val="0F9D510C"/>
    <w:rsid w:val="10827943"/>
    <w:rsid w:val="109B7C74"/>
    <w:rsid w:val="11D15B1C"/>
    <w:rsid w:val="11D56F8A"/>
    <w:rsid w:val="12531874"/>
    <w:rsid w:val="129A029D"/>
    <w:rsid w:val="12C9410A"/>
    <w:rsid w:val="136E04B8"/>
    <w:rsid w:val="14C02644"/>
    <w:rsid w:val="157B401A"/>
    <w:rsid w:val="165B3C1A"/>
    <w:rsid w:val="17453125"/>
    <w:rsid w:val="182217CF"/>
    <w:rsid w:val="184F31D7"/>
    <w:rsid w:val="19915A12"/>
    <w:rsid w:val="1A2E6DE6"/>
    <w:rsid w:val="1D4821A9"/>
    <w:rsid w:val="1FB7048C"/>
    <w:rsid w:val="202B56B1"/>
    <w:rsid w:val="22723315"/>
    <w:rsid w:val="22CF7097"/>
    <w:rsid w:val="232E51F6"/>
    <w:rsid w:val="23705E06"/>
    <w:rsid w:val="23884864"/>
    <w:rsid w:val="24C52651"/>
    <w:rsid w:val="27E45486"/>
    <w:rsid w:val="28DD687E"/>
    <w:rsid w:val="2B057E38"/>
    <w:rsid w:val="2BA52826"/>
    <w:rsid w:val="2D7F5632"/>
    <w:rsid w:val="2E46068D"/>
    <w:rsid w:val="2EB05F76"/>
    <w:rsid w:val="2F3C6CF1"/>
    <w:rsid w:val="2FBD42B3"/>
    <w:rsid w:val="30D412A1"/>
    <w:rsid w:val="30E84F1F"/>
    <w:rsid w:val="316641F0"/>
    <w:rsid w:val="31BF6098"/>
    <w:rsid w:val="31F8416E"/>
    <w:rsid w:val="320E68FB"/>
    <w:rsid w:val="32CE7A3F"/>
    <w:rsid w:val="33951D5C"/>
    <w:rsid w:val="34117E05"/>
    <w:rsid w:val="351B0D6F"/>
    <w:rsid w:val="351B624E"/>
    <w:rsid w:val="35633FD8"/>
    <w:rsid w:val="36AA02C8"/>
    <w:rsid w:val="37C66C9B"/>
    <w:rsid w:val="3877509F"/>
    <w:rsid w:val="397306B8"/>
    <w:rsid w:val="39BD6D12"/>
    <w:rsid w:val="3A29134D"/>
    <w:rsid w:val="3BB420F5"/>
    <w:rsid w:val="3DB75172"/>
    <w:rsid w:val="3F1B3C4A"/>
    <w:rsid w:val="402E62DF"/>
    <w:rsid w:val="402F4957"/>
    <w:rsid w:val="405108FA"/>
    <w:rsid w:val="40751336"/>
    <w:rsid w:val="4136403A"/>
    <w:rsid w:val="41EF774F"/>
    <w:rsid w:val="42660058"/>
    <w:rsid w:val="43824C1A"/>
    <w:rsid w:val="43A157C9"/>
    <w:rsid w:val="447334B4"/>
    <w:rsid w:val="449C5243"/>
    <w:rsid w:val="449E2D2B"/>
    <w:rsid w:val="458A740C"/>
    <w:rsid w:val="46094A05"/>
    <w:rsid w:val="460A3EB2"/>
    <w:rsid w:val="477517FF"/>
    <w:rsid w:val="479F5F87"/>
    <w:rsid w:val="497E50E4"/>
    <w:rsid w:val="49CC2349"/>
    <w:rsid w:val="4A254910"/>
    <w:rsid w:val="4AA864D5"/>
    <w:rsid w:val="4B956476"/>
    <w:rsid w:val="4CBE1552"/>
    <w:rsid w:val="4D3D3121"/>
    <w:rsid w:val="4DCB17F7"/>
    <w:rsid w:val="4ED83989"/>
    <w:rsid w:val="5105209D"/>
    <w:rsid w:val="5273518F"/>
    <w:rsid w:val="529E0326"/>
    <w:rsid w:val="53423D16"/>
    <w:rsid w:val="534B0A6F"/>
    <w:rsid w:val="539D45B7"/>
    <w:rsid w:val="53CA557A"/>
    <w:rsid w:val="545A32FC"/>
    <w:rsid w:val="547D6E0D"/>
    <w:rsid w:val="55382DBA"/>
    <w:rsid w:val="55596194"/>
    <w:rsid w:val="55950B3F"/>
    <w:rsid w:val="56A54B82"/>
    <w:rsid w:val="584110E8"/>
    <w:rsid w:val="587C329C"/>
    <w:rsid w:val="595B205E"/>
    <w:rsid w:val="5A4777C5"/>
    <w:rsid w:val="5A6E001E"/>
    <w:rsid w:val="5AE71C9E"/>
    <w:rsid w:val="5CAD7C22"/>
    <w:rsid w:val="5CD36D91"/>
    <w:rsid w:val="5DEC7787"/>
    <w:rsid w:val="5DFE7766"/>
    <w:rsid w:val="60D904D8"/>
    <w:rsid w:val="60F93F09"/>
    <w:rsid w:val="61EE2A98"/>
    <w:rsid w:val="646461A1"/>
    <w:rsid w:val="65D31C24"/>
    <w:rsid w:val="65E75684"/>
    <w:rsid w:val="6634293C"/>
    <w:rsid w:val="669F4579"/>
    <w:rsid w:val="680678AC"/>
    <w:rsid w:val="683E0693"/>
    <w:rsid w:val="685E7C65"/>
    <w:rsid w:val="68AB5C34"/>
    <w:rsid w:val="694279A9"/>
    <w:rsid w:val="698F00A6"/>
    <w:rsid w:val="6A670A41"/>
    <w:rsid w:val="6A800692"/>
    <w:rsid w:val="6AA92F34"/>
    <w:rsid w:val="6BAC3EA4"/>
    <w:rsid w:val="6BF3478F"/>
    <w:rsid w:val="6D370E4B"/>
    <w:rsid w:val="6DE10695"/>
    <w:rsid w:val="6E0B49D4"/>
    <w:rsid w:val="6E6658CD"/>
    <w:rsid w:val="6E7E61B3"/>
    <w:rsid w:val="6F1A55B9"/>
    <w:rsid w:val="6F9841D5"/>
    <w:rsid w:val="711B411C"/>
    <w:rsid w:val="73645C00"/>
    <w:rsid w:val="7392213F"/>
    <w:rsid w:val="739F5CC0"/>
    <w:rsid w:val="73F75A9D"/>
    <w:rsid w:val="748F3673"/>
    <w:rsid w:val="755C54CB"/>
    <w:rsid w:val="762B73A9"/>
    <w:rsid w:val="772F4719"/>
    <w:rsid w:val="773504DF"/>
    <w:rsid w:val="77FD6A1D"/>
    <w:rsid w:val="78667688"/>
    <w:rsid w:val="79B62264"/>
    <w:rsid w:val="7A192AA7"/>
    <w:rsid w:val="7B395E66"/>
    <w:rsid w:val="7C0B3B0A"/>
    <w:rsid w:val="7C4831AB"/>
    <w:rsid w:val="7CA6287C"/>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pPr>
      <w:autoSpaceDE w:val="0"/>
      <w:autoSpaceDN w:val="0"/>
      <w:jc w:val="left"/>
    </w:pPr>
    <w:rPr>
      <w:rFonts w:ascii="宋体" w:hAnsi="宋体" w:eastAsia="宋体" w:cs="宋体"/>
      <w:kern w:val="0"/>
      <w:sz w:val="17"/>
      <w:szCs w:val="17"/>
      <w:lang w:val="zh-CN" w:bidi="zh-CN"/>
    </w:rPr>
  </w:style>
  <w:style w:type="paragraph" w:styleId="5">
    <w:name w:val="Plain Text"/>
    <w:basedOn w:val="1"/>
    <w:autoRedefine/>
    <w:qFormat/>
    <w:uiPriority w:val="0"/>
    <w:rPr>
      <w:rFonts w:ascii="宋体" w:hAnsi="Courier New" w:cs="Courier New"/>
      <w:szCs w:val="21"/>
    </w:rPr>
  </w:style>
  <w:style w:type="paragraph" w:styleId="6">
    <w:name w:val="footer"/>
    <w:basedOn w:val="1"/>
    <w:link w:val="18"/>
    <w:autoRedefine/>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10">
    <w:name w:val="Body Text First Indent"/>
    <w:basedOn w:val="1"/>
    <w:autoRedefine/>
    <w:qFormat/>
    <w:uiPriority w:val="0"/>
    <w:pPr>
      <w:ind w:firstLine="420"/>
    </w:pPr>
    <w:rPr>
      <w:rFonts w:ascii="Calibri" w:hAnsi="Calibri" w:eastAsia="宋体" w:cs="Times New Roman"/>
    </w:rPr>
  </w:style>
  <w:style w:type="table" w:styleId="12">
    <w:name w:val="Table Grid"/>
    <w:basedOn w:val="11"/>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rPr>
  </w:style>
  <w:style w:type="character" w:styleId="15">
    <w:name w:val="Emphasis"/>
    <w:autoRedefine/>
    <w:qFormat/>
    <w:uiPriority w:val="20"/>
    <w:rPr>
      <w:i/>
      <w:iCs/>
    </w:rPr>
  </w:style>
  <w:style w:type="character" w:styleId="16">
    <w:name w:val="Hyperlink"/>
    <w:basedOn w:val="13"/>
    <w:qFormat/>
    <w:uiPriority w:val="0"/>
    <w:rPr>
      <w:color w:val="0000FF"/>
      <w:u w:val="single"/>
    </w:rPr>
  </w:style>
  <w:style w:type="character" w:customStyle="1" w:styleId="17">
    <w:name w:val="页眉 Char"/>
    <w:basedOn w:val="13"/>
    <w:link w:val="7"/>
    <w:autoRedefine/>
    <w:qFormat/>
    <w:uiPriority w:val="99"/>
    <w:rPr>
      <w:sz w:val="18"/>
      <w:szCs w:val="18"/>
    </w:rPr>
  </w:style>
  <w:style w:type="character" w:customStyle="1" w:styleId="18">
    <w:name w:val="页脚 Char"/>
    <w:basedOn w:val="13"/>
    <w:link w:val="6"/>
    <w:qFormat/>
    <w:uiPriority w:val="99"/>
    <w:rPr>
      <w:sz w:val="18"/>
      <w:szCs w:val="18"/>
    </w:rPr>
  </w:style>
  <w:style w:type="paragraph" w:customStyle="1" w:styleId="19">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styleId="20">
    <w:name w:val="List Paragraph"/>
    <w:basedOn w:val="1"/>
    <w:autoRedefine/>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1">
    <w:name w:val="NormalCharacter"/>
    <w:autoRedefine/>
    <w:semiHidden/>
    <w:qFormat/>
    <w:uiPriority w:val="0"/>
  </w:style>
  <w:style w:type="character" w:customStyle="1" w:styleId="22">
    <w:name w:val="font31"/>
    <w:basedOn w:val="13"/>
    <w:autoRedefine/>
    <w:qFormat/>
    <w:uiPriority w:val="0"/>
    <w:rPr>
      <w:rFonts w:hint="eastAsia" w:ascii="宋体" w:hAnsi="宋体" w:eastAsia="宋体" w:cs="宋体"/>
      <w:color w:val="000000"/>
      <w:sz w:val="24"/>
      <w:szCs w:val="24"/>
      <w:u w:val="none"/>
    </w:rPr>
  </w:style>
  <w:style w:type="character" w:customStyle="1" w:styleId="23">
    <w:name w:val="font11"/>
    <w:basedOn w:val="13"/>
    <w:autoRedefine/>
    <w:qFormat/>
    <w:uiPriority w:val="0"/>
    <w:rPr>
      <w:rFonts w:hint="eastAsia" w:ascii="宋体" w:hAnsi="宋体" w:eastAsia="宋体" w:cs="宋体"/>
      <w:color w:val="000000"/>
      <w:sz w:val="24"/>
      <w:szCs w:val="24"/>
      <w:u w:val="none"/>
    </w:rPr>
  </w:style>
  <w:style w:type="character" w:customStyle="1" w:styleId="24">
    <w:name w:val="font41"/>
    <w:basedOn w:val="13"/>
    <w:autoRedefine/>
    <w:qFormat/>
    <w:uiPriority w:val="0"/>
    <w:rPr>
      <w:rFonts w:hint="eastAsia" w:ascii="宋体" w:hAnsi="宋体" w:eastAsia="宋体" w:cs="宋体"/>
      <w:b/>
      <w:bCs/>
      <w:color w:val="000000"/>
      <w:sz w:val="24"/>
      <w:szCs w:val="24"/>
      <w:u w:val="none"/>
    </w:rPr>
  </w:style>
  <w:style w:type="character" w:customStyle="1" w:styleId="25">
    <w:name w:val="Anrede1IhrZeichen"/>
    <w:autoRedefine/>
    <w:qFormat/>
    <w:uiPriority w:val="0"/>
    <w:rPr>
      <w:rFonts w:hint="default" w:ascii="Arial" w:hAnsi="Arial"/>
      <w:sz w:val="20"/>
    </w:rPr>
  </w:style>
  <w:style w:type="paragraph" w:customStyle="1" w:styleId="26">
    <w:name w:val="AbsatzTableFormat"/>
    <w:basedOn w:val="1"/>
    <w:autoRedefine/>
    <w:qFormat/>
    <w:uiPriority w:val="0"/>
    <w:pPr>
      <w:widowControl/>
      <w:jc w:val="left"/>
    </w:pPr>
    <w:rPr>
      <w:rFonts w:ascii="Arial Narrow" w:hAnsi="Arial Narrow"/>
      <w:bCs/>
      <w:kern w:val="0"/>
      <w:sz w:val="22"/>
      <w:szCs w:val="21"/>
      <w:lang w:val="de-DE"/>
    </w:rPr>
  </w:style>
  <w:style w:type="paragraph" w:customStyle="1" w:styleId="27">
    <w:name w:val="Plain Text1"/>
    <w:basedOn w:val="28"/>
    <w:autoRedefine/>
    <w:qFormat/>
    <w:uiPriority w:val="0"/>
    <w:pPr>
      <w:widowControl/>
      <w:jc w:val="left"/>
    </w:pPr>
    <w:rPr>
      <w:rFonts w:ascii="宋体" w:hAnsi="Courier New"/>
    </w:rPr>
  </w:style>
  <w:style w:type="paragraph" w:customStyle="1" w:styleId="28">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9">
    <w:name w:val="正文 A"/>
    <w:autoRedefine/>
    <w:qFormat/>
    <w:uiPriority w:val="0"/>
    <w:pPr>
      <w:widowControl w:val="0"/>
      <w:jc w:val="both"/>
    </w:pPr>
    <w:rPr>
      <w:rFonts w:ascii="Century Gothic" w:hAnsi="Century Gothic"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12</Pages>
  <Words>8346</Words>
  <Characters>8716</Characters>
  <Lines>6</Lines>
  <Paragraphs>1</Paragraphs>
  <TotalTime>0</TotalTime>
  <ScaleCrop>false</ScaleCrop>
  <LinksUpToDate>false</LinksUpToDate>
  <CharactersWithSpaces>9126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咔咔</cp:lastModifiedBy>
  <dcterms:modified xsi:type="dcterms:W3CDTF">2024-07-08T02:28:17Z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2052-12.1.0.16929</vt:lpwstr>
  </property>
  <property fmtid="{D5CDD505-2E9C-101B-9397-08002B2CF9AE}" pid="4" name="ICV">
    <vt:lpwstr>99012001CC8449E1B44B4987A03F7E88</vt:lpwstr>
  </property>
</Properties>
</file>