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w:t>
      </w:r>
      <w:r>
        <w:rPr>
          <w:rStyle w:val="14"/>
          <w:rFonts w:hint="default" w:asciiTheme="minorEastAsia" w:hAnsiTheme="minorEastAsia" w:eastAsiaTheme="minorEastAsia" w:cstheme="minorEastAsia"/>
          <w:b/>
          <w:bCs/>
          <w:sz w:val="36"/>
          <w:szCs w:val="36"/>
          <w:lang w:val="en-US" w:eastAsia="zh-CN"/>
        </w:rPr>
        <w:t>中草药提取浓缩机组</w:t>
      </w:r>
      <w:r>
        <w:rPr>
          <w:rStyle w:val="14"/>
          <w:rFonts w:hint="eastAsia" w:asciiTheme="minorEastAsia" w:hAnsiTheme="minorEastAsia" w:eastAsiaTheme="minorEastAsia" w:cstheme="minorEastAsia"/>
          <w:b/>
          <w:bCs/>
          <w:sz w:val="36"/>
          <w:szCs w:val="36"/>
          <w:lang w:val="en-US" w:eastAsia="zh-CN"/>
        </w:rPr>
        <w:t>、酶标仪等实验室设备的招标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项目名称：</w:t>
            </w:r>
            <w:r>
              <w:rPr>
                <w:rFonts w:hint="default" w:ascii="宋体" w:hAnsi="宋体" w:eastAsia="宋体" w:cs="宋体"/>
                <w:b w:val="0"/>
                <w:bCs w:val="0"/>
                <w:color w:val="auto"/>
                <w:sz w:val="21"/>
                <w:szCs w:val="21"/>
                <w:lang w:val="en-US" w:eastAsia="zh-CN"/>
              </w:rPr>
              <w:t>中草药提取浓缩机组</w:t>
            </w:r>
            <w:r>
              <w:rPr>
                <w:rFonts w:hint="eastAsia" w:ascii="宋体" w:hAnsi="宋体" w:eastAsia="宋体" w:cs="宋体"/>
                <w:b w:val="0"/>
                <w:bCs w:val="0"/>
                <w:color w:val="auto"/>
                <w:sz w:val="21"/>
                <w:szCs w:val="21"/>
                <w:lang w:val="en-US" w:eastAsia="zh-CN"/>
              </w:rPr>
              <w:t>、酶标仪等实验室设备</w:t>
            </w:r>
          </w:p>
        </w:tc>
        <w:tc>
          <w:tcPr>
            <w:tcW w:w="2869" w:type="dxa"/>
            <w:gridSpan w:val="2"/>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项目编号：2024-sb-cg-039</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项目预算总金额：11万元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left"/>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lang w:val="en-US" w:eastAsia="zh-CN"/>
              </w:rPr>
              <w:t>设备1</w:t>
            </w:r>
            <w:r>
              <w:rPr>
                <w:rFonts w:hint="eastAsia" w:ascii="宋体" w:hAnsi="宋体" w:eastAsia="宋体" w:cs="宋体"/>
                <w:b w:val="0"/>
                <w:bCs w:val="0"/>
                <w:color w:val="auto"/>
                <w:sz w:val="21"/>
                <w:szCs w:val="21"/>
              </w:rPr>
              <w:t>：</w:t>
            </w:r>
            <w:r>
              <w:rPr>
                <w:rFonts w:hint="default" w:ascii="宋体" w:hAnsi="宋体" w:eastAsia="宋体" w:cs="宋体"/>
                <w:b w:val="0"/>
                <w:bCs w:val="0"/>
                <w:color w:val="auto"/>
                <w:sz w:val="21"/>
                <w:szCs w:val="21"/>
                <w:lang w:val="en-US" w:eastAsia="zh-CN"/>
              </w:rPr>
              <w:t>中草药提取浓缩机组</w:t>
            </w:r>
          </w:p>
        </w:tc>
        <w:tc>
          <w:tcPr>
            <w:tcW w:w="1434" w:type="dxa"/>
          </w:tcPr>
          <w:p>
            <w:pPr>
              <w:jc w:val="left"/>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数量：1</w:t>
            </w:r>
          </w:p>
        </w:tc>
        <w:tc>
          <w:tcPr>
            <w:tcW w:w="1435"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设备2</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酶标仪</w:t>
            </w:r>
          </w:p>
        </w:tc>
        <w:tc>
          <w:tcPr>
            <w:tcW w:w="1434"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数量：1</w:t>
            </w:r>
          </w:p>
        </w:tc>
        <w:tc>
          <w:tcPr>
            <w:tcW w:w="1435"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进口</w:t>
            </w:r>
          </w:p>
        </w:tc>
        <w:tc>
          <w:tcPr>
            <w:tcW w:w="3440"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设备3</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漩涡振荡器</w:t>
            </w:r>
          </w:p>
        </w:tc>
        <w:tc>
          <w:tcPr>
            <w:tcW w:w="1434"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数量：10</w:t>
            </w:r>
          </w:p>
        </w:tc>
        <w:tc>
          <w:tcPr>
            <w:tcW w:w="1435"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0.1万元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允许进口</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本项目我院采取院内组织公开招标的方式，以综合评分最高者中标的原则确定中标供应商。</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p>
    <w:p>
      <w:pPr>
        <w:pStyle w:val="9"/>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宋体" w:hAnsi="宋体" w:eastAsia="宋体" w:cs="宋体"/>
          <w:i w:val="0"/>
          <w:iCs w:val="0"/>
          <w:caps w:val="0"/>
          <w:color w:val="333333"/>
          <w:spacing w:val="0"/>
          <w:sz w:val="24"/>
          <w:szCs w:val="24"/>
          <w:shd w:val="clear" w:fill="FFFFFF"/>
        </w:rPr>
        <w:t>202</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13</w:t>
      </w:r>
      <w:r>
        <w:rPr>
          <w:rFonts w:hint="eastAsia" w:ascii="宋体" w:hAnsi="宋体" w:eastAsia="宋体" w:cs="宋体"/>
          <w:i w:val="0"/>
          <w:iCs w:val="0"/>
          <w:caps w:val="0"/>
          <w:color w:val="333333"/>
          <w:spacing w:val="0"/>
          <w:sz w:val="24"/>
          <w:szCs w:val="24"/>
          <w:shd w:val="clear" w:fill="FFFFFF"/>
        </w:rPr>
        <w:t>日上午</w:t>
      </w: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00</w:t>
      </w:r>
      <w:r>
        <w:rPr>
          <w:rFonts w:hint="eastAsia" w:ascii="宋体" w:hAnsi="宋体" w:eastAsia="宋体" w:cs="宋体"/>
          <w:i w:val="0"/>
          <w:iCs w:val="0"/>
          <w:caps w:val="0"/>
          <w:color w:val="333333"/>
          <w:spacing w:val="0"/>
          <w:sz w:val="24"/>
          <w:szCs w:val="24"/>
          <w:shd w:val="clear" w:fill="FFFFFF"/>
        </w:rPr>
        <w:t>分</w:t>
      </w:r>
      <w:r>
        <w:rPr>
          <w:rFonts w:hint="eastAsia" w:asciiTheme="minorEastAsia" w:hAnsiTheme="minorEastAsia" w:eastAsiaTheme="minorEastAsia" w:cstheme="minorEastAsia"/>
          <w:kern w:val="2"/>
          <w:sz w:val="21"/>
          <w:szCs w:val="21"/>
          <w:lang w:val="en-US" w:eastAsia="zh-CN" w:bidi="ar-SA"/>
        </w:rPr>
        <w:t>（北京时间）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开标时间：</w:t>
      </w:r>
      <w:r>
        <w:rPr>
          <w:rFonts w:hint="eastAsia" w:ascii="宋体" w:hAnsi="宋体" w:eastAsia="宋体" w:cs="宋体"/>
          <w:i w:val="0"/>
          <w:iCs w:val="0"/>
          <w:caps w:val="0"/>
          <w:color w:val="333333"/>
          <w:spacing w:val="0"/>
          <w:sz w:val="24"/>
          <w:szCs w:val="24"/>
          <w:shd w:val="clear" w:fill="FFFFFF"/>
        </w:rPr>
        <w:t>202</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13</w:t>
      </w:r>
      <w:r>
        <w:rPr>
          <w:rFonts w:hint="eastAsia" w:ascii="宋体" w:hAnsi="宋体" w:eastAsia="宋体" w:cs="宋体"/>
          <w:i w:val="0"/>
          <w:iCs w:val="0"/>
          <w:caps w:val="0"/>
          <w:color w:val="333333"/>
          <w:spacing w:val="0"/>
          <w:sz w:val="24"/>
          <w:szCs w:val="24"/>
          <w:shd w:val="clear" w:fill="FFFFFF"/>
        </w:rPr>
        <w:t>日上午</w:t>
      </w: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00</w:t>
      </w:r>
      <w:r>
        <w:rPr>
          <w:rFonts w:hint="eastAsia" w:ascii="宋体" w:hAnsi="宋体" w:eastAsia="宋体" w:cs="宋体"/>
          <w:i w:val="0"/>
          <w:iCs w:val="0"/>
          <w:caps w:val="0"/>
          <w:color w:val="333333"/>
          <w:spacing w:val="0"/>
          <w:sz w:val="24"/>
          <w:szCs w:val="24"/>
          <w:shd w:val="clear" w:fill="FFFFFF"/>
        </w:rPr>
        <w:t>分</w:t>
      </w:r>
      <w:bookmarkStart w:id="0" w:name="_GoBack"/>
      <w:bookmarkEnd w:id="0"/>
      <w:r>
        <w:rPr>
          <w:rFonts w:hint="eastAsia" w:asciiTheme="minorEastAsia" w:hAnsiTheme="minorEastAsia" w:eastAsiaTheme="minorEastAsia" w:cstheme="minorEastAsia"/>
          <w:kern w:val="2"/>
          <w:sz w:val="21"/>
          <w:szCs w:val="21"/>
          <w:lang w:val="en-US" w:eastAsia="zh-CN" w:bidi="ar-SA"/>
        </w:rPr>
        <w:t>（北京时间）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其他:招标文件一式三份，一正两副加盖公章</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9"/>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3" w:firstLineChars="196"/>
        <w:jc w:val="left"/>
        <w:rPr>
          <w:rFonts w:hint="eastAsia" w:asciiTheme="minorEastAsia" w:hAnsiTheme="minorEastAsia" w:eastAsiaTheme="minorEastAsia" w:cstheme="minorEastAsia"/>
          <w:b/>
          <w:sz w:val="21"/>
          <w:szCs w:val="21"/>
        </w:rPr>
      </w:pP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458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70" w:type="dxa"/>
          <w:bottom w:w="0" w:type="dxa"/>
          <w:right w:w="70" w:type="dxa"/>
        </w:tblCellMar>
      </w:tblPr>
      <w:tblGrid>
        <w:gridCol w:w="1188"/>
        <w:gridCol w:w="6116"/>
        <w:gridCol w:w="11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5"/>
              <w:jc w:val="center"/>
              <w:rPr>
                <w:rStyle w:val="24"/>
                <w:rFonts w:hint="eastAsia" w:ascii="宋体" w:hAnsi="宋体" w:eastAsia="宋体" w:cs="宋体"/>
                <w:b w:val="0"/>
                <w:bCs w:val="0"/>
                <w:color w:val="auto"/>
                <w:sz w:val="21"/>
                <w:szCs w:val="21"/>
              </w:rPr>
            </w:pPr>
            <w:r>
              <w:rPr>
                <w:rStyle w:val="24"/>
                <w:rFonts w:hint="eastAsia" w:ascii="宋体" w:hAnsi="宋体" w:eastAsia="宋体" w:cs="宋体"/>
                <w:b w:val="0"/>
                <w:bCs w:val="0"/>
                <w:color w:val="auto"/>
                <w:sz w:val="21"/>
                <w:szCs w:val="21"/>
              </w:rPr>
              <w:t>序号</w:t>
            </w:r>
          </w:p>
        </w:tc>
        <w:tc>
          <w:tcPr>
            <w:tcW w:w="3620" w:type="pct"/>
            <w:shd w:val="clear" w:color="auto" w:fill="CCCCCC"/>
            <w:noWrap w:val="0"/>
            <w:vAlign w:val="center"/>
          </w:tcPr>
          <w:p>
            <w:pPr>
              <w:pStyle w:val="25"/>
              <w:jc w:val="center"/>
              <w:rPr>
                <w:rStyle w:val="24"/>
                <w:rFonts w:hint="eastAsia" w:ascii="宋体" w:hAnsi="宋体" w:eastAsia="宋体" w:cs="宋体"/>
                <w:b w:val="0"/>
                <w:bCs w:val="0"/>
                <w:color w:val="auto"/>
                <w:sz w:val="21"/>
                <w:szCs w:val="21"/>
              </w:rPr>
            </w:pPr>
            <w:r>
              <w:rPr>
                <w:rStyle w:val="24"/>
                <w:rFonts w:hint="eastAsia" w:ascii="宋体" w:hAnsi="宋体" w:eastAsia="宋体" w:cs="宋体"/>
                <w:b w:val="0"/>
                <w:bCs w:val="0"/>
                <w:color w:val="auto"/>
                <w:sz w:val="21"/>
                <w:szCs w:val="21"/>
              </w:rPr>
              <w:t>招标要求</w:t>
            </w:r>
          </w:p>
        </w:tc>
        <w:tc>
          <w:tcPr>
            <w:tcW w:w="676" w:type="pct"/>
            <w:shd w:val="clear" w:color="auto" w:fill="CCCCCC"/>
            <w:noWrap w:val="0"/>
            <w:vAlign w:val="center"/>
          </w:tcPr>
          <w:p>
            <w:pPr>
              <w:pStyle w:val="25"/>
              <w:jc w:val="center"/>
              <w:rPr>
                <w:rStyle w:val="24"/>
                <w:rFonts w:hint="eastAsia" w:ascii="宋体" w:hAnsi="宋体" w:eastAsia="宋体" w:cs="宋体"/>
                <w:b w:val="0"/>
                <w:bCs w:val="0"/>
                <w:color w:val="auto"/>
                <w:sz w:val="21"/>
                <w:szCs w:val="21"/>
              </w:rPr>
            </w:pPr>
            <w:r>
              <w:rPr>
                <w:rStyle w:val="24"/>
                <w:rFonts w:hint="eastAsia" w:ascii="宋体" w:hAnsi="宋体" w:eastAsia="宋体" w:cs="宋体"/>
                <w:b w:val="0"/>
                <w:bCs w:val="0"/>
                <w:color w:val="auto"/>
                <w:sz w:val="21"/>
                <w:szCs w:val="21"/>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center"/>
              <w:rPr>
                <w:rFonts w:hint="eastAsia" w:ascii="宋体" w:hAnsi="宋体" w:eastAsia="宋体" w:cs="宋体"/>
                <w:b/>
                <w:bCs/>
                <w:color w:val="auto"/>
                <w:sz w:val="21"/>
                <w:szCs w:val="21"/>
                <w:lang w:val="en-US" w:eastAsia="zh-CN"/>
              </w:rPr>
            </w:pP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设备1</w:t>
            </w:r>
          </w:p>
        </w:tc>
        <w:tc>
          <w:tcPr>
            <w:tcW w:w="3620" w:type="pct"/>
            <w:noWrap w:val="0"/>
            <w:vAlign w:val="center"/>
          </w:tcPr>
          <w:p>
            <w:pPr>
              <w:widowControl/>
              <w:jc w:val="left"/>
              <w:rPr>
                <w:rFonts w:hint="eastAsia" w:ascii="宋体" w:hAnsi="宋体" w:eastAsia="宋体" w:cs="宋体"/>
                <w:b/>
                <w:bCs/>
                <w:color w:val="auto"/>
                <w:sz w:val="21"/>
                <w:szCs w:val="21"/>
                <w:lang w:val="en-US" w:bidi="ar"/>
              </w:rPr>
            </w:pPr>
            <w:r>
              <w:rPr>
                <w:rFonts w:hint="eastAsia" w:ascii="宋体" w:hAnsi="宋体" w:eastAsia="宋体" w:cs="宋体"/>
                <w:b/>
                <w:bCs/>
                <w:color w:val="auto"/>
                <w:sz w:val="21"/>
                <w:szCs w:val="21"/>
                <w:lang w:val="en-US" w:eastAsia="zh-CN"/>
              </w:rPr>
              <w:t>中草药提取浓缩机组</w:t>
            </w:r>
            <w:r>
              <w:rPr>
                <w:rFonts w:hint="eastAsia" w:ascii="宋体" w:hAnsi="宋体" w:eastAsia="宋体" w:cs="宋体"/>
                <w:b/>
                <w:bCs/>
                <w:color w:val="000000"/>
                <w:sz w:val="21"/>
                <w:szCs w:val="21"/>
                <w:lang w:bidi="ar"/>
              </w:rPr>
              <w:t>技术参数要求</w:t>
            </w:r>
          </w:p>
        </w:tc>
        <w:tc>
          <w:tcPr>
            <w:tcW w:w="676" w:type="pct"/>
            <w:noWrap w:val="0"/>
            <w:vAlign w:val="center"/>
          </w:tcPr>
          <w:p>
            <w:pPr>
              <w:pStyle w:val="25"/>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sz w:val="21"/>
                <w:szCs w:val="21"/>
              </w:rPr>
              <w:t>1.1</w:t>
            </w:r>
          </w:p>
        </w:tc>
        <w:tc>
          <w:tcPr>
            <w:tcW w:w="3620" w:type="pct"/>
            <w:noWrap w:val="0"/>
            <w:vAlign w:val="top"/>
          </w:tcPr>
          <w:p>
            <w:pPr>
              <w:pStyle w:val="19"/>
              <w:ind w:firstLine="0"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b/>
                <w:sz w:val="21"/>
                <w:szCs w:val="21"/>
              </w:rPr>
              <w:t>用途：</w:t>
            </w:r>
          </w:p>
          <w:p>
            <w:pPr>
              <w:pStyle w:val="29"/>
              <w:rPr>
                <w:rFonts w:hint="eastAsia" w:ascii="宋体" w:hAnsi="宋体" w:eastAsia="宋体" w:cs="宋体"/>
                <w:b w:val="0"/>
                <w:bCs/>
                <w:color w:val="auto"/>
                <w:kern w:val="0"/>
                <w:sz w:val="21"/>
                <w:szCs w:val="21"/>
                <w:lang w:eastAsia="zh-CN"/>
              </w:rPr>
            </w:pPr>
            <w:r>
              <w:rPr>
                <w:rFonts w:hint="eastAsia" w:ascii="宋体" w:hAnsi="宋体" w:eastAsia="宋体" w:cs="宋体"/>
                <w:sz w:val="21"/>
                <w:szCs w:val="21"/>
              </w:rPr>
              <w:t>用于医药、生物、食品、化工中常用的浸出提取设备。可提供物料水提取、醇提取、挥发油提取并可回收渣滓中的溶剂，适用于渗漉、温浸、回流、循环浸</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color w:val="auto"/>
                <w:sz w:val="21"/>
                <w:szCs w:val="21"/>
              </w:rPr>
            </w:pPr>
            <w:r>
              <w:rPr>
                <w:rFonts w:hint="eastAsia" w:ascii="宋体" w:hAnsi="宋体" w:eastAsia="宋体" w:cs="宋体"/>
                <w:b/>
                <w:sz w:val="21"/>
                <w:szCs w:val="21"/>
              </w:rPr>
              <w:t>1.2</w:t>
            </w:r>
          </w:p>
        </w:tc>
        <w:tc>
          <w:tcPr>
            <w:tcW w:w="3620" w:type="pct"/>
            <w:noWrap w:val="0"/>
            <w:vAlign w:val="center"/>
          </w:tcPr>
          <w:p>
            <w:pPr>
              <w:widowControl/>
              <w:spacing w:line="360" w:lineRule="auto"/>
              <w:rPr>
                <w:rFonts w:hint="eastAsia" w:ascii="宋体" w:hAnsi="宋体" w:eastAsia="宋体" w:cs="宋体"/>
                <w:b w:val="0"/>
                <w:bCs/>
                <w:color w:val="auto"/>
                <w:sz w:val="21"/>
                <w:szCs w:val="21"/>
              </w:rPr>
            </w:pPr>
            <w:r>
              <w:rPr>
                <w:rFonts w:hint="eastAsia" w:ascii="宋体" w:hAnsi="宋体" w:eastAsia="宋体" w:cs="宋体"/>
                <w:b/>
                <w:sz w:val="21"/>
                <w:szCs w:val="21"/>
              </w:rPr>
              <w:t>主要技术规格及系统概述：</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000000"/>
                <w:sz w:val="21"/>
                <w:szCs w:val="21"/>
              </w:rPr>
              <w:t>▲</w:t>
            </w:r>
            <w:r>
              <w:rPr>
                <w:rFonts w:hint="eastAsia" w:ascii="宋体" w:hAnsi="宋体" w:eastAsia="宋体" w:cs="宋体"/>
                <w:b/>
                <w:bCs/>
                <w:sz w:val="21"/>
                <w:szCs w:val="21"/>
              </w:rPr>
              <w:t>1.2.2</w:t>
            </w:r>
          </w:p>
        </w:tc>
        <w:tc>
          <w:tcPr>
            <w:tcW w:w="3620" w:type="pct"/>
            <w:noWrap w:val="0"/>
            <w:vAlign w:val="top"/>
          </w:tcPr>
          <w:p>
            <w:pPr>
              <w:pStyle w:val="19"/>
              <w:widowControl/>
              <w:spacing w:after="200" w:line="276" w:lineRule="auto"/>
              <w:ind w:left="521" w:leftChars="0" w:firstLine="0" w:firstLineChars="0"/>
              <w:contextualSpacing/>
              <w:jc w:val="left"/>
              <w:rPr>
                <w:rFonts w:hint="eastAsia" w:ascii="宋体" w:hAnsi="宋体" w:eastAsia="宋体" w:cs="宋体"/>
                <w:b w:val="0"/>
                <w:bCs/>
                <w:color w:val="auto"/>
                <w:sz w:val="21"/>
                <w:szCs w:val="21"/>
              </w:rPr>
            </w:pPr>
            <w:r>
              <w:rPr>
                <w:rFonts w:hint="eastAsia" w:ascii="宋体" w:hAnsi="宋体" w:eastAsia="宋体" w:cs="宋体"/>
                <w:bCs/>
                <w:sz w:val="21"/>
                <w:szCs w:val="21"/>
              </w:rPr>
              <w:t>有效容积≥200L</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sz w:val="21"/>
                <w:szCs w:val="21"/>
              </w:rPr>
              <w:t>1.2.3</w:t>
            </w:r>
          </w:p>
        </w:tc>
        <w:tc>
          <w:tcPr>
            <w:tcW w:w="3620" w:type="pct"/>
            <w:noWrap w:val="0"/>
            <w:vAlign w:val="top"/>
          </w:tcPr>
          <w:p>
            <w:pPr>
              <w:pStyle w:val="29"/>
              <w:rPr>
                <w:rFonts w:hint="eastAsia" w:ascii="宋体" w:hAnsi="宋体" w:eastAsia="宋体" w:cs="宋体"/>
                <w:b w:val="0"/>
                <w:bCs/>
                <w:color w:val="auto"/>
                <w:sz w:val="21"/>
                <w:szCs w:val="21"/>
              </w:rPr>
            </w:pPr>
            <w:r>
              <w:rPr>
                <w:rFonts w:hint="eastAsia" w:ascii="宋体" w:hAnsi="宋体" w:eastAsia="宋体" w:cs="宋体"/>
                <w:bCs/>
                <w:color w:val="auto"/>
                <w:kern w:val="2"/>
                <w:sz w:val="21"/>
                <w:szCs w:val="21"/>
              </w:rPr>
              <w:t>罐内压力：常压；夹套压力：0.25Mpa，罐内温度：≤100℃；夹套温度：≤135℃。</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sz w:val="21"/>
                <w:szCs w:val="21"/>
                <w:highlight w:val="none"/>
                <w:lang w:eastAsia="zh-CN"/>
              </w:rPr>
            </w:pPr>
            <w:r>
              <w:rPr>
                <w:rFonts w:hint="eastAsia" w:ascii="宋体" w:hAnsi="宋体" w:eastAsia="宋体" w:cs="宋体"/>
                <w:b/>
                <w:bCs/>
                <w:sz w:val="21"/>
                <w:szCs w:val="21"/>
              </w:rPr>
              <w:t>1.2.4</w:t>
            </w:r>
          </w:p>
        </w:tc>
        <w:tc>
          <w:tcPr>
            <w:tcW w:w="3620" w:type="pct"/>
            <w:noWrap w:val="0"/>
            <w:vAlign w:val="top"/>
          </w:tcPr>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容器内壁抛光处理，表面粗造度Ra≤0.45μm；外表面抛光处理，表面粗糙度Ra≤0.8μm。</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sz w:val="21"/>
                <w:szCs w:val="21"/>
                <w:highlight w:val="none"/>
                <w:lang w:eastAsia="zh-CN"/>
              </w:rPr>
            </w:pPr>
            <w:r>
              <w:rPr>
                <w:rFonts w:hint="eastAsia" w:ascii="宋体" w:hAnsi="宋体" w:eastAsia="宋体" w:cs="宋体"/>
                <w:b/>
                <w:bCs/>
                <w:sz w:val="21"/>
                <w:szCs w:val="21"/>
              </w:rPr>
              <w:t>1.2.5</w:t>
            </w:r>
          </w:p>
        </w:tc>
        <w:tc>
          <w:tcPr>
            <w:tcW w:w="3620" w:type="pct"/>
            <w:noWrap w:val="0"/>
            <w:vAlign w:val="top"/>
          </w:tcPr>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符合制药2010版GMP标准。</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z w:val="21"/>
                <w:szCs w:val="21"/>
              </w:rPr>
              <w:t>1.2.6</w:t>
            </w:r>
          </w:p>
        </w:tc>
        <w:tc>
          <w:tcPr>
            <w:tcW w:w="3620" w:type="pct"/>
            <w:noWrap w:val="0"/>
            <w:vAlign w:val="top"/>
          </w:tcPr>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冷凝器：换热面积≥4平方米</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z w:val="21"/>
                <w:szCs w:val="21"/>
              </w:rPr>
              <w:t>1.2.7</w:t>
            </w:r>
          </w:p>
        </w:tc>
        <w:tc>
          <w:tcPr>
            <w:tcW w:w="3620" w:type="pct"/>
            <w:noWrap w:val="0"/>
            <w:vAlign w:val="top"/>
          </w:tcPr>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油水分离器：管道视镜式，下倒锥，出液口呈倒U 字型结构。</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z w:val="21"/>
                <w:szCs w:val="21"/>
              </w:rPr>
              <w:t>1.2.8</w:t>
            </w:r>
          </w:p>
        </w:tc>
        <w:tc>
          <w:tcPr>
            <w:tcW w:w="3620" w:type="pct"/>
            <w:noWrap w:val="0"/>
            <w:vAlign w:val="top"/>
          </w:tcPr>
          <w:p>
            <w:pPr>
              <w:pStyle w:val="29"/>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低温真空浓缩器：工作压力：罐内极限真空度-0.095Mpa，</w:t>
            </w:r>
          </w:p>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夹套压力0.25Mpa；</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color w:val="000000"/>
                <w:sz w:val="21"/>
                <w:szCs w:val="21"/>
              </w:rPr>
              <w:t>★</w:t>
            </w:r>
            <w:r>
              <w:rPr>
                <w:rFonts w:hint="eastAsia" w:ascii="宋体" w:hAnsi="宋体" w:eastAsia="宋体" w:cs="宋体"/>
                <w:b/>
                <w:bCs/>
                <w:sz w:val="21"/>
                <w:szCs w:val="21"/>
              </w:rPr>
              <w:t>1.2.9</w:t>
            </w:r>
          </w:p>
        </w:tc>
        <w:tc>
          <w:tcPr>
            <w:tcW w:w="3620" w:type="pct"/>
            <w:noWrap w:val="0"/>
            <w:vAlign w:val="top"/>
          </w:tcPr>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容器内表面粗造度Ra≤0.45μm；外表面抛光处理，表面粗糙度Ra≤0.8μm。</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z w:val="21"/>
                <w:szCs w:val="21"/>
              </w:rPr>
              <w:t>1.3.0</w:t>
            </w:r>
          </w:p>
        </w:tc>
        <w:tc>
          <w:tcPr>
            <w:tcW w:w="3620" w:type="pct"/>
            <w:noWrap w:val="0"/>
            <w:vAlign w:val="top"/>
          </w:tcPr>
          <w:p>
            <w:pPr>
              <w:pStyle w:val="29"/>
              <w:rPr>
                <w:rFonts w:hint="eastAsia" w:ascii="宋体" w:hAnsi="宋体" w:eastAsia="宋体" w:cs="宋体"/>
                <w:b w:val="0"/>
                <w:bCs/>
                <w:color w:val="auto"/>
                <w:kern w:val="0"/>
                <w:sz w:val="21"/>
                <w:szCs w:val="21"/>
                <w:lang w:eastAsia="zh-CN"/>
              </w:rPr>
            </w:pPr>
            <w:r>
              <w:rPr>
                <w:rFonts w:hint="eastAsia" w:ascii="宋体" w:hAnsi="宋体" w:eastAsia="宋体" w:cs="宋体"/>
                <w:bCs/>
                <w:color w:val="auto"/>
                <w:kern w:val="2"/>
                <w:sz w:val="21"/>
                <w:szCs w:val="21"/>
              </w:rPr>
              <w:t>温度：75-85℃；浓缩比重1.1-1.35。</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sz w:val="21"/>
                <w:szCs w:val="21"/>
              </w:rPr>
              <w:t>二</w:t>
            </w:r>
          </w:p>
        </w:tc>
        <w:tc>
          <w:tcPr>
            <w:tcW w:w="3620" w:type="pct"/>
            <w:noWrap w:val="0"/>
            <w:vAlign w:val="center"/>
          </w:tcPr>
          <w:p>
            <w:pPr>
              <w:pStyle w:val="19"/>
              <w:ind w:left="0"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z w:val="21"/>
                <w:szCs w:val="21"/>
                <w:lang w:val="en-US" w:eastAsia="zh-CN"/>
              </w:rPr>
              <w:t>设备1</w:t>
            </w:r>
            <w:r>
              <w:rPr>
                <w:rFonts w:hint="eastAsia" w:ascii="宋体" w:hAnsi="宋体" w:eastAsia="宋体" w:cs="宋体"/>
                <w:b/>
                <w:sz w:val="21"/>
                <w:szCs w:val="21"/>
              </w:rPr>
              <w:t>配置</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color w:val="auto"/>
                <w:kern w:val="0"/>
                <w:sz w:val="21"/>
                <w:szCs w:val="21"/>
                <w:lang w:val="en-US" w:eastAsia="zh-CN" w:bidi="zh-CN"/>
              </w:rPr>
            </w:pPr>
            <w:r>
              <w:rPr>
                <w:rFonts w:hint="eastAsia" w:ascii="宋体" w:hAnsi="宋体" w:eastAsia="宋体" w:cs="宋体"/>
                <w:b w:val="0"/>
                <w:bCs/>
                <w:color w:val="auto"/>
                <w:kern w:val="0"/>
                <w:sz w:val="21"/>
                <w:szCs w:val="21"/>
                <w:lang w:val="en-US" w:eastAsia="zh-CN" w:bidi="zh-CN"/>
              </w:rPr>
              <w:t>2.1</w:t>
            </w:r>
          </w:p>
        </w:tc>
        <w:tc>
          <w:tcPr>
            <w:tcW w:w="3620" w:type="pct"/>
            <w:noWrap w:val="0"/>
            <w:vAlign w:val="center"/>
          </w:tcPr>
          <w:p>
            <w:pPr>
              <w:pStyle w:val="29"/>
              <w:rPr>
                <w:rFonts w:hint="eastAsia" w:ascii="宋体" w:hAnsi="宋体" w:eastAsia="宋体" w:cs="宋体"/>
                <w:b w:val="0"/>
                <w:bCs/>
                <w:color w:val="auto"/>
                <w:kern w:val="0"/>
                <w:sz w:val="21"/>
                <w:szCs w:val="21"/>
                <w:lang w:val="en-US" w:eastAsia="zh-CN" w:bidi="zh-CN"/>
              </w:rPr>
            </w:pPr>
            <w:r>
              <w:rPr>
                <w:rFonts w:hint="eastAsia" w:ascii="宋体" w:hAnsi="宋体" w:eastAsia="宋体" w:cs="宋体"/>
                <w:color w:val="auto"/>
                <w:sz w:val="21"/>
                <w:szCs w:val="21"/>
              </w:rPr>
              <w:t>多功能提取罐</w:t>
            </w:r>
            <w:r>
              <w:rPr>
                <w:rFonts w:hint="eastAsia" w:ascii="宋体" w:hAnsi="宋体" w:eastAsia="宋体" w:cs="宋体"/>
                <w:bCs/>
                <w:color w:val="auto"/>
                <w:sz w:val="21"/>
                <w:szCs w:val="21"/>
              </w:rPr>
              <w:t>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.2</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挥发油回收冷凝器</w:t>
            </w:r>
            <w:r>
              <w:rPr>
                <w:rFonts w:hint="eastAsia" w:ascii="宋体" w:hAnsi="宋体" w:eastAsia="宋体" w:cs="宋体"/>
                <w:bCs/>
                <w:color w:val="auto"/>
                <w:sz w:val="21"/>
                <w:szCs w:val="21"/>
              </w:rPr>
              <w:t>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低温真空浓缩器</w:t>
            </w:r>
            <w:r>
              <w:rPr>
                <w:rFonts w:hint="eastAsia" w:ascii="宋体" w:hAnsi="宋体" w:eastAsia="宋体" w:cs="宋体"/>
                <w:bCs/>
                <w:color w:val="auto"/>
                <w:sz w:val="21"/>
                <w:szCs w:val="21"/>
              </w:rPr>
              <w:t>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卫生泵一台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w:t>
            </w:r>
          </w:p>
        </w:tc>
        <w:tc>
          <w:tcPr>
            <w:tcW w:w="3620" w:type="pct"/>
            <w:noWrap w:val="0"/>
            <w:vAlign w:val="center"/>
          </w:tcPr>
          <w:p>
            <w:pPr>
              <w:pStyle w:val="2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rPr>
              <w:t>过滤器一台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2.6</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真空泵一台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2.7</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不锈钢架子一台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电控制箱一台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2.9</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内部连接阀门管道</w:t>
            </w:r>
            <w:r>
              <w:rPr>
                <w:rFonts w:hint="eastAsia" w:ascii="宋体" w:hAnsi="宋体" w:eastAsia="宋体" w:cs="宋体"/>
                <w:bCs/>
                <w:color w:val="auto"/>
                <w:sz w:val="21"/>
                <w:szCs w:val="21"/>
              </w:rPr>
              <w:t>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2.10</w:t>
            </w:r>
          </w:p>
        </w:tc>
        <w:tc>
          <w:tcPr>
            <w:tcW w:w="3620" w:type="pct"/>
            <w:noWrap w:val="0"/>
            <w:vAlign w:val="top"/>
          </w:tcPr>
          <w:p>
            <w:pPr>
              <w:pStyle w:val="29"/>
              <w:rPr>
                <w:rFonts w:hint="eastAsia" w:ascii="宋体" w:hAnsi="宋体" w:eastAsia="宋体" w:cs="宋体"/>
                <w:sz w:val="21"/>
                <w:szCs w:val="21"/>
              </w:rPr>
            </w:pPr>
            <w:r>
              <w:rPr>
                <w:rFonts w:hint="eastAsia" w:ascii="宋体" w:hAnsi="宋体" w:eastAsia="宋体" w:cs="宋体"/>
                <w:sz w:val="21"/>
                <w:szCs w:val="21"/>
              </w:rPr>
              <w:t>层析分离柱2台</w:t>
            </w:r>
          </w:p>
          <w:p>
            <w:pPr>
              <w:rPr>
                <w:rFonts w:hint="eastAsia" w:ascii="宋体" w:hAnsi="宋体" w:eastAsia="宋体" w:cs="宋体"/>
                <w:b w:val="0"/>
                <w:bCs w:val="0"/>
                <w:color w:val="auto"/>
                <w:kern w:val="2"/>
                <w:sz w:val="21"/>
                <w:szCs w:val="21"/>
                <w:highlight w:val="none"/>
                <w:lang w:val="en-US" w:eastAsia="zh-CN" w:bidi="ar-SA"/>
              </w:rPr>
            </w:pP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设备2</w:t>
            </w:r>
          </w:p>
        </w:tc>
        <w:tc>
          <w:tcPr>
            <w:tcW w:w="3620" w:type="pct"/>
            <w:noWrap w:val="0"/>
            <w:vAlign w:val="center"/>
          </w:tcPr>
          <w:p>
            <w:pPr>
              <w:widowControl/>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000000"/>
                <w:sz w:val="21"/>
                <w:szCs w:val="21"/>
                <w:lang w:bidi="ar"/>
              </w:rPr>
              <w:t>酶标仪</w:t>
            </w:r>
            <w:r>
              <w:rPr>
                <w:rFonts w:hint="eastAsia" w:ascii="宋体" w:hAnsi="宋体" w:eastAsia="宋体" w:cs="宋体"/>
                <w:b/>
                <w:bCs/>
                <w:color w:val="auto"/>
                <w:sz w:val="21"/>
                <w:szCs w:val="21"/>
                <w:lang w:bidi="ar"/>
              </w:rPr>
              <w:t>技术</w:t>
            </w:r>
            <w:r>
              <w:rPr>
                <w:rFonts w:hint="eastAsia" w:ascii="宋体" w:hAnsi="宋体" w:eastAsia="宋体" w:cs="宋体"/>
                <w:b/>
                <w:bCs/>
                <w:color w:val="000000"/>
                <w:sz w:val="21"/>
                <w:szCs w:val="21"/>
                <w:lang w:bidi="ar"/>
              </w:rPr>
              <w:t>参数要求</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1.1</w:t>
            </w:r>
          </w:p>
        </w:tc>
        <w:tc>
          <w:tcPr>
            <w:tcW w:w="3620" w:type="pct"/>
            <w:noWrap w:val="0"/>
            <w:vAlign w:val="top"/>
          </w:tcPr>
          <w:p>
            <w:pPr>
              <w:pStyle w:val="19"/>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用途：蛋白定量、细胞活力、农药残留、各种 ELISA 实验</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1.2</w:t>
            </w:r>
          </w:p>
        </w:tc>
        <w:tc>
          <w:tcPr>
            <w:tcW w:w="3620" w:type="pct"/>
            <w:noWrap w:val="0"/>
            <w:vAlign w:val="center"/>
          </w:tcPr>
          <w:p>
            <w:pPr>
              <w:widowControl/>
              <w:spacing w:line="360" w:lineRule="auto"/>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
                <w:sz w:val="21"/>
                <w:szCs w:val="21"/>
              </w:rPr>
              <w:t>主要技术规格及系统概述：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1.2.2</w:t>
            </w:r>
          </w:p>
        </w:tc>
        <w:tc>
          <w:tcPr>
            <w:tcW w:w="3620" w:type="pct"/>
            <w:noWrap w:val="0"/>
            <w:vAlign w:val="top"/>
          </w:tcPr>
          <w:p>
            <w:pPr>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光源：卤素灯（带寿命自动侦测功能）</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1.2.3</w:t>
            </w:r>
          </w:p>
        </w:tc>
        <w:tc>
          <w:tcPr>
            <w:tcW w:w="3620" w:type="pct"/>
            <w:noWrap w:val="0"/>
            <w:vAlign w:val="top"/>
          </w:tcPr>
          <w:p>
            <w:pPr>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波长范围：400-750nm</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1.2.4</w:t>
            </w:r>
          </w:p>
        </w:tc>
        <w:tc>
          <w:tcPr>
            <w:tcW w:w="3620" w:type="pct"/>
            <w:noWrap w:val="0"/>
            <w:vAlign w:val="top"/>
          </w:tcPr>
          <w:p>
            <w:pPr>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OD 分辨率：≤ 0.001</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1.2.5</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黑白盘：Min OD &gt; 3.9</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1.2.6</w:t>
            </w:r>
          </w:p>
        </w:tc>
        <w:tc>
          <w:tcPr>
            <w:tcW w:w="3620" w:type="pct"/>
            <w:noWrap w:val="0"/>
            <w:vAlign w:val="top"/>
          </w:tcPr>
          <w:p>
            <w:pPr>
              <w:autoSpaceDE w:val="0"/>
              <w:autoSpaceDN w:val="0"/>
              <w:adjustRightInd w:val="0"/>
              <w:jc w:val="left"/>
              <w:rPr>
                <w:rFonts w:hint="eastAsia" w:ascii="宋体" w:hAnsi="宋体" w:eastAsia="宋体" w:cs="宋体"/>
                <w:bCs/>
                <w:sz w:val="21"/>
                <w:szCs w:val="21"/>
              </w:rPr>
            </w:pPr>
            <w:r>
              <w:rPr>
                <w:rFonts w:hint="eastAsia" w:ascii="宋体" w:hAnsi="宋体" w:eastAsia="宋体" w:cs="宋体"/>
                <w:bCs/>
                <w:sz w:val="21"/>
                <w:szCs w:val="21"/>
              </w:rPr>
              <w:t>OD 准确度：0.000-2.000 OD ≤ ± (1.0% + 0.010 OD);</w:t>
            </w:r>
          </w:p>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2.000-3.000 OD ≤ ± (2.0% + 0.010 OD)</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eastAsia="宋体" w:cs="宋体"/>
                <w:b/>
                <w:bCs/>
                <w:sz w:val="21"/>
                <w:szCs w:val="21"/>
              </w:rPr>
              <w:t>1.2.7</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OD 线性度：0.000 OD-2.500 OD &lt;1%</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1.2.8</w:t>
            </w:r>
          </w:p>
        </w:tc>
        <w:tc>
          <w:tcPr>
            <w:tcW w:w="3620" w:type="pct"/>
            <w:noWrap w:val="0"/>
            <w:vAlign w:val="top"/>
          </w:tcPr>
          <w:p>
            <w:pPr>
              <w:autoSpaceDE w:val="0"/>
              <w:autoSpaceDN w:val="0"/>
              <w:adjustRightInd w:val="0"/>
              <w:jc w:val="left"/>
              <w:rPr>
                <w:rFonts w:hint="eastAsia" w:ascii="宋体" w:hAnsi="宋体" w:eastAsia="宋体" w:cs="宋体"/>
                <w:bCs/>
                <w:sz w:val="21"/>
                <w:szCs w:val="21"/>
              </w:rPr>
            </w:pPr>
            <w:r>
              <w:rPr>
                <w:rFonts w:hint="eastAsia" w:ascii="宋体" w:hAnsi="宋体" w:eastAsia="宋体" w:cs="宋体"/>
                <w:bCs/>
                <w:sz w:val="21"/>
                <w:szCs w:val="21"/>
              </w:rPr>
              <w:t>OD 精确度：0.000 OD-2.500 OD &lt;0.5%</w:t>
            </w:r>
          </w:p>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2.500 OD-4.000 OD &lt;1.5%</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eastAsia="宋体" w:cs="宋体"/>
                <w:b/>
                <w:bCs/>
                <w:sz w:val="21"/>
                <w:szCs w:val="21"/>
              </w:rPr>
              <w:t>1.2.9</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通道差异：&lt; 1.5%, 1 OD</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1.2.10</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检测通道数：≥8</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bCs/>
                <w:color w:val="000000"/>
                <w:sz w:val="21"/>
                <w:szCs w:val="21"/>
                <w:lang w:val="en-US" w:eastAsia="zh-CN" w:bidi="ar"/>
              </w:rPr>
            </w:pPr>
            <w:r>
              <w:rPr>
                <w:rFonts w:hint="eastAsia" w:ascii="宋体" w:hAnsi="宋体" w:eastAsia="宋体" w:cs="宋体"/>
                <w:b/>
                <w:bCs/>
                <w:sz w:val="21"/>
                <w:szCs w:val="21"/>
              </w:rPr>
              <w:t>1.2.11</w:t>
            </w:r>
          </w:p>
        </w:tc>
        <w:tc>
          <w:tcPr>
            <w:tcW w:w="3620" w:type="pct"/>
            <w:noWrap w:val="0"/>
            <w:vAlign w:val="top"/>
          </w:tcPr>
          <w:p>
            <w:pPr>
              <w:pStyle w:val="19"/>
              <w:ind w:left="521" w:leftChars="0" w:firstLine="0" w:firstLineChars="0"/>
              <w:rPr>
                <w:rFonts w:hint="eastAsia" w:ascii="宋体" w:hAnsi="宋体" w:eastAsia="宋体" w:cs="宋体"/>
                <w:b/>
                <w:bCs/>
                <w:color w:val="000000"/>
                <w:sz w:val="21"/>
                <w:szCs w:val="21"/>
                <w:lang w:eastAsia="zh-CN" w:bidi="ar"/>
              </w:rPr>
            </w:pPr>
            <w:r>
              <w:rPr>
                <w:rFonts w:hint="eastAsia" w:ascii="宋体" w:hAnsi="宋体" w:eastAsia="宋体" w:cs="宋体"/>
                <w:bCs/>
                <w:sz w:val="21"/>
                <w:szCs w:val="21"/>
              </w:rPr>
              <w:t>测读模式：终点法和动力学法</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1.2.12</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振荡：线性（高、中、低）</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eastAsia="宋体" w:cs="宋体"/>
                <w:b/>
                <w:bCs/>
                <w:sz w:val="21"/>
                <w:szCs w:val="21"/>
              </w:rPr>
              <w:t>1.2.13</w:t>
            </w:r>
          </w:p>
        </w:tc>
        <w:tc>
          <w:tcPr>
            <w:tcW w:w="3620" w:type="pct"/>
            <w:noWrap w:val="0"/>
            <w:vAlign w:val="top"/>
          </w:tcPr>
          <w:p>
            <w:pPr>
              <w:autoSpaceDE w:val="0"/>
              <w:autoSpaceDN w:val="0"/>
              <w:adjustRightInd w:val="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sz w:val="21"/>
                <w:szCs w:val="21"/>
              </w:rPr>
              <w:t>读板速度：单波长: &lt; 8 s、双波长: &lt; 15 s</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1.2.14</w:t>
            </w:r>
          </w:p>
        </w:tc>
        <w:tc>
          <w:tcPr>
            <w:tcW w:w="3620" w:type="pct"/>
            <w:noWrap w:val="0"/>
            <w:vAlign w:val="top"/>
          </w:tcPr>
          <w:p>
            <w:pPr>
              <w:pStyle w:val="19"/>
              <w:ind w:left="521" w:leftChars="0" w:firstLine="0" w:firstLineChars="0"/>
              <w:rPr>
                <w:rFonts w:hint="eastAsia" w:ascii="宋体" w:hAnsi="宋体" w:eastAsia="宋体" w:cs="宋体"/>
                <w:b w:val="0"/>
                <w:bCs w:val="0"/>
                <w:color w:val="auto"/>
                <w:spacing w:val="-1"/>
                <w:sz w:val="21"/>
                <w:szCs w:val="21"/>
                <w:lang w:val="en-US" w:eastAsia="zh-CN"/>
              </w:rPr>
            </w:pPr>
            <w:r>
              <w:rPr>
                <w:rFonts w:hint="eastAsia" w:ascii="宋体" w:hAnsi="宋体" w:eastAsia="宋体" w:cs="宋体"/>
                <w:bCs/>
                <w:sz w:val="21"/>
                <w:szCs w:val="21"/>
              </w:rPr>
              <w:t>滤光片配置：405 nm、450 nm、492 nm、630 nm、562 nm、595 nm</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1.2.15</w:t>
            </w:r>
          </w:p>
        </w:tc>
        <w:tc>
          <w:tcPr>
            <w:tcW w:w="3620" w:type="pct"/>
            <w:noWrap w:val="0"/>
            <w:vAlign w:val="top"/>
          </w:tcPr>
          <w:p>
            <w:pPr>
              <w:pStyle w:val="19"/>
              <w:ind w:left="521" w:leftChars="0" w:firstLine="0" w:firstLineChars="0"/>
              <w:rPr>
                <w:rFonts w:hint="eastAsia" w:ascii="宋体" w:hAnsi="宋体" w:eastAsia="宋体" w:cs="宋体"/>
                <w:b w:val="0"/>
                <w:bCs w:val="0"/>
                <w:color w:val="auto"/>
                <w:spacing w:val="-1"/>
                <w:sz w:val="21"/>
                <w:szCs w:val="21"/>
                <w:lang w:val="en-US" w:eastAsia="zh-CN"/>
              </w:rPr>
            </w:pPr>
            <w:r>
              <w:rPr>
                <w:rFonts w:hint="eastAsia" w:ascii="宋体" w:hAnsi="宋体" w:eastAsia="宋体" w:cs="宋体"/>
                <w:bCs/>
                <w:sz w:val="21"/>
                <w:szCs w:val="21"/>
              </w:rPr>
              <w:t>软件：中文操作软件</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二</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pacing w:val="-1"/>
                <w:sz w:val="21"/>
                <w:szCs w:val="21"/>
                <w:lang w:val="en-US" w:eastAsia="zh-CN"/>
              </w:rPr>
            </w:pPr>
            <w:r>
              <w:rPr>
                <w:rFonts w:hint="eastAsia" w:ascii="宋体" w:hAnsi="宋体" w:eastAsia="宋体" w:cs="宋体"/>
                <w:b/>
                <w:bCs/>
                <w:sz w:val="21"/>
                <w:szCs w:val="21"/>
                <w:lang w:val="en-US" w:eastAsia="zh-CN"/>
              </w:rPr>
              <w:t>设备2</w:t>
            </w:r>
            <w:r>
              <w:rPr>
                <w:rFonts w:hint="eastAsia" w:ascii="宋体" w:hAnsi="宋体" w:eastAsia="宋体" w:cs="宋体"/>
                <w:b/>
                <w:sz w:val="21"/>
                <w:szCs w:val="21"/>
              </w:rPr>
              <w:t>配置</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spacing w:val="-1"/>
                <w:sz w:val="21"/>
                <w:szCs w:val="21"/>
                <w:lang w:val="en-US" w:eastAsia="zh-CN"/>
              </w:rPr>
            </w:pPr>
            <w:r>
              <w:rPr>
                <w:rFonts w:hint="eastAsia" w:ascii="宋体" w:hAnsi="宋体" w:eastAsia="宋体" w:cs="宋体"/>
                <w:bCs/>
                <w:color w:val="auto"/>
                <w:sz w:val="21"/>
                <w:szCs w:val="21"/>
              </w:rPr>
              <w:t>酶标仪主机一套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lang w:val="en-US" w:eastAsia="zh-CN"/>
              </w:rPr>
              <w:t>2.2</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配套随机资料一套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设备3</w:t>
            </w:r>
          </w:p>
        </w:tc>
        <w:tc>
          <w:tcPr>
            <w:tcW w:w="3620" w:type="pct"/>
            <w:noWrap w:val="0"/>
            <w:vAlign w:val="center"/>
          </w:tcPr>
          <w:p>
            <w:pPr>
              <w:widowControl/>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000000"/>
                <w:sz w:val="21"/>
                <w:szCs w:val="21"/>
                <w:lang w:bidi="ar"/>
              </w:rPr>
              <w:t>漩涡振荡仪技术参数要求</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1.1</w:t>
            </w:r>
          </w:p>
        </w:tc>
        <w:tc>
          <w:tcPr>
            <w:tcW w:w="3620" w:type="pct"/>
            <w:noWrap w:val="0"/>
            <w:vAlign w:val="top"/>
          </w:tcPr>
          <w:p>
            <w:pPr>
              <w:pStyle w:val="19"/>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用途：</w:t>
            </w:r>
            <w:r>
              <w:rPr>
                <w:rFonts w:hint="eastAsia" w:ascii="宋体" w:hAnsi="宋体" w:eastAsia="宋体" w:cs="宋体"/>
                <w:color w:val="333333"/>
                <w:sz w:val="21"/>
                <w:szCs w:val="21"/>
                <w:shd w:val="clear" w:color="auto" w:fill="FFFFFF"/>
              </w:rPr>
              <w:t>混合液体、粉末等</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1.2</w:t>
            </w:r>
          </w:p>
        </w:tc>
        <w:tc>
          <w:tcPr>
            <w:tcW w:w="3620"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主要技术规格及系统概述：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462"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000000"/>
                <w:sz w:val="21"/>
                <w:szCs w:val="21"/>
              </w:rPr>
              <w:t>▲</w:t>
            </w:r>
            <w:r>
              <w:rPr>
                <w:rFonts w:hint="eastAsia" w:ascii="宋体" w:hAnsi="宋体" w:eastAsia="宋体" w:cs="宋体"/>
                <w:b/>
                <w:bCs/>
                <w:sz w:val="21"/>
                <w:szCs w:val="21"/>
              </w:rPr>
              <w:t>1.2.2</w:t>
            </w:r>
          </w:p>
        </w:tc>
        <w:tc>
          <w:tcPr>
            <w:tcW w:w="3620" w:type="pct"/>
            <w:noWrap w:val="0"/>
            <w:vAlign w:val="top"/>
          </w:tcPr>
          <w:p>
            <w:pPr>
              <w:pStyle w:val="19"/>
              <w:widowControl/>
              <w:spacing w:after="200" w:line="276" w:lineRule="auto"/>
              <w:ind w:left="0" w:leftChars="0" w:firstLine="0" w:firstLineChars="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转速范围：10-2800转</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626"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1.2.3</w:t>
            </w:r>
          </w:p>
        </w:tc>
        <w:tc>
          <w:tcPr>
            <w:tcW w:w="3620" w:type="pct"/>
            <w:noWrap w:val="0"/>
            <w:vAlign w:val="top"/>
          </w:tcPr>
          <w:p>
            <w:pPr>
              <w:pStyle w:val="19"/>
              <w:widowControl/>
              <w:spacing w:after="200" w:line="276" w:lineRule="auto"/>
              <w:ind w:left="521" w:leftChars="0" w:firstLine="0" w:firstLineChars="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速度控制：无极调控</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1.2.4</w:t>
            </w:r>
          </w:p>
        </w:tc>
        <w:tc>
          <w:tcPr>
            <w:tcW w:w="3620" w:type="pct"/>
            <w:noWrap w:val="0"/>
            <w:vAlign w:val="top"/>
          </w:tcPr>
          <w:p>
            <w:pPr>
              <w:pStyle w:val="19"/>
              <w:widowControl/>
              <w:spacing w:after="200" w:line="276" w:lineRule="auto"/>
              <w:ind w:left="521" w:leftChars="0" w:firstLine="0" w:firstLineChars="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工作方式：连续、点触、调控</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1.2.5</w:t>
            </w:r>
          </w:p>
        </w:tc>
        <w:tc>
          <w:tcPr>
            <w:tcW w:w="3620" w:type="pct"/>
            <w:noWrap w:val="0"/>
            <w:vAlign w:val="top"/>
          </w:tcPr>
          <w:p>
            <w:pPr>
              <w:pStyle w:val="19"/>
              <w:widowControl/>
              <w:spacing w:after="200" w:line="276" w:lineRule="auto"/>
              <w:ind w:left="521" w:leftChars="0" w:firstLine="0" w:firstLineChars="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工作台：碗型、平板型可调换</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color w:val="auto"/>
                <w:sz w:val="21"/>
                <w:szCs w:val="21"/>
              </w:rPr>
              <w:t>二</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lang w:val="en-US" w:eastAsia="zh-CN"/>
              </w:rPr>
              <w:t>设备3</w:t>
            </w:r>
            <w:r>
              <w:rPr>
                <w:rFonts w:hint="eastAsia" w:ascii="宋体" w:hAnsi="宋体" w:eastAsia="宋体" w:cs="宋体"/>
                <w:b/>
                <w:color w:val="auto"/>
                <w:sz w:val="21"/>
                <w:szCs w:val="21"/>
              </w:rPr>
              <w:t>配置</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1、</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漩涡振荡仪主机一套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2</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sz w:val="21"/>
                <w:szCs w:val="21"/>
                <w:shd w:val="clear" w:color="auto" w:fill="FFFFFF"/>
                <w:lang w:val="en-US" w:eastAsia="zh-CN"/>
              </w:rPr>
            </w:pPr>
            <w:r>
              <w:rPr>
                <w:rFonts w:hint="eastAsia" w:ascii="宋体" w:hAnsi="宋体" w:eastAsia="宋体" w:cs="宋体"/>
                <w:bCs/>
                <w:color w:val="auto"/>
                <w:sz w:val="21"/>
                <w:szCs w:val="21"/>
              </w:rPr>
              <w:t>随机资料一份</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rPr>
              <w:t>三</w:t>
            </w:r>
          </w:p>
        </w:tc>
        <w:tc>
          <w:tcPr>
            <w:tcW w:w="3620" w:type="pct"/>
            <w:noWrap w:val="0"/>
            <w:vAlign w:val="center"/>
          </w:tcPr>
          <w:p>
            <w:pPr>
              <w:pStyle w:val="19"/>
              <w:ind w:firstLine="0" w:firstLineChars="0"/>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rPr>
              <w:t>其他</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投标产品验收合格后保修≥</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年，投标时提供制造商原厂保修证明。整机终生免费提供软件功能升级服务，并及时提供设备新功能和临床应用的资料。零配件在该设备停产后仍需保证10年的供应。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合同签订后45天内到货，货物必须是</w:t>
            </w:r>
            <w:r>
              <w:rPr>
                <w:rFonts w:hint="eastAsia" w:ascii="宋体" w:hAnsi="宋体" w:eastAsia="宋体" w:cs="宋体"/>
                <w:b w:val="0"/>
                <w:bCs w:val="0"/>
                <w:color w:val="auto"/>
                <w:sz w:val="21"/>
                <w:szCs w:val="21"/>
                <w:highlight w:val="none"/>
                <w:lang w:eastAsia="zh-CN"/>
              </w:rPr>
              <w:t>距投标日</w:t>
            </w:r>
            <w:r>
              <w:rPr>
                <w:rFonts w:hint="eastAsia" w:ascii="宋体" w:hAnsi="宋体" w:eastAsia="宋体" w:cs="宋体"/>
                <w:b w:val="0"/>
                <w:bCs w:val="0"/>
                <w:color w:val="auto"/>
                <w:sz w:val="21"/>
                <w:szCs w:val="21"/>
                <w:highlight w:val="none"/>
                <w:lang w:val="en-US" w:eastAsia="zh-CN"/>
              </w:rPr>
              <w:t>10个月内</w:t>
            </w:r>
            <w:r>
              <w:rPr>
                <w:rFonts w:hint="eastAsia" w:ascii="宋体" w:hAnsi="宋体" w:eastAsia="宋体" w:cs="宋体"/>
                <w:b w:val="0"/>
                <w:bCs w:val="0"/>
                <w:color w:val="auto"/>
                <w:sz w:val="21"/>
                <w:szCs w:val="21"/>
                <w:highlight w:val="none"/>
              </w:rPr>
              <w:t>生产。</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投标产品使用寿命≥</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年，投标时须提供证明材料（依据注册证或说明书或产品铭牌照片）</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6</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7</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p>
            <w:pPr>
              <w:pStyle w:val="19"/>
              <w:ind w:firstLine="0" w:firstLineChars="0"/>
              <w:jc w:val="left"/>
              <w:rPr>
                <w:rFonts w:hint="eastAsia" w:ascii="宋体" w:hAnsi="宋体" w:eastAsia="宋体" w:cs="宋体"/>
                <w:b w:val="0"/>
                <w:bCs w:val="0"/>
                <w:color w:val="auto"/>
                <w:kern w:val="2"/>
                <w:sz w:val="21"/>
                <w:szCs w:val="21"/>
                <w:lang w:val="en-US" w:eastAsia="zh-CN" w:bidi="ar-SA"/>
              </w:rPr>
            </w:pP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质保期内每年每套设备故障率均不得超过14天，每超过一天该设备质保期相应延长10天。</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9</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提供原厂DATASHEET</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设备安装、调试</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安装地点：采购单位指定位置。</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安装人员：应由中标方有三台以上（含）同类型设备安装经验的原厂工程师负责安装。</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培训</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11.1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11.2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中标方应对买方的操作人员进行培训并承担所有费用。</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11.3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验收</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投标方在投标时应提供设备的验收标准、安装技术规范，供买方参考。</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验收依据：按投标文件、招标文件及国家标准验收。</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验收时，投标人提供下列资料：</w:t>
            </w:r>
          </w:p>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提供三证，完整的中英文技术资料，包括操作手册</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12.6</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所有验收相关费用由产品中标方负担</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付款方式和条件</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13.1</w:t>
            </w:r>
          </w:p>
        </w:tc>
        <w:tc>
          <w:tcPr>
            <w:tcW w:w="3620" w:type="pct"/>
            <w:noWrap w:val="0"/>
            <w:vAlign w:val="center"/>
          </w:tcPr>
          <w:p>
            <w:pPr>
              <w:ind w:right="-21" w:rightChars="-10"/>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付款方式：对经评审小组按招标文件规定认定为中小微企业的，合同签订并通知中标方发货之日起7个工作日内，支付全部货款的40%作为预付款。剩余全部货款的60%在项目全部验收合格并收到中标人发票后的7个工作日内支付给中标人。</w:t>
            </w:r>
          </w:p>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highlight w:val="none"/>
                <w:lang w:val="zh-CN" w:eastAsia="zh-CN" w:bidi="ar-SA"/>
              </w:rPr>
              <w:t>对非中小微企业中标的，项目全部货款在项目全部验收合格并收到中标人发票后的7个工作日内支付给中标人。</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13.2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投标商按合同开具多张发票的，额度应大于等于投标单台设备价格，且发票号需连续不中断。</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延期交货罚款：延期交货每7天，按合同总价的0.5%支付迟交违约金，不足7天按7天计，依次累计，最高罚款为合同总价的5%。</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保密：招投标及合同中凡涉及买方项目的有关信息，不得透露给第三方。</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16</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货物购销合同签订的同时，双方须签订廉洁购销合同</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tbl>
      <w:tblPr>
        <w:tblStyle w:val="11"/>
        <w:tblpPr w:leftFromText="180" w:rightFromText="180" w:vertAnchor="text" w:horzAnchor="page" w:tblpX="1259" w:tblpY="464"/>
        <w:tblOverlap w:val="never"/>
        <w:tblW w:w="936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3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评定项目</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4945" w:type="dxa"/>
            <w:noWrap w:val="0"/>
            <w:vAlign w:val="center"/>
          </w:tcPr>
          <w:p>
            <w:pPr>
              <w:ind w:left="105" w:leftChars="50" w:right="10" w:rightChars="5"/>
              <w:jc w:val="center"/>
              <w:rPr>
                <w:rFonts w:hint="eastAsia" w:ascii="宋体" w:hAnsi="宋体" w:eastAsia="宋体" w:cs="宋体"/>
                <w:sz w:val="21"/>
                <w:szCs w:val="21"/>
              </w:rPr>
            </w:pPr>
            <w:r>
              <w:rPr>
                <w:rFonts w:hint="eastAsia" w:ascii="宋体" w:hAnsi="宋体" w:eastAsia="宋体" w:cs="宋体"/>
                <w:sz w:val="21"/>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对应于招标文件设备技术规格及配置的偏离度</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35</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color w:val="auto"/>
                <w:sz w:val="21"/>
                <w:szCs w:val="21"/>
                <w:highlight w:val="none"/>
              </w:rPr>
              <w:t>与招标文件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货物技术规格及配置、商务要求对比，一项指标负偏离扣1分，标注★的指标</w:t>
            </w:r>
            <w:r>
              <w:rPr>
                <w:rFonts w:hint="eastAsia" w:ascii="宋体" w:hAnsi="宋体" w:eastAsia="宋体" w:cs="宋体"/>
                <w:color w:val="auto"/>
                <w:sz w:val="21"/>
                <w:szCs w:val="21"/>
                <w:highlight w:val="none"/>
                <w:lang w:eastAsia="zh-CN"/>
              </w:rPr>
              <w:t>负</w:t>
            </w:r>
            <w:r>
              <w:rPr>
                <w:rFonts w:hint="eastAsia" w:ascii="宋体" w:hAnsi="宋体" w:eastAsia="宋体" w:cs="宋体"/>
                <w:color w:val="auto"/>
                <w:sz w:val="21"/>
                <w:szCs w:val="21"/>
                <w:highlight w:val="none"/>
              </w:rPr>
              <w:t>偏离每项扣4分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投标设备配套的合理性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投标设备技术指标的先进性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投标机型的档次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运行成本</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保修服务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lang w:eastAsia="zh-CN"/>
              </w:rPr>
              <w:t>设备</w:t>
            </w:r>
            <w:r>
              <w:rPr>
                <w:rFonts w:hint="eastAsia" w:ascii="宋体" w:hAnsi="宋体" w:eastAsia="宋体" w:cs="宋体"/>
                <w:sz w:val="21"/>
                <w:szCs w:val="21"/>
              </w:rPr>
              <w:t>保修期超过招标文件要求的，每增加1年加1分</w:t>
            </w:r>
            <w:r>
              <w:rPr>
                <w:rFonts w:hint="eastAsia" w:ascii="宋体" w:hAnsi="宋体" w:eastAsia="宋体" w:cs="宋体"/>
                <w:sz w:val="21"/>
                <w:szCs w:val="21"/>
                <w:lang w:val="en-US" w:eastAsia="zh-CN"/>
              </w:rPr>
              <w:t>，</w:t>
            </w:r>
            <w:r>
              <w:rPr>
                <w:rFonts w:hint="eastAsia" w:ascii="宋体" w:hAnsi="宋体" w:eastAsia="宋体" w:cs="宋体"/>
                <w:sz w:val="21"/>
                <w:szCs w:val="21"/>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投标产品总体质量性能</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市场占有率</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温州市或浙江省内</w:t>
            </w:r>
            <w:r>
              <w:rPr>
                <w:rFonts w:hint="eastAsia" w:ascii="宋体" w:hAnsi="宋体" w:eastAsia="宋体" w:cs="宋体"/>
                <w:sz w:val="21"/>
                <w:szCs w:val="21"/>
              </w:rPr>
              <w:t>20</w:t>
            </w:r>
            <w:r>
              <w:rPr>
                <w:rFonts w:hint="eastAsia" w:ascii="宋体" w:hAnsi="宋体" w:eastAsia="宋体" w:cs="宋体"/>
                <w:sz w:val="21"/>
                <w:szCs w:val="21"/>
                <w:lang w:val="en-US" w:eastAsia="zh-CN"/>
              </w:rPr>
              <w:t>19</w:t>
            </w:r>
            <w:r>
              <w:rPr>
                <w:rFonts w:hint="eastAsia" w:ascii="宋体" w:hAnsi="宋体" w:eastAsia="宋体" w:cs="宋体"/>
                <w:sz w:val="21"/>
                <w:szCs w:val="21"/>
              </w:rPr>
              <w:t>年1月1日起至今与最终用户签订的投标机型合同复印件，每份有效合同得</w:t>
            </w:r>
            <w:r>
              <w:rPr>
                <w:rFonts w:hint="eastAsia" w:ascii="宋体" w:hAnsi="宋体" w:eastAsia="宋体" w:cs="宋体"/>
                <w:sz w:val="21"/>
                <w:szCs w:val="21"/>
                <w:lang w:val="en-US" w:eastAsia="zh-CN"/>
              </w:rPr>
              <w:t>1</w:t>
            </w:r>
            <w:r>
              <w:rPr>
                <w:rFonts w:hint="eastAsia" w:ascii="宋体" w:hAnsi="宋体" w:eastAsia="宋体" w:cs="宋体"/>
                <w:sz w:val="21"/>
                <w:szCs w:val="21"/>
              </w:rPr>
              <w:t>分，最多</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制造商或代理商的售后服务和维修能力</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945"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制造商或代理商的售后服务和维修能力，服务响应速度、服务人员水平、备品备件配置等综合评价。</w:t>
            </w:r>
            <w:r>
              <w:rPr>
                <w:rFonts w:hint="eastAsia" w:ascii="宋体" w:hAnsi="宋体" w:eastAsia="宋体" w:cs="宋体"/>
                <w:sz w:val="21"/>
                <w:szCs w:val="21"/>
                <w:lang w:eastAsia="zh-CN"/>
              </w:rPr>
              <w:t>（厂家在温州市或者浙江省内有常驻维修服务点和维修工程师得</w:t>
            </w:r>
            <w:r>
              <w:rPr>
                <w:rFonts w:hint="eastAsia" w:ascii="宋体" w:hAnsi="宋体" w:eastAsia="宋体" w:cs="宋体"/>
                <w:sz w:val="21"/>
                <w:szCs w:val="21"/>
                <w:lang w:val="en-US" w:eastAsia="zh-CN"/>
              </w:rPr>
              <w:t>1分，代理商有维修服务人员得1分，承诺接用户报修后二十四小时内维修人员能到场维修的得1分</w:t>
            </w:r>
          </w:p>
        </w:tc>
      </w:tr>
    </w:tbl>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9"/>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10"/>
        <w:rPr>
          <w:rFonts w:hint="eastAsia"/>
          <w:sz w:val="30"/>
          <w:szCs w:val="30"/>
        </w:rPr>
      </w:pPr>
    </w:p>
    <w:p>
      <w:pPr>
        <w:pStyle w:val="10"/>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5"/>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5"/>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5"/>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5"/>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5"/>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2"/>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2"/>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2"/>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5"/>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5"/>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5"/>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5"/>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64F84"/>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4E4480"/>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0F9D510C"/>
    <w:rsid w:val="10827943"/>
    <w:rsid w:val="109B7C74"/>
    <w:rsid w:val="11D15B1C"/>
    <w:rsid w:val="11D56F8A"/>
    <w:rsid w:val="12531874"/>
    <w:rsid w:val="129A029D"/>
    <w:rsid w:val="12C9410A"/>
    <w:rsid w:val="14C02644"/>
    <w:rsid w:val="157B401A"/>
    <w:rsid w:val="165B3C1A"/>
    <w:rsid w:val="17051824"/>
    <w:rsid w:val="17453125"/>
    <w:rsid w:val="182217CF"/>
    <w:rsid w:val="184F31D7"/>
    <w:rsid w:val="19915A12"/>
    <w:rsid w:val="1A2E6DE6"/>
    <w:rsid w:val="1B1A668B"/>
    <w:rsid w:val="1D4821A9"/>
    <w:rsid w:val="202B56B1"/>
    <w:rsid w:val="22723315"/>
    <w:rsid w:val="22CF7097"/>
    <w:rsid w:val="232E51F6"/>
    <w:rsid w:val="23705E06"/>
    <w:rsid w:val="23884864"/>
    <w:rsid w:val="24C52651"/>
    <w:rsid w:val="27E45486"/>
    <w:rsid w:val="28DD687E"/>
    <w:rsid w:val="2B057E38"/>
    <w:rsid w:val="2BA52826"/>
    <w:rsid w:val="2C067BF9"/>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7C66C9B"/>
    <w:rsid w:val="3877509F"/>
    <w:rsid w:val="397306B8"/>
    <w:rsid w:val="39BD6D12"/>
    <w:rsid w:val="3BB420F5"/>
    <w:rsid w:val="3DB75172"/>
    <w:rsid w:val="3F1B3C4A"/>
    <w:rsid w:val="402E62DF"/>
    <w:rsid w:val="402F4957"/>
    <w:rsid w:val="405108FA"/>
    <w:rsid w:val="40751336"/>
    <w:rsid w:val="411B386E"/>
    <w:rsid w:val="4136403A"/>
    <w:rsid w:val="41EF774F"/>
    <w:rsid w:val="42660058"/>
    <w:rsid w:val="43824C1A"/>
    <w:rsid w:val="43A157C9"/>
    <w:rsid w:val="447334B4"/>
    <w:rsid w:val="449C5243"/>
    <w:rsid w:val="449E2D2B"/>
    <w:rsid w:val="44BD4863"/>
    <w:rsid w:val="458A740C"/>
    <w:rsid w:val="46094A05"/>
    <w:rsid w:val="460A3EB2"/>
    <w:rsid w:val="477517FF"/>
    <w:rsid w:val="479F5F87"/>
    <w:rsid w:val="47C3208F"/>
    <w:rsid w:val="497E50E4"/>
    <w:rsid w:val="49CC2349"/>
    <w:rsid w:val="4A254910"/>
    <w:rsid w:val="4AA864D5"/>
    <w:rsid w:val="4B956476"/>
    <w:rsid w:val="4CBE1552"/>
    <w:rsid w:val="4D272911"/>
    <w:rsid w:val="4D3D3121"/>
    <w:rsid w:val="4DCB17F7"/>
    <w:rsid w:val="4E281672"/>
    <w:rsid w:val="4ED83989"/>
    <w:rsid w:val="5105209D"/>
    <w:rsid w:val="5273518F"/>
    <w:rsid w:val="529E0326"/>
    <w:rsid w:val="53423D16"/>
    <w:rsid w:val="534B0A6F"/>
    <w:rsid w:val="539D45B7"/>
    <w:rsid w:val="53CA557A"/>
    <w:rsid w:val="545A32FC"/>
    <w:rsid w:val="547D6E0D"/>
    <w:rsid w:val="55382DBA"/>
    <w:rsid w:val="55596194"/>
    <w:rsid w:val="56A54B82"/>
    <w:rsid w:val="584110E8"/>
    <w:rsid w:val="587C329C"/>
    <w:rsid w:val="595B205E"/>
    <w:rsid w:val="59820A00"/>
    <w:rsid w:val="5A4777C5"/>
    <w:rsid w:val="5A6E001E"/>
    <w:rsid w:val="5AE71C9E"/>
    <w:rsid w:val="5CD36D91"/>
    <w:rsid w:val="5DEC7787"/>
    <w:rsid w:val="5DFE7766"/>
    <w:rsid w:val="60D904D8"/>
    <w:rsid w:val="60F93F09"/>
    <w:rsid w:val="646461A1"/>
    <w:rsid w:val="65D31C24"/>
    <w:rsid w:val="6634293C"/>
    <w:rsid w:val="669F4579"/>
    <w:rsid w:val="680678AC"/>
    <w:rsid w:val="683E0693"/>
    <w:rsid w:val="685E7C65"/>
    <w:rsid w:val="68AB5C34"/>
    <w:rsid w:val="694279A9"/>
    <w:rsid w:val="698F00A6"/>
    <w:rsid w:val="6A670A41"/>
    <w:rsid w:val="6A800692"/>
    <w:rsid w:val="6AA92F34"/>
    <w:rsid w:val="6BAC3EA4"/>
    <w:rsid w:val="6BF3478F"/>
    <w:rsid w:val="6D370E4B"/>
    <w:rsid w:val="6DE10695"/>
    <w:rsid w:val="6E0B49D4"/>
    <w:rsid w:val="6E6658CD"/>
    <w:rsid w:val="6E7E61B3"/>
    <w:rsid w:val="6F1A55B9"/>
    <w:rsid w:val="6F9841D5"/>
    <w:rsid w:val="711B411C"/>
    <w:rsid w:val="7392213F"/>
    <w:rsid w:val="739F5CC0"/>
    <w:rsid w:val="73F75A9D"/>
    <w:rsid w:val="748F3673"/>
    <w:rsid w:val="755C54CB"/>
    <w:rsid w:val="762B73A9"/>
    <w:rsid w:val="772F4719"/>
    <w:rsid w:val="773504DF"/>
    <w:rsid w:val="77FD6A1D"/>
    <w:rsid w:val="78667688"/>
    <w:rsid w:val="792E1FC7"/>
    <w:rsid w:val="79B62264"/>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pPr>
      <w:autoSpaceDE w:val="0"/>
      <w:autoSpaceDN w:val="0"/>
      <w:jc w:val="left"/>
    </w:pPr>
    <w:rPr>
      <w:rFonts w:ascii="宋体" w:hAnsi="宋体" w:eastAsia="宋体" w:cs="宋体"/>
      <w:kern w:val="0"/>
      <w:sz w:val="17"/>
      <w:szCs w:val="17"/>
      <w:lang w:val="zh-CN" w:bidi="zh-CN"/>
    </w:rPr>
  </w:style>
  <w:style w:type="paragraph" w:styleId="3">
    <w:name w:val="Body Text First Indent"/>
    <w:basedOn w:val="1"/>
    <w:autoRedefine/>
    <w:qFormat/>
    <w:uiPriority w:val="0"/>
    <w:pPr>
      <w:ind w:firstLine="420"/>
    </w:pPr>
    <w:rPr>
      <w:rFonts w:ascii="Calibri" w:hAnsi="Calibri" w:eastAsia="宋体" w:cs="Times New Roman"/>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character" w:styleId="15">
    <w:name w:val="Emphasis"/>
    <w:autoRedefine/>
    <w:qFormat/>
    <w:uiPriority w:val="20"/>
    <w:rPr>
      <w:i/>
      <w:iCs/>
    </w:rPr>
  </w:style>
  <w:style w:type="character" w:customStyle="1" w:styleId="16">
    <w:name w:val="页眉 Char"/>
    <w:basedOn w:val="13"/>
    <w:link w:val="8"/>
    <w:autoRedefine/>
    <w:qFormat/>
    <w:uiPriority w:val="99"/>
    <w:rPr>
      <w:sz w:val="18"/>
      <w:szCs w:val="18"/>
    </w:rPr>
  </w:style>
  <w:style w:type="character" w:customStyle="1" w:styleId="17">
    <w:name w:val="页脚 Char"/>
    <w:basedOn w:val="13"/>
    <w:link w:val="7"/>
    <w:autoRedefine/>
    <w:qFormat/>
    <w:uiPriority w:val="99"/>
    <w:rPr>
      <w:sz w:val="18"/>
      <w:szCs w:val="18"/>
    </w:rPr>
  </w:style>
  <w:style w:type="paragraph" w:customStyle="1" w:styleId="18">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autoRedefine/>
    <w:semiHidden/>
    <w:qFormat/>
    <w:uiPriority w:val="0"/>
  </w:style>
  <w:style w:type="character" w:customStyle="1" w:styleId="21">
    <w:name w:val="font31"/>
    <w:basedOn w:val="13"/>
    <w:autoRedefine/>
    <w:qFormat/>
    <w:uiPriority w:val="0"/>
    <w:rPr>
      <w:rFonts w:hint="eastAsia" w:ascii="宋体" w:hAnsi="宋体" w:eastAsia="宋体" w:cs="宋体"/>
      <w:color w:val="000000"/>
      <w:sz w:val="24"/>
      <w:szCs w:val="24"/>
      <w:u w:val="none"/>
    </w:rPr>
  </w:style>
  <w:style w:type="character" w:customStyle="1" w:styleId="22">
    <w:name w:val="font11"/>
    <w:basedOn w:val="13"/>
    <w:autoRedefine/>
    <w:qFormat/>
    <w:uiPriority w:val="0"/>
    <w:rPr>
      <w:rFonts w:hint="eastAsia" w:ascii="宋体" w:hAnsi="宋体" w:eastAsia="宋体" w:cs="宋体"/>
      <w:color w:val="000000"/>
      <w:sz w:val="24"/>
      <w:szCs w:val="24"/>
      <w:u w:val="none"/>
    </w:rPr>
  </w:style>
  <w:style w:type="character" w:customStyle="1" w:styleId="23">
    <w:name w:val="font41"/>
    <w:basedOn w:val="13"/>
    <w:autoRedefine/>
    <w:qFormat/>
    <w:uiPriority w:val="0"/>
    <w:rPr>
      <w:rFonts w:hint="eastAsia" w:ascii="宋体" w:hAnsi="宋体" w:eastAsia="宋体" w:cs="宋体"/>
      <w:b/>
      <w:bCs/>
      <w:color w:val="000000"/>
      <w:sz w:val="24"/>
      <w:szCs w:val="24"/>
      <w:u w:val="none"/>
    </w:rPr>
  </w:style>
  <w:style w:type="character" w:customStyle="1" w:styleId="24">
    <w:name w:val="Anrede1IhrZeichen"/>
    <w:autoRedefine/>
    <w:qFormat/>
    <w:uiPriority w:val="0"/>
    <w:rPr>
      <w:rFonts w:hint="default" w:ascii="Arial" w:hAnsi="Arial"/>
      <w:sz w:val="20"/>
    </w:rPr>
  </w:style>
  <w:style w:type="paragraph" w:customStyle="1" w:styleId="25">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26">
    <w:name w:val="Plain Text1"/>
    <w:basedOn w:val="27"/>
    <w:autoRedefine/>
    <w:qFormat/>
    <w:uiPriority w:val="0"/>
    <w:pPr>
      <w:widowControl/>
      <w:jc w:val="left"/>
    </w:pPr>
    <w:rPr>
      <w:rFonts w:ascii="宋体" w:hAnsi="Courier New"/>
    </w:rPr>
  </w:style>
  <w:style w:type="paragraph" w:customStyle="1" w:styleId="27">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8">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12</Pages>
  <Words>6607</Words>
  <Characters>6852</Characters>
  <Lines>6</Lines>
  <Paragraphs>1</Paragraphs>
  <TotalTime>0</TotalTime>
  <ScaleCrop>false</ScaleCrop>
  <LinksUpToDate>false</LinksUpToDate>
  <CharactersWithSpaces>7239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2024-06-07T06:27:48Z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99012001CC8449E1B44B4987A03F7E88</vt:lpwstr>
  </property>
</Properties>
</file>