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clear" w:pos="840"/>
        </w:tabs>
        <w:adjustRightInd/>
        <w:snapToGrid/>
        <w:spacing w:before="120" w:after="120" w:line="300" w:lineRule="exact"/>
        <w:jc w:val="center"/>
        <w:rPr>
          <w:rFonts w:hint="eastAsia"/>
          <w:b/>
          <w:bCs/>
          <w:sz w:val="40"/>
          <w:szCs w:val="40"/>
        </w:rPr>
      </w:pPr>
      <w:bookmarkStart w:id="0" w:name="_Toc451522337"/>
      <w:r>
        <w:rPr>
          <w:rFonts w:hint="eastAsia" w:ascii="宋体" w:hAnsi="宋体" w:eastAsia="宋体" w:cs="宋体"/>
          <w:color w:val="000000"/>
          <w:sz w:val="40"/>
          <w:szCs w:val="40"/>
        </w:rPr>
        <w:t>温州市中医院</w:t>
      </w:r>
      <w:bookmarkEnd w:id="0"/>
      <w:r>
        <w:rPr>
          <w:rFonts w:hint="eastAsia" w:ascii="宋体" w:hAnsi="宋体" w:eastAsia="宋体" w:cs="宋体"/>
          <w:b/>
          <w:bCs/>
          <w:sz w:val="40"/>
          <w:szCs w:val="40"/>
          <w:lang w:val="en-US" w:eastAsia="zh-CN"/>
        </w:rPr>
        <w:t>打浆机</w:t>
      </w:r>
      <w:r>
        <w:rPr>
          <w:rFonts w:hint="eastAsia" w:hAnsi="宋体" w:cs="宋体"/>
          <w:color w:val="000000"/>
          <w:sz w:val="40"/>
          <w:szCs w:val="40"/>
          <w:lang w:val="en-US" w:eastAsia="zh-CN"/>
        </w:rPr>
        <w:t>采购遴选</w:t>
      </w:r>
      <w:r>
        <w:rPr>
          <w:rFonts w:hint="eastAsia" w:ascii="宋体" w:hAnsi="宋体" w:eastAsia="宋体" w:cs="宋体"/>
          <w:color w:val="000000"/>
          <w:sz w:val="40"/>
          <w:szCs w:val="40"/>
          <w:lang w:val="en-US" w:eastAsia="zh-CN"/>
        </w:rPr>
        <w:t>文件</w:t>
      </w:r>
    </w:p>
    <w:p>
      <w:pPr>
        <w:spacing w:line="360" w:lineRule="auto"/>
        <w:rPr>
          <w:rFonts w:hint="eastAsia"/>
          <w:b/>
          <w:bCs/>
          <w:sz w:val="28"/>
          <w:szCs w:val="28"/>
        </w:rPr>
      </w:pPr>
      <w:r>
        <w:rPr>
          <w:rFonts w:hint="eastAsia"/>
          <w:b/>
          <w:bCs/>
          <w:sz w:val="28"/>
          <w:szCs w:val="28"/>
        </w:rPr>
        <w:t>一、项目概况</w:t>
      </w:r>
    </w:p>
    <w:p>
      <w:pPr>
        <w:spacing w:line="360" w:lineRule="auto"/>
        <w:ind w:firstLine="480" w:firstLineChars="200"/>
        <w:rPr>
          <w:rFonts w:hint="default" w:ascii="宋体" w:hAnsi="宋体" w:eastAsia="宋体" w:cs="宋体"/>
          <w:b w:val="0"/>
          <w:bCs w:val="0"/>
          <w:sz w:val="24"/>
          <w:u w:val="none"/>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rPr>
        <w:t>：</w:t>
      </w:r>
      <w:r>
        <w:rPr>
          <w:rFonts w:hint="eastAsia" w:ascii="宋体" w:hAnsi="宋体" w:eastAsia="宋体" w:cs="宋体"/>
          <w:b w:val="0"/>
          <w:bCs w:val="0"/>
          <w:sz w:val="24"/>
          <w:szCs w:val="24"/>
          <w:lang w:val="en-US" w:eastAsia="zh-Hans"/>
        </w:rPr>
        <w:t>温州市中医院</w:t>
      </w:r>
      <w:r>
        <w:rPr>
          <w:rFonts w:hint="eastAsia" w:ascii="宋体" w:hAnsi="宋体" w:eastAsia="宋体" w:cs="宋体"/>
          <w:b w:val="0"/>
          <w:bCs w:val="0"/>
          <w:sz w:val="24"/>
          <w:lang w:val="en-US" w:eastAsia="zh-CN"/>
        </w:rPr>
        <w:t>打浆机</w:t>
      </w:r>
      <w:r>
        <w:rPr>
          <w:rFonts w:hint="eastAsia" w:ascii="宋体" w:hAnsi="宋体" w:eastAsia="宋体" w:cs="宋体"/>
          <w:b w:val="0"/>
          <w:bCs w:val="0"/>
          <w:sz w:val="24"/>
          <w:u w:val="none"/>
          <w:lang w:val="en-US" w:eastAsia="zh-CN"/>
        </w:rPr>
        <w:t>采购</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采购方式：公开遴选（非政府采购）</w:t>
      </w:r>
    </w:p>
    <w:p>
      <w:pPr>
        <w:keepNext w:val="0"/>
        <w:keepLines w:val="0"/>
        <w:widowControl/>
        <w:suppressLineNumbers w:val="0"/>
        <w:ind w:firstLine="480" w:firstLineChars="200"/>
        <w:jc w:val="left"/>
        <w:rPr>
          <w:rFonts w:hint="default" w:ascii="宋体" w:hAnsi="宋体" w:eastAsia="宋体" w:cs="宋体"/>
          <w:b w:val="0"/>
          <w:bCs w:val="0"/>
          <w:sz w:val="24"/>
          <w:szCs w:val="24"/>
          <w:lang w:val="en-US" w:eastAsia="zh-CN"/>
        </w:rPr>
      </w:pPr>
      <w:r>
        <w:rPr>
          <w:rFonts w:hint="eastAsia" w:ascii="宋体" w:hAnsi="宋体" w:eastAsia="宋体" w:cs="宋体"/>
          <w:sz w:val="24"/>
          <w:szCs w:val="24"/>
          <w:lang w:val="en-US" w:eastAsia="zh-CN"/>
        </w:rPr>
        <w:t>预算金额：</w:t>
      </w:r>
      <w:r>
        <w:rPr>
          <w:rFonts w:hint="eastAsia" w:ascii="宋体" w:hAnsi="宋体" w:eastAsia="宋体" w:cs="宋体"/>
          <w:b w:val="0"/>
          <w:bCs w:val="0"/>
          <w:color w:val="000000"/>
          <w:kern w:val="0"/>
          <w:sz w:val="24"/>
          <w:szCs w:val="24"/>
          <w:lang w:val="en-US" w:eastAsia="zh-CN" w:bidi="ar"/>
        </w:rPr>
        <w:t xml:space="preserve">9064 </w:t>
      </w:r>
      <w:r>
        <w:rPr>
          <w:rFonts w:hint="eastAsia" w:ascii="宋体" w:hAnsi="宋体" w:eastAsia="宋体" w:cs="宋体"/>
          <w:b w:val="0"/>
          <w:bCs w:val="0"/>
          <w:sz w:val="24"/>
          <w:szCs w:val="24"/>
          <w:lang w:val="en-US" w:eastAsia="zh-CN"/>
        </w:rPr>
        <w:t>元</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宋体" w:hAnsi="宋体" w:cs="宋体"/>
          <w:b/>
          <w:sz w:val="28"/>
          <w:szCs w:val="28"/>
        </w:rPr>
      </w:pPr>
      <w:r>
        <w:rPr>
          <w:rFonts w:hint="eastAsia" w:ascii="宋体" w:hAnsi="宋体" w:cs="宋体"/>
          <w:b/>
          <w:sz w:val="28"/>
          <w:szCs w:val="28"/>
        </w:rPr>
        <w:t>项目内容及要求</w:t>
      </w:r>
    </w:p>
    <w:p>
      <w:pPr>
        <w:widowControl w:val="0"/>
        <w:numPr>
          <w:ilvl w:val="0"/>
          <w:numId w:val="0"/>
        </w:numPr>
        <w:spacing w:line="400" w:lineRule="exact"/>
        <w:jc w:val="both"/>
        <w:rPr>
          <w:rFonts w:hint="eastAsia" w:ascii="宋体" w:hAnsi="宋体" w:cs="宋体"/>
          <w:b/>
          <w:sz w:val="28"/>
          <w:szCs w:val="28"/>
        </w:rPr>
      </w:pPr>
    </w:p>
    <w:tbl>
      <w:tblPr>
        <w:tblStyle w:val="17"/>
        <w:tblW w:w="4829" w:type="pct"/>
        <w:tblInd w:w="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2391"/>
        <w:gridCol w:w="1100"/>
        <w:gridCol w:w="1132"/>
        <w:gridCol w:w="4062"/>
        <w:gridCol w:w="5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blHeader/>
        </w:trPr>
        <w:tc>
          <w:tcPr>
            <w:tcW w:w="324" w:type="pct"/>
            <w:shd w:val="clear" w:color="auto" w:fill="auto"/>
            <w:vAlign w:val="center"/>
          </w:tcPr>
          <w:p>
            <w:pPr>
              <w:jc w:val="center"/>
              <w:rPr>
                <w:rFonts w:hint="eastAsia"/>
                <w:b/>
                <w:bCs/>
                <w:lang w:val="en-US" w:eastAsia="zh-CN"/>
              </w:rPr>
            </w:pPr>
            <w:r>
              <w:rPr>
                <w:rFonts w:hint="eastAsia"/>
                <w:b/>
                <w:bCs/>
                <w:lang w:val="en-US" w:eastAsia="zh-CN"/>
              </w:rPr>
              <w:t>序号</w:t>
            </w:r>
          </w:p>
        </w:tc>
        <w:tc>
          <w:tcPr>
            <w:tcW w:w="806" w:type="pct"/>
            <w:shd w:val="clear" w:color="auto" w:fill="auto"/>
            <w:vAlign w:val="center"/>
          </w:tcPr>
          <w:p>
            <w:pPr>
              <w:jc w:val="center"/>
              <w:rPr>
                <w:rFonts w:hint="default"/>
                <w:b/>
                <w:bCs/>
                <w:lang w:val="en-US" w:eastAsia="zh-CN"/>
              </w:rPr>
            </w:pPr>
            <w:r>
              <w:rPr>
                <w:rFonts w:hint="eastAsia"/>
                <w:b/>
                <w:bCs/>
                <w:lang w:val="en-US" w:eastAsia="zh-CN"/>
              </w:rPr>
              <w:t>产品名称</w:t>
            </w:r>
          </w:p>
        </w:tc>
        <w:tc>
          <w:tcPr>
            <w:tcW w:w="370" w:type="pct"/>
            <w:shd w:val="clear" w:color="auto" w:fill="auto"/>
            <w:vAlign w:val="center"/>
          </w:tcPr>
          <w:p>
            <w:pPr>
              <w:jc w:val="center"/>
              <w:rPr>
                <w:b/>
                <w:bCs/>
              </w:rPr>
            </w:pPr>
            <w:r>
              <w:rPr>
                <w:rFonts w:hint="eastAsia"/>
                <w:b/>
                <w:bCs/>
              </w:rPr>
              <w:t>数量</w:t>
            </w:r>
          </w:p>
        </w:tc>
        <w:tc>
          <w:tcPr>
            <w:tcW w:w="381" w:type="pct"/>
            <w:vAlign w:val="center"/>
          </w:tcPr>
          <w:p>
            <w:pPr>
              <w:jc w:val="center"/>
              <w:rPr>
                <w:b/>
                <w:bCs/>
              </w:rPr>
            </w:pPr>
            <w:r>
              <w:rPr>
                <w:rFonts w:hint="eastAsia"/>
                <w:b/>
                <w:bCs/>
              </w:rPr>
              <w:t>单位</w:t>
            </w:r>
          </w:p>
        </w:tc>
        <w:tc>
          <w:tcPr>
            <w:tcW w:w="1369" w:type="pct"/>
            <w:shd w:val="clear" w:color="auto" w:fill="auto"/>
            <w:vAlign w:val="center"/>
          </w:tcPr>
          <w:p>
            <w:pPr>
              <w:jc w:val="center"/>
              <w:rPr>
                <w:rFonts w:hint="default"/>
                <w:b/>
                <w:bCs/>
                <w:lang w:val="en-US" w:eastAsia="zh-CN"/>
              </w:rPr>
            </w:pPr>
            <w:r>
              <w:rPr>
                <w:rFonts w:hint="eastAsia"/>
                <w:b/>
                <w:bCs/>
                <w:lang w:val="en-US" w:eastAsia="zh-CN"/>
              </w:rPr>
              <w:t>具体要求</w:t>
            </w:r>
          </w:p>
        </w:tc>
        <w:tc>
          <w:tcPr>
            <w:tcW w:w="1746" w:type="pct"/>
            <w:shd w:val="clear" w:color="auto" w:fill="auto"/>
            <w:vAlign w:val="center"/>
          </w:tcPr>
          <w:p>
            <w:pPr>
              <w:jc w:val="center"/>
              <w:rPr>
                <w:rFonts w:hint="default"/>
                <w:b/>
                <w:bCs/>
                <w:lang w:val="en-US" w:eastAsia="zh-CN"/>
              </w:rPr>
            </w:pPr>
            <w:r>
              <w:rPr>
                <w:rFonts w:hint="eastAsia"/>
                <w:b/>
                <w:bCs/>
                <w:lang w:val="en-US" w:eastAsia="zh-CN"/>
              </w:rPr>
              <w:t>参考图片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5" w:hRule="atLeast"/>
        </w:trPr>
        <w:tc>
          <w:tcPr>
            <w:tcW w:w="324"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1</w:t>
            </w:r>
          </w:p>
        </w:tc>
        <w:tc>
          <w:tcPr>
            <w:tcW w:w="806" w:type="pct"/>
            <w:shd w:val="clear" w:color="000000" w:fill="FFFFFF"/>
            <w:vAlign w:val="center"/>
          </w:tcPr>
          <w:p>
            <w:pPr>
              <w:spacing w:line="440" w:lineRule="exact"/>
              <w:jc w:val="center"/>
              <w:rPr>
                <w:rFonts w:hint="default" w:ascii="宋体" w:hAnsi="宋体" w:eastAsia="宋体" w:cs="宋体"/>
                <w:sz w:val="24"/>
                <w:lang w:val="en-US" w:eastAsia="zh-CN"/>
              </w:rPr>
            </w:pPr>
            <w:r>
              <w:rPr>
                <w:rFonts w:hint="eastAsia" w:ascii="宋体" w:hAnsi="宋体" w:eastAsia="宋体" w:cs="宋体"/>
                <w:b w:val="0"/>
                <w:bCs w:val="0"/>
                <w:sz w:val="24"/>
                <w:lang w:val="en-US" w:eastAsia="zh-CN"/>
              </w:rPr>
              <w:t>打浆机</w:t>
            </w:r>
          </w:p>
        </w:tc>
        <w:tc>
          <w:tcPr>
            <w:tcW w:w="370" w:type="pct"/>
            <w:shd w:val="clear" w:color="auto" w:fill="auto"/>
            <w:vAlign w:val="center"/>
          </w:tcPr>
          <w:p>
            <w:pPr>
              <w:spacing w:line="440" w:lineRule="exact"/>
              <w:jc w:val="center"/>
              <w:rPr>
                <w:rFonts w:hint="default" w:ascii="宋体" w:hAnsi="宋体" w:eastAsia="宋体" w:cs="宋体"/>
                <w:sz w:val="24"/>
                <w:lang w:val="en-US" w:eastAsia="zh-CN"/>
              </w:rPr>
            </w:pPr>
            <w:r>
              <w:rPr>
                <w:rFonts w:hint="eastAsia" w:ascii="宋体" w:hAnsi="宋体" w:cs="宋体"/>
                <w:sz w:val="24"/>
                <w:lang w:val="en-US" w:eastAsia="zh-CN"/>
              </w:rPr>
              <w:t>1</w:t>
            </w:r>
          </w:p>
        </w:tc>
        <w:tc>
          <w:tcPr>
            <w:tcW w:w="381" w:type="pct"/>
            <w:vAlign w:val="center"/>
          </w:tcPr>
          <w:p>
            <w:pPr>
              <w:spacing w:line="440" w:lineRule="exact"/>
              <w:jc w:val="center"/>
              <w:rPr>
                <w:rFonts w:hint="eastAsia" w:ascii="宋体" w:hAnsi="宋体" w:eastAsia="宋体" w:cs="宋体"/>
                <w:sz w:val="24"/>
                <w:lang w:eastAsia="zh-CN"/>
              </w:rPr>
            </w:pPr>
            <w:r>
              <w:rPr>
                <w:rFonts w:hint="eastAsia" w:ascii="宋体" w:hAnsi="宋体" w:cs="宋体"/>
                <w:sz w:val="24"/>
                <w:lang w:val="en-US" w:eastAsia="zh-CN"/>
              </w:rPr>
              <w:t>台</w:t>
            </w:r>
          </w:p>
        </w:tc>
        <w:tc>
          <w:tcPr>
            <w:tcW w:w="1369" w:type="pct"/>
            <w:shd w:val="clear" w:color="000000" w:fill="FFFFFF"/>
            <w:vAlign w:val="center"/>
          </w:tcPr>
          <w:p>
            <w:pPr>
              <w:pStyle w:val="16"/>
              <w:numPr>
                <w:ilvl w:val="0"/>
                <w:numId w:val="0"/>
              </w:numPr>
              <w:spacing w:line="240" w:lineRule="auto"/>
              <w:ind w:leftChars="0"/>
              <w:rPr>
                <w:rFonts w:hint="eastAsia" w:ascii="宋体" w:hAnsi="宋体" w:eastAsia="宋体" w:cs="宋体"/>
                <w:sz w:val="24"/>
                <w:szCs w:val="24"/>
                <w:lang w:val="en-US" w:eastAsia="zh-CN"/>
              </w:rPr>
            </w:pPr>
          </w:p>
          <w:p>
            <w:pPr>
              <w:numPr>
                <w:ilvl w:val="0"/>
                <w:numId w:val="0"/>
              </w:numPr>
              <w:adjustRightInd w:val="0"/>
              <w:snapToGrid w:val="0"/>
              <w:spacing w:line="360" w:lineRule="auto"/>
              <w:jc w:val="left"/>
              <w:rPr>
                <w:rFonts w:hint="eastAsia" w:ascii="宋体" w:hAnsi="宋体" w:eastAsia="宋体" w:cs="宋体"/>
                <w:b w:val="0"/>
                <w:bCs w:val="0"/>
                <w:sz w:val="24"/>
                <w:szCs w:val="24"/>
              </w:rPr>
            </w:pPr>
            <w:r>
              <w:rPr>
                <w:rFonts w:hint="eastAsia" w:ascii="宋体" w:hAnsi="宋体" w:eastAsia="宋体" w:cs="宋体"/>
                <w:kern w:val="2"/>
                <w:sz w:val="24"/>
                <w:szCs w:val="24"/>
                <w:lang w:val="en-US" w:eastAsia="zh-CN" w:bidi="ar-SA"/>
              </w:rPr>
              <w:t>1、</w:t>
            </w:r>
            <w:r>
              <w:rPr>
                <w:rFonts w:hint="eastAsia" w:ascii="宋体" w:hAnsi="宋体" w:eastAsia="宋体" w:cs="宋体"/>
                <w:b w:val="0"/>
                <w:bCs w:val="0"/>
                <w:sz w:val="24"/>
                <w:szCs w:val="24"/>
              </w:rPr>
              <w:t>容 量:</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5L</w:t>
            </w:r>
          </w:p>
          <w:p>
            <w:pPr>
              <w:pStyle w:val="2"/>
              <w:numPr>
                <w:ilvl w:val="0"/>
                <w:numId w:val="0"/>
              </w:num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2、</w:t>
            </w:r>
            <w:r>
              <w:rPr>
                <w:rFonts w:hint="eastAsia" w:ascii="宋体" w:hAnsi="宋体" w:eastAsia="宋体" w:cs="宋体"/>
                <w:b w:val="0"/>
                <w:bCs w:val="0"/>
                <w:sz w:val="24"/>
                <w:szCs w:val="24"/>
              </w:rPr>
              <w:t>电压:380V/50hz</w:t>
            </w:r>
          </w:p>
          <w:p>
            <w:pPr>
              <w:pStyle w:val="2"/>
              <w:numPr>
                <w:ilvl w:val="0"/>
                <w:numId w:val="0"/>
              </w:num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3、</w:t>
            </w:r>
            <w:r>
              <w:rPr>
                <w:rFonts w:hint="eastAsia" w:ascii="宋体" w:hAnsi="宋体" w:eastAsia="宋体" w:cs="宋体"/>
                <w:b w:val="0"/>
                <w:bCs w:val="0"/>
                <w:sz w:val="24"/>
                <w:szCs w:val="24"/>
              </w:rPr>
              <w:t>功 率:3KW</w:t>
            </w:r>
          </w:p>
          <w:p>
            <w:pPr>
              <w:pStyle w:val="2"/>
              <w:numPr>
                <w:ilvl w:val="0"/>
                <w:numId w:val="0"/>
              </w:numPr>
              <w:spacing w:line="360" w:lineRule="auto"/>
              <w:jc w:val="left"/>
              <w:rPr>
                <w:rFonts w:hint="eastAsia" w:ascii="宋体" w:hAnsi="宋体" w:eastAsia="宋体" w:cs="宋体"/>
                <w:b w:val="0"/>
                <w:bCs w:val="0"/>
                <w:sz w:val="24"/>
                <w:szCs w:val="24"/>
              </w:rPr>
            </w:pPr>
            <w:r>
              <w:rPr>
                <w:rFonts w:hint="eastAsia" w:ascii="宋体" w:hAnsi="宋体" w:eastAsia="宋体" w:cs="宋体"/>
                <w:b w:val="0"/>
                <w:bCs w:val="0"/>
                <w:kern w:val="2"/>
                <w:sz w:val="24"/>
                <w:szCs w:val="24"/>
                <w:lang w:val="en-US" w:eastAsia="zh-CN" w:bidi="ar-SA"/>
              </w:rPr>
              <w:t>4、</w:t>
            </w:r>
            <w:r>
              <w:rPr>
                <w:rFonts w:hint="eastAsia" w:ascii="宋体" w:hAnsi="宋体" w:eastAsia="宋体" w:cs="宋体"/>
                <w:b w:val="0"/>
                <w:bCs w:val="0"/>
                <w:sz w:val="24"/>
                <w:szCs w:val="24"/>
              </w:rPr>
              <w:t>外形尺寸:62*45*96cm</w:t>
            </w:r>
          </w:p>
          <w:p>
            <w:pPr>
              <w:spacing w:line="360" w:lineRule="auto"/>
              <w:jc w:val="left"/>
              <w:rPr>
                <w:rFonts w:hint="eastAsia" w:ascii="宋体" w:hAnsi="宋体" w:eastAsia="宋体" w:cs="宋体"/>
                <w:b w:val="0"/>
                <w:bCs w:val="0"/>
                <w:sz w:val="24"/>
                <w:szCs w:val="24"/>
                <w:lang w:val="en-US" w:eastAsia="zh-CN"/>
              </w:rPr>
            </w:pPr>
            <w:r>
              <w:rPr>
                <w:rFonts w:hint="eastAsia" w:ascii="宋体" w:hAnsi="宋体" w:eastAsia="宋体" w:cs="宋体"/>
                <w:b w:val="0"/>
                <w:bCs w:val="0"/>
                <w:kern w:val="2"/>
                <w:sz w:val="24"/>
                <w:szCs w:val="24"/>
                <w:lang w:val="en-US" w:eastAsia="zh-CN" w:bidi="ar-SA"/>
              </w:rPr>
              <w:t>5、</w:t>
            </w:r>
            <w:r>
              <w:rPr>
                <w:rFonts w:hint="eastAsia" w:ascii="宋体" w:hAnsi="宋体" w:eastAsia="宋体" w:cs="宋体"/>
                <w:b w:val="0"/>
                <w:bCs w:val="0"/>
                <w:sz w:val="24"/>
                <w:szCs w:val="24"/>
                <w:lang w:val="en-US" w:eastAsia="zh-CN"/>
              </w:rPr>
              <w:t>底部带转运轮子，方便机器转运</w:t>
            </w:r>
          </w:p>
          <w:p>
            <w:pPr>
              <w:pStyle w:val="2"/>
              <w:spacing w:line="360" w:lineRule="auto"/>
              <w:ind w:left="0" w:leftChars="0" w:firstLine="0" w:firstLineChars="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6、表面处理：</w:t>
            </w:r>
            <w:r>
              <w:rPr>
                <w:rFonts w:hint="eastAsia" w:ascii="宋体" w:hAnsi="宋体" w:eastAsia="宋体" w:cs="宋体"/>
                <w:b w:val="0"/>
                <w:bCs w:val="0"/>
                <w:sz w:val="24"/>
                <w:szCs w:val="24"/>
              </w:rPr>
              <w:t>304不锈钢</w:t>
            </w:r>
          </w:p>
          <w:p>
            <w:pPr>
              <w:pStyle w:val="16"/>
              <w:numPr>
                <w:ilvl w:val="0"/>
                <w:numId w:val="0"/>
              </w:numPr>
              <w:spacing w:line="240" w:lineRule="auto"/>
              <w:jc w:val="both"/>
              <w:rPr>
                <w:rFonts w:hint="default" w:ascii="宋体" w:hAnsi="宋体" w:eastAsia="宋体" w:cs="宋体"/>
                <w:sz w:val="24"/>
                <w:szCs w:val="24"/>
                <w:lang w:val="en-US" w:eastAsia="zh-CN"/>
              </w:rPr>
            </w:pPr>
          </w:p>
        </w:tc>
        <w:tc>
          <w:tcPr>
            <w:tcW w:w="1746" w:type="pct"/>
            <w:shd w:val="clear" w:color="000000" w:fill="FFFFFF"/>
            <w:vAlign w:val="center"/>
          </w:tcPr>
          <w:p>
            <w:pPr>
              <w:pStyle w:val="16"/>
              <w:ind w:left="0" w:leftChars="0" w:firstLine="0" w:firstLineChars="0"/>
              <w:jc w:val="both"/>
              <w:rPr>
                <w:rFonts w:hint="default"/>
                <w:lang w:val="en-US" w:eastAsia="zh-CN"/>
              </w:rPr>
            </w:pPr>
            <w:r>
              <w:rPr>
                <w:sz w:val="21"/>
              </w:rPr>
              <w:pict>
                <v:shape id="_x0000_s2050" o:spid="_x0000_s2050" o:spt="202" type="#_x0000_t202" style="position:absolute;left:0pt;margin-left:-1.5pt;margin-top:6.05pt;height:246.7pt;width:240.75pt;z-index:251659264;mso-width-relative:page;mso-height-relative:page;" fillcolor="#FFFFFF" filled="t" stroked="t" coordsize="21600,21600">
                  <v:path/>
                  <v:fill on="t" color2="#FFFFFF" focussize="0,0"/>
                  <v:stroke color="#000000" joinstyle="miter"/>
                  <v:imagedata o:title=""/>
                  <o:lock v:ext="edit" aspectratio="f"/>
                  <v:textbox>
                    <w:txbxContent>
                      <w:p>
                        <w:r>
                          <w:drawing>
                            <wp:inline distT="0" distB="0" distL="114300" distR="114300">
                              <wp:extent cx="2862580" cy="3023870"/>
                              <wp:effectExtent l="0" t="0" r="1397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2862580" cy="3023870"/>
                                      </a:xfrm>
                                      <a:prstGeom prst="rect">
                                        <a:avLst/>
                                      </a:prstGeom>
                                      <a:noFill/>
                                      <a:ln>
                                        <a:noFill/>
                                      </a:ln>
                                    </pic:spPr>
                                  </pic:pic>
                                </a:graphicData>
                              </a:graphic>
                            </wp:inline>
                          </w:drawing>
                        </w:r>
                      </w:p>
                    </w:txbxContent>
                  </v:textbox>
                </v:shape>
              </w:pict>
            </w:r>
          </w:p>
        </w:tc>
      </w:tr>
    </w:tbl>
    <w:p>
      <w:pPr>
        <w:spacing w:line="360" w:lineRule="auto"/>
        <w:rPr>
          <w:rFonts w:hint="eastAsia" w:ascii="宋体" w:hAnsi="宋体"/>
          <w:b/>
          <w:bCs/>
          <w:color w:val="000000"/>
          <w:sz w:val="28"/>
          <w:szCs w:val="28"/>
        </w:rPr>
      </w:pPr>
      <w:r>
        <w:rPr>
          <w:rFonts w:hint="eastAsia" w:ascii="宋体" w:hAnsi="宋体"/>
          <w:b/>
          <w:bCs/>
          <w:color w:val="000000"/>
          <w:sz w:val="28"/>
          <w:szCs w:val="28"/>
          <w:lang w:val="en-US" w:eastAsia="zh-CN"/>
        </w:rPr>
        <w:t>三</w:t>
      </w:r>
      <w:r>
        <w:rPr>
          <w:rFonts w:hint="eastAsia" w:ascii="宋体" w:hAnsi="宋体"/>
          <w:b/>
          <w:bCs/>
          <w:color w:val="000000"/>
          <w:sz w:val="28"/>
          <w:szCs w:val="28"/>
        </w:rPr>
        <w:t>、主要商务要求</w:t>
      </w:r>
    </w:p>
    <w:p>
      <w:pPr>
        <w:pStyle w:val="16"/>
        <w:numPr>
          <w:ilvl w:val="0"/>
          <w:numId w:val="0"/>
        </w:numPr>
        <w:spacing w:line="360" w:lineRule="auto"/>
        <w:ind w:firstLine="466" w:firstLineChars="200"/>
        <w:rPr>
          <w:rFonts w:hint="default" w:ascii="宋体" w:hAnsi="宋体" w:eastAsia="宋体" w:cs="宋体"/>
          <w:sz w:val="24"/>
          <w:lang w:val="en-US" w:eastAsia="zh-CN"/>
        </w:rPr>
      </w:pPr>
      <w:r>
        <w:rPr>
          <w:rFonts w:hint="eastAsia" w:ascii="宋体" w:hAnsi="宋体"/>
          <w:b/>
          <w:bCs/>
          <w:color w:val="000000"/>
          <w:sz w:val="24"/>
          <w:szCs w:val="24"/>
          <w:lang w:val="en-US" w:eastAsia="zh-CN"/>
        </w:rPr>
        <w:t>1</w:t>
      </w:r>
      <w:r>
        <w:rPr>
          <w:rFonts w:hint="eastAsia" w:ascii="宋体" w:hAnsi="宋体"/>
          <w:b/>
          <w:bCs/>
          <w:color w:val="000000"/>
          <w:sz w:val="24"/>
          <w:szCs w:val="24"/>
        </w:rPr>
        <w:t>、付款方式：</w:t>
      </w:r>
      <w:r>
        <w:rPr>
          <w:rFonts w:hint="default" w:ascii="宋体" w:hAnsi="宋体" w:eastAsia="宋体" w:cs="宋体"/>
          <w:sz w:val="24"/>
          <w:lang w:val="en-US" w:eastAsia="zh-CN"/>
        </w:rPr>
        <w:t>全部货物交付完毕并经最终验收合格后，乙方向甲方开具</w:t>
      </w:r>
      <w:r>
        <w:rPr>
          <w:rFonts w:hint="eastAsia" w:ascii="宋体" w:hAnsi="宋体" w:eastAsia="宋体" w:cs="宋体"/>
          <w:sz w:val="24"/>
          <w:lang w:val="en-US" w:eastAsia="zh-CN"/>
        </w:rPr>
        <w:t>与</w:t>
      </w:r>
      <w:r>
        <w:rPr>
          <w:rFonts w:hint="default" w:ascii="宋体" w:hAnsi="宋体" w:eastAsia="宋体" w:cs="宋体"/>
          <w:sz w:val="24"/>
          <w:lang w:val="en-US" w:eastAsia="zh-CN"/>
        </w:rPr>
        <w:t>合同同等金额</w:t>
      </w:r>
      <w:r>
        <w:rPr>
          <w:rFonts w:hint="eastAsia" w:ascii="宋体" w:hAnsi="宋体" w:eastAsia="宋体" w:cs="宋体"/>
          <w:sz w:val="24"/>
          <w:lang w:val="en-US" w:eastAsia="zh-CN"/>
        </w:rPr>
        <w:t>的</w:t>
      </w:r>
      <w:r>
        <w:rPr>
          <w:rFonts w:hint="default" w:ascii="宋体" w:hAnsi="宋体" w:eastAsia="宋体" w:cs="宋体"/>
          <w:sz w:val="24"/>
          <w:lang w:val="en-US" w:eastAsia="zh-CN"/>
        </w:rPr>
        <w:t>发票，甲方在收到发票后</w:t>
      </w:r>
      <w:r>
        <w:rPr>
          <w:rFonts w:hint="eastAsia" w:hAnsi="宋体" w:cs="宋体"/>
          <w:sz w:val="24"/>
          <w:lang w:val="en-US" w:eastAsia="zh-CN"/>
        </w:rPr>
        <w:t>3</w:t>
      </w:r>
      <w:r>
        <w:rPr>
          <w:rFonts w:hint="eastAsia" w:ascii="宋体" w:hAnsi="宋体" w:eastAsia="宋体" w:cs="宋体"/>
          <w:sz w:val="24"/>
          <w:lang w:val="en-US" w:eastAsia="zh-CN"/>
        </w:rPr>
        <w:t>个</w:t>
      </w:r>
      <w:r>
        <w:rPr>
          <w:rFonts w:hint="eastAsia" w:hAnsi="宋体" w:cs="宋体"/>
          <w:sz w:val="24"/>
          <w:lang w:val="en-US" w:eastAsia="zh-CN"/>
        </w:rPr>
        <w:t>月</w:t>
      </w:r>
      <w:r>
        <w:rPr>
          <w:rFonts w:hint="default" w:ascii="宋体" w:hAnsi="宋体" w:eastAsia="宋体" w:cs="宋体"/>
          <w:sz w:val="24"/>
          <w:lang w:val="en-US" w:eastAsia="zh-CN"/>
        </w:rPr>
        <w:t>内向乙方支付全部合同价款。</w:t>
      </w:r>
    </w:p>
    <w:p>
      <w:pPr>
        <w:pStyle w:val="16"/>
        <w:numPr>
          <w:ilvl w:val="0"/>
          <w:numId w:val="0"/>
        </w:numPr>
        <w:spacing w:line="360" w:lineRule="auto"/>
        <w:ind w:firstLine="466" w:firstLineChars="200"/>
        <w:rPr>
          <w:rFonts w:hint="eastAsia" w:ascii="宋体" w:hAnsi="宋体"/>
          <w:b w:val="0"/>
          <w:bCs w:val="0"/>
          <w:color w:val="000000"/>
          <w:sz w:val="24"/>
          <w:szCs w:val="24"/>
        </w:rPr>
      </w:pPr>
      <w:r>
        <w:rPr>
          <w:rFonts w:hint="eastAsia" w:ascii="宋体" w:hAnsi="宋体"/>
          <w:b/>
          <w:bCs/>
          <w:color w:val="000000"/>
          <w:sz w:val="24"/>
          <w:szCs w:val="24"/>
          <w:lang w:val="en-US" w:eastAsia="zh-CN"/>
        </w:rPr>
        <w:t>2</w:t>
      </w:r>
      <w:r>
        <w:rPr>
          <w:rFonts w:hint="eastAsia" w:ascii="宋体" w:hAnsi="宋体"/>
          <w:b/>
          <w:bCs/>
          <w:color w:val="000000"/>
          <w:sz w:val="24"/>
          <w:szCs w:val="24"/>
        </w:rPr>
        <w:t>、</w:t>
      </w:r>
      <w:r>
        <w:rPr>
          <w:rFonts w:hint="eastAsia" w:ascii="宋体" w:hAnsi="宋体" w:eastAsia="宋体" w:cs="宋体"/>
          <w:b/>
          <w:bCs/>
          <w:sz w:val="24"/>
          <w:szCs w:val="24"/>
          <w:lang w:val="en-US" w:eastAsia="zh-CN"/>
        </w:rPr>
        <w:t>交货期：接到采购人发货通知后</w:t>
      </w:r>
      <w:r>
        <w:rPr>
          <w:rFonts w:hint="eastAsia" w:ascii="宋体" w:hAnsi="宋体" w:eastAsia="宋体" w:cs="宋体"/>
          <w:b/>
          <w:bCs/>
          <w:color w:val="FF0000"/>
          <w:sz w:val="24"/>
          <w:szCs w:val="24"/>
          <w:u w:val="single"/>
          <w:lang w:val="en-US" w:eastAsia="zh-CN"/>
        </w:rPr>
        <w:t>5个工作日</w:t>
      </w:r>
      <w:r>
        <w:rPr>
          <w:rFonts w:hint="eastAsia" w:ascii="宋体" w:hAnsi="宋体" w:eastAsia="宋体" w:cs="宋体"/>
          <w:b/>
          <w:bCs/>
          <w:sz w:val="24"/>
          <w:szCs w:val="24"/>
          <w:lang w:val="en-US" w:eastAsia="zh-CN"/>
        </w:rPr>
        <w:t>内到达指定地点。</w:t>
      </w:r>
      <w:r>
        <w:rPr>
          <w:rFonts w:hint="eastAsia" w:ascii="宋体" w:hAnsi="宋体"/>
          <w:b w:val="0"/>
          <w:bCs w:val="0"/>
          <w:color w:val="000000"/>
          <w:sz w:val="24"/>
          <w:szCs w:val="24"/>
        </w:rPr>
        <w:t xml:space="preserve">        </w:t>
      </w:r>
    </w:p>
    <w:p>
      <w:pPr>
        <w:spacing w:line="360" w:lineRule="auto"/>
        <w:ind w:firstLine="482" w:firstLineChars="200"/>
        <w:rPr>
          <w:rFonts w:hint="eastAsia" w:ascii="宋体" w:hAnsi="宋体"/>
          <w:b w:val="0"/>
          <w:bCs w:val="0"/>
          <w:color w:val="000000"/>
          <w:sz w:val="24"/>
          <w:szCs w:val="24"/>
        </w:rPr>
      </w:pPr>
      <w:r>
        <w:rPr>
          <w:rFonts w:hint="eastAsia" w:ascii="宋体" w:hAnsi="宋体"/>
          <w:b/>
          <w:bCs/>
          <w:color w:val="000000"/>
          <w:sz w:val="24"/>
          <w:szCs w:val="24"/>
          <w:lang w:val="en-US" w:eastAsia="zh-CN"/>
        </w:rPr>
        <w:t>3</w:t>
      </w:r>
      <w:r>
        <w:rPr>
          <w:rFonts w:hint="eastAsia" w:ascii="宋体" w:hAnsi="宋体"/>
          <w:b/>
          <w:bCs/>
          <w:color w:val="000000"/>
          <w:sz w:val="24"/>
          <w:szCs w:val="24"/>
        </w:rPr>
        <w:t>、到货地点：</w:t>
      </w:r>
      <w:r>
        <w:rPr>
          <w:rFonts w:hint="eastAsia" w:ascii="宋体" w:hAnsi="宋体"/>
          <w:b w:val="0"/>
          <w:bCs w:val="0"/>
          <w:color w:val="000000"/>
          <w:sz w:val="24"/>
          <w:szCs w:val="24"/>
        </w:rPr>
        <w:t>温州市中医院指定地点。</w:t>
      </w:r>
    </w:p>
    <w:p>
      <w:pPr>
        <w:spacing w:line="360" w:lineRule="auto"/>
        <w:ind w:firstLine="482" w:firstLineChars="200"/>
        <w:rPr>
          <w:rFonts w:hint="eastAsia" w:ascii="宋体" w:hAnsi="宋体"/>
          <w:b/>
          <w:bCs/>
          <w:color w:val="000000"/>
          <w:sz w:val="24"/>
          <w:szCs w:val="24"/>
        </w:rPr>
      </w:pPr>
      <w:r>
        <w:rPr>
          <w:rFonts w:hint="eastAsia" w:ascii="宋体" w:hAnsi="宋体"/>
          <w:b/>
          <w:bCs/>
          <w:color w:val="000000"/>
          <w:sz w:val="24"/>
          <w:szCs w:val="24"/>
          <w:lang w:val="en-US" w:eastAsia="zh-CN"/>
        </w:rPr>
        <w:t>4</w:t>
      </w:r>
      <w:r>
        <w:rPr>
          <w:rFonts w:hint="eastAsia" w:ascii="宋体" w:hAnsi="宋体"/>
          <w:b/>
          <w:bCs/>
          <w:color w:val="000000"/>
          <w:sz w:val="24"/>
          <w:szCs w:val="24"/>
        </w:rPr>
        <w:t>、质保期</w:t>
      </w:r>
    </w:p>
    <w:p>
      <w:pPr>
        <w:spacing w:line="360" w:lineRule="auto"/>
        <w:ind w:firstLine="480" w:firstLineChars="200"/>
        <w:rPr>
          <w:rFonts w:hint="eastAsia"/>
          <w:b/>
          <w:bCs/>
          <w:sz w:val="24"/>
          <w:szCs w:val="24"/>
          <w:u w:val="single"/>
          <w:lang w:eastAsia="zh-CN"/>
        </w:rPr>
      </w:pPr>
      <w:r>
        <w:rPr>
          <w:rFonts w:hint="eastAsia" w:ascii="宋体" w:hAnsi="宋体"/>
          <w:b w:val="0"/>
          <w:bCs w:val="0"/>
          <w:color w:val="000000"/>
          <w:sz w:val="24"/>
          <w:szCs w:val="24"/>
          <w:lang w:val="en-US" w:eastAsia="zh-CN"/>
        </w:rPr>
        <w:t xml:space="preserve">(1) </w:t>
      </w:r>
      <w:r>
        <w:rPr>
          <w:rFonts w:hint="eastAsia" w:ascii="宋体" w:hAnsi="宋体"/>
          <w:b w:val="0"/>
          <w:bCs w:val="0"/>
          <w:color w:val="000000"/>
          <w:sz w:val="24"/>
          <w:szCs w:val="24"/>
        </w:rPr>
        <w:t>中标人对提交的所有产品免费质保期</w:t>
      </w:r>
      <w:r>
        <w:rPr>
          <w:rFonts w:hint="eastAsia" w:ascii="宋体" w:hAnsi="宋体"/>
          <w:b w:val="0"/>
          <w:bCs w:val="0"/>
          <w:color w:val="000000"/>
          <w:sz w:val="24"/>
          <w:szCs w:val="24"/>
          <w:lang w:val="en-US" w:eastAsia="zh-CN"/>
        </w:rPr>
        <w:t>≥1</w:t>
      </w:r>
      <w:r>
        <w:rPr>
          <w:rFonts w:hint="eastAsia" w:ascii="宋体" w:hAnsi="宋体"/>
          <w:b w:val="0"/>
          <w:bCs w:val="0"/>
          <w:color w:val="000000"/>
          <w:sz w:val="24"/>
          <w:szCs w:val="24"/>
        </w:rPr>
        <w:t>年，</w:t>
      </w:r>
      <w:r>
        <w:rPr>
          <w:rFonts w:hint="eastAsia"/>
          <w:b/>
          <w:bCs/>
          <w:sz w:val="24"/>
          <w:szCs w:val="24"/>
          <w:u w:val="single"/>
        </w:rPr>
        <w:t>（自交货验收合格之日起计）</w:t>
      </w:r>
      <w:r>
        <w:rPr>
          <w:rFonts w:hint="eastAsia"/>
          <w:b/>
          <w:bCs/>
          <w:sz w:val="24"/>
          <w:szCs w:val="24"/>
          <w:u w:val="single"/>
          <w:lang w:eastAsia="zh-CN"/>
        </w:rPr>
        <w:t>。</w:t>
      </w:r>
    </w:p>
    <w:p>
      <w:pPr>
        <w:spacing w:line="360" w:lineRule="auto"/>
        <w:ind w:firstLine="480" w:firstLineChars="200"/>
        <w:rPr>
          <w:rFonts w:hint="eastAsia" w:ascii="宋体" w:hAnsi="宋体"/>
          <w:b w:val="0"/>
          <w:bCs w:val="0"/>
          <w:color w:val="000000"/>
          <w:sz w:val="24"/>
          <w:szCs w:val="24"/>
        </w:rPr>
      </w:pPr>
      <w:r>
        <w:rPr>
          <w:rFonts w:hint="eastAsia" w:ascii="宋体" w:hAnsi="宋体"/>
          <w:b w:val="0"/>
          <w:bCs w:val="0"/>
          <w:color w:val="000000"/>
          <w:sz w:val="24"/>
          <w:szCs w:val="24"/>
          <w:lang w:val="en-US" w:eastAsia="zh-CN"/>
        </w:rPr>
        <w:t xml:space="preserve">(2) </w:t>
      </w:r>
      <w:r>
        <w:rPr>
          <w:rFonts w:hint="eastAsia" w:ascii="宋体" w:hAnsi="宋体"/>
          <w:b w:val="0"/>
          <w:bCs w:val="0"/>
          <w:color w:val="000000"/>
          <w:sz w:val="24"/>
          <w:szCs w:val="24"/>
        </w:rPr>
        <w:t>质保期内，由于产品自身原因出现问题，由中标人免费更换，并达到合同约定的质量要求，中标人应该在收到院方更换通知24小时内解决处理。</w:t>
      </w:r>
    </w:p>
    <w:p>
      <w:pPr>
        <w:pStyle w:val="16"/>
        <w:numPr>
          <w:ilvl w:val="0"/>
          <w:numId w:val="0"/>
        </w:numPr>
        <w:spacing w:line="360" w:lineRule="auto"/>
        <w:ind w:leftChars="0" w:firstLine="466" w:firstLineChars="200"/>
        <w:rPr>
          <w:rFonts w:hint="eastAsia" w:ascii="宋体" w:hAnsi="宋体"/>
          <w:b w:val="0"/>
          <w:bCs w:val="0"/>
          <w:color w:val="000000"/>
          <w:sz w:val="24"/>
          <w:szCs w:val="24"/>
        </w:rPr>
      </w:pPr>
      <w:r>
        <w:rPr>
          <w:rFonts w:hint="eastAsia"/>
          <w:b/>
          <w:bCs/>
          <w:sz w:val="24"/>
          <w:szCs w:val="24"/>
          <w:lang w:val="en-US" w:eastAsia="zh-CN"/>
        </w:rPr>
        <w:t>5、质量保证及售后服务</w:t>
      </w:r>
    </w:p>
    <w:p>
      <w:pPr>
        <w:adjustRightInd w:val="0"/>
        <w:snapToGrid w:val="0"/>
        <w:spacing w:line="400" w:lineRule="exact"/>
        <w:ind w:firstLine="480" w:firstLineChars="200"/>
        <w:jc w:val="left"/>
        <w:rPr>
          <w:rFonts w:hint="eastAsia"/>
          <w:sz w:val="24"/>
          <w:szCs w:val="24"/>
          <w:lang w:val="en-US" w:eastAsia="zh-CN"/>
        </w:rPr>
      </w:pPr>
      <w:r>
        <w:rPr>
          <w:rFonts w:hint="eastAsia"/>
          <w:sz w:val="24"/>
          <w:szCs w:val="24"/>
          <w:lang w:val="en-US" w:eastAsia="zh-CN"/>
        </w:rPr>
        <w:t>（1）所供应的商品是最新生产的符合国家技术规格和质量标准的出厂原装合格产品。（需提供</w:t>
      </w:r>
      <w:r>
        <w:rPr>
          <w:b w:val="0"/>
          <w:bCs/>
          <w:sz w:val="24"/>
          <w:szCs w:val="24"/>
        </w:rPr>
        <w:t>压力产品合格证；设备竣工图</w:t>
      </w:r>
      <w:r>
        <w:rPr>
          <w:rFonts w:hint="eastAsia"/>
          <w:b w:val="0"/>
          <w:bCs/>
          <w:sz w:val="24"/>
          <w:szCs w:val="24"/>
          <w:lang w:eastAsia="zh-CN"/>
        </w:rPr>
        <w:t>；</w:t>
      </w:r>
      <w:r>
        <w:rPr>
          <w:sz w:val="24"/>
          <w:szCs w:val="24"/>
        </w:rPr>
        <w:t>设备材料材质证明书、配件合格证书等GMP认证需要提供的相关资料</w:t>
      </w:r>
      <w:r>
        <w:rPr>
          <w:rFonts w:hint="eastAsia"/>
          <w:sz w:val="24"/>
          <w:szCs w:val="24"/>
          <w:lang w:eastAsia="zh-CN"/>
        </w:rPr>
        <w:t>。）</w:t>
      </w:r>
    </w:p>
    <w:p>
      <w:pPr>
        <w:pStyle w:val="16"/>
        <w:numPr>
          <w:ilvl w:val="0"/>
          <w:numId w:val="0"/>
        </w:numPr>
        <w:spacing w:line="360" w:lineRule="auto"/>
        <w:ind w:leftChars="0" w:firstLine="464" w:firstLineChars="200"/>
        <w:rPr>
          <w:rFonts w:hint="eastAsia"/>
          <w:sz w:val="24"/>
          <w:szCs w:val="24"/>
          <w:lang w:val="en-US" w:eastAsia="zh-CN"/>
        </w:rPr>
      </w:pPr>
      <w:r>
        <w:rPr>
          <w:rFonts w:hint="eastAsia"/>
          <w:sz w:val="24"/>
          <w:szCs w:val="24"/>
          <w:lang w:val="en-US" w:eastAsia="zh-CN"/>
        </w:rPr>
        <w:t>（2）在质保期内因货物本身发生质量问题的，供应商应负责免费更换。对达不到质量要求者，根据实际情况，经双方协商，可按以下办法处理：</w:t>
      </w:r>
    </w:p>
    <w:p>
      <w:pPr>
        <w:pStyle w:val="16"/>
        <w:numPr>
          <w:ilvl w:val="0"/>
          <w:numId w:val="0"/>
        </w:numPr>
        <w:spacing w:line="360" w:lineRule="auto"/>
        <w:ind w:leftChars="0" w:firstLine="464" w:firstLineChars="200"/>
        <w:rPr>
          <w:rFonts w:hint="eastAsia"/>
          <w:sz w:val="24"/>
          <w:szCs w:val="24"/>
          <w:lang w:val="en-US" w:eastAsia="zh-CN"/>
        </w:rPr>
      </w:pPr>
      <w:r>
        <w:rPr>
          <w:rFonts w:hint="eastAsia"/>
          <w:sz w:val="24"/>
          <w:szCs w:val="24"/>
          <w:lang w:val="en-US" w:eastAsia="zh-CN"/>
        </w:rPr>
        <w:t>【1】更换：由乙方承担所发生的全部费用。</w:t>
      </w:r>
    </w:p>
    <w:p>
      <w:pPr>
        <w:pStyle w:val="16"/>
        <w:numPr>
          <w:ilvl w:val="0"/>
          <w:numId w:val="0"/>
        </w:numPr>
        <w:spacing w:line="360" w:lineRule="auto"/>
        <w:ind w:leftChars="0" w:firstLine="464" w:firstLineChars="200"/>
        <w:rPr>
          <w:rFonts w:hint="eastAsia"/>
          <w:sz w:val="24"/>
          <w:szCs w:val="24"/>
          <w:lang w:val="en-US" w:eastAsia="zh-CN"/>
        </w:rPr>
      </w:pPr>
      <w:r>
        <w:rPr>
          <w:rFonts w:hint="eastAsia"/>
          <w:sz w:val="24"/>
          <w:szCs w:val="24"/>
          <w:lang w:val="en-US" w:eastAsia="zh-CN"/>
        </w:rPr>
        <w:t>【2】贬值处理：由甲乙双方合议定价。</w:t>
      </w:r>
    </w:p>
    <w:p>
      <w:pPr>
        <w:pStyle w:val="16"/>
        <w:numPr>
          <w:ilvl w:val="0"/>
          <w:numId w:val="0"/>
        </w:numPr>
        <w:spacing w:line="360" w:lineRule="auto"/>
        <w:ind w:leftChars="0" w:firstLine="464" w:firstLineChars="200"/>
        <w:rPr>
          <w:rFonts w:hint="eastAsia"/>
          <w:sz w:val="24"/>
          <w:szCs w:val="24"/>
          <w:lang w:val="en-US" w:eastAsia="zh-CN"/>
        </w:rPr>
      </w:pPr>
      <w:r>
        <w:rPr>
          <w:rFonts w:hint="eastAsia"/>
          <w:sz w:val="24"/>
          <w:szCs w:val="24"/>
          <w:lang w:val="en-US" w:eastAsia="zh-CN"/>
        </w:rPr>
        <w:t>【3】退货处理：乙方应退还甲方支付的合同款，同时应承担该货物的直接费用（运输、保险、检验、货款利息及银行手续费等）。</w:t>
      </w:r>
    </w:p>
    <w:p>
      <w:pPr>
        <w:pStyle w:val="16"/>
        <w:numPr>
          <w:ilvl w:val="0"/>
          <w:numId w:val="3"/>
        </w:numPr>
        <w:spacing w:line="360" w:lineRule="auto"/>
        <w:ind w:leftChars="200"/>
        <w:rPr>
          <w:rFonts w:hint="eastAsia"/>
          <w:sz w:val="24"/>
          <w:szCs w:val="24"/>
          <w:lang w:val="en-US" w:eastAsia="zh-CN"/>
        </w:rPr>
      </w:pPr>
      <w:r>
        <w:rPr>
          <w:rFonts w:hint="eastAsia"/>
          <w:sz w:val="24"/>
          <w:szCs w:val="24"/>
          <w:lang w:val="en-US" w:eastAsia="zh-CN"/>
        </w:rPr>
        <w:t>在质保期内，乙方应对货物出现的质量及安全问题负责处理解决并承担一切费用。</w:t>
      </w:r>
    </w:p>
    <w:p>
      <w:pPr>
        <w:pStyle w:val="16"/>
        <w:numPr>
          <w:ilvl w:val="0"/>
          <w:numId w:val="0"/>
        </w:numPr>
        <w:spacing w:line="360" w:lineRule="auto"/>
        <w:ind w:leftChars="200" w:firstLine="466" w:firstLineChars="200"/>
        <w:rPr>
          <w:b/>
          <w:bCs/>
          <w:sz w:val="24"/>
          <w:szCs w:val="24"/>
        </w:rPr>
      </w:pPr>
      <w:r>
        <w:rPr>
          <w:rFonts w:hint="eastAsia"/>
          <w:b/>
          <w:bCs/>
          <w:sz w:val="24"/>
          <w:szCs w:val="24"/>
          <w:lang w:val="en-US" w:eastAsia="zh-CN"/>
        </w:rPr>
        <w:t>6、</w:t>
      </w:r>
      <w:r>
        <w:rPr>
          <w:b/>
          <w:bCs/>
          <w:sz w:val="24"/>
          <w:szCs w:val="24"/>
        </w:rPr>
        <w:t>设计制造检验验收标准</w:t>
      </w:r>
    </w:p>
    <w:p>
      <w:pPr>
        <w:adjustRightInd w:val="0"/>
        <w:snapToGrid w:val="0"/>
        <w:spacing w:line="400" w:lineRule="exact"/>
        <w:ind w:left="479" w:leftChars="228" w:right="57" w:firstLine="120" w:firstLineChars="50"/>
        <w:jc w:val="left"/>
        <w:rPr>
          <w:sz w:val="24"/>
          <w:szCs w:val="24"/>
        </w:rPr>
      </w:pPr>
      <w:r>
        <w:rPr>
          <w:rFonts w:hint="eastAsia"/>
          <w:sz w:val="24"/>
          <w:szCs w:val="24"/>
          <w:lang w:eastAsia="zh-CN"/>
        </w:rPr>
        <w:t>（</w:t>
      </w:r>
      <w:r>
        <w:rPr>
          <w:rFonts w:hint="eastAsia"/>
          <w:sz w:val="24"/>
          <w:szCs w:val="24"/>
        </w:rPr>
        <w:t>1</w:t>
      </w:r>
      <w:r>
        <w:rPr>
          <w:rFonts w:hint="eastAsia"/>
          <w:sz w:val="24"/>
          <w:szCs w:val="24"/>
          <w:lang w:eastAsia="zh-CN"/>
        </w:rPr>
        <w:t>）</w:t>
      </w:r>
      <w:r>
        <w:rPr>
          <w:sz w:val="24"/>
          <w:szCs w:val="24"/>
        </w:rPr>
        <w:t>设备遵循国家《药品生产质量管理规范》即"GMP"的要求</w:t>
      </w:r>
    </w:p>
    <w:p>
      <w:pPr>
        <w:pStyle w:val="16"/>
        <w:numPr>
          <w:ilvl w:val="0"/>
          <w:numId w:val="0"/>
        </w:numPr>
        <w:spacing w:line="360" w:lineRule="auto"/>
        <w:ind w:leftChars="200" w:firstLine="232" w:firstLineChars="100"/>
        <w:rPr>
          <w:rFonts w:hint="eastAsia"/>
          <w:sz w:val="24"/>
          <w:szCs w:val="24"/>
          <w:lang w:val="en-US" w:eastAsia="zh-CN"/>
        </w:rPr>
      </w:pPr>
      <w:r>
        <w:rPr>
          <w:rFonts w:hint="eastAsia"/>
          <w:sz w:val="24"/>
          <w:szCs w:val="24"/>
          <w:lang w:eastAsia="zh-CN"/>
        </w:rPr>
        <w:t>（</w:t>
      </w:r>
      <w:r>
        <w:rPr>
          <w:rFonts w:hint="eastAsia"/>
          <w:sz w:val="24"/>
          <w:szCs w:val="24"/>
        </w:rPr>
        <w:t>2</w:t>
      </w:r>
      <w:r>
        <w:rPr>
          <w:rFonts w:hint="eastAsia"/>
          <w:sz w:val="24"/>
          <w:szCs w:val="24"/>
          <w:lang w:eastAsia="zh-CN"/>
        </w:rPr>
        <w:t>）</w:t>
      </w:r>
      <w:r>
        <w:rPr>
          <w:sz w:val="24"/>
          <w:szCs w:val="24"/>
        </w:rPr>
        <w:t>根据双方认可的技术参数及图纸制造、检验、验收</w:t>
      </w:r>
    </w:p>
    <w:p>
      <w:pPr>
        <w:spacing w:line="360" w:lineRule="auto"/>
        <w:rPr>
          <w:rFonts w:hint="default"/>
          <w:lang w:val="en-US" w:eastAsia="zh-CN"/>
        </w:rPr>
      </w:pPr>
      <w:r>
        <w:rPr>
          <w:rFonts w:hint="eastAsia" w:ascii="宋体" w:hAnsi="宋体"/>
          <w:b/>
          <w:bCs/>
          <w:color w:val="000000"/>
          <w:sz w:val="28"/>
          <w:szCs w:val="28"/>
          <w:lang w:val="en-US" w:eastAsia="zh-CN"/>
        </w:rPr>
        <w:t>四</w:t>
      </w:r>
      <w:r>
        <w:rPr>
          <w:rFonts w:hint="eastAsia" w:ascii="宋体" w:hAnsi="宋体"/>
          <w:b/>
          <w:bCs/>
          <w:color w:val="000000"/>
          <w:sz w:val="28"/>
          <w:szCs w:val="28"/>
        </w:rPr>
        <w:t>、</w:t>
      </w:r>
      <w:r>
        <w:rPr>
          <w:rFonts w:hint="eastAsia" w:ascii="宋体" w:hAnsi="宋体"/>
          <w:b/>
          <w:bCs/>
          <w:color w:val="000000"/>
          <w:sz w:val="28"/>
          <w:szCs w:val="28"/>
          <w:lang w:val="en-US" w:eastAsia="zh-CN"/>
        </w:rPr>
        <w:t>评分细则</w:t>
      </w:r>
    </w:p>
    <w:p>
      <w:pPr>
        <w:spacing w:line="360" w:lineRule="auto"/>
        <w:ind w:firstLine="466" w:firstLineChars="200"/>
        <w:rPr>
          <w:rStyle w:val="20"/>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w:t>
      </w:r>
      <w:r>
        <w:rPr>
          <w:rFonts w:hint="eastAsia" w:asciiTheme="minorEastAsia" w:hAnsiTheme="minorEastAsia" w:eastAsiaTheme="minorEastAsia" w:cstheme="minorEastAsia"/>
          <w:b/>
          <w:bCs/>
          <w:spacing w:val="-4"/>
          <w:sz w:val="24"/>
          <w:szCs w:val="24"/>
          <w:lang w:val="en-US" w:eastAsia="zh-CN"/>
        </w:rPr>
        <w:t>60</w:t>
      </w:r>
      <w:r>
        <w:rPr>
          <w:rFonts w:hint="eastAsia" w:asciiTheme="minorEastAsia" w:hAnsiTheme="minorEastAsia" w:eastAsiaTheme="minorEastAsia" w:cstheme="minorEastAsia"/>
          <w:b/>
          <w:bCs/>
          <w:spacing w:val="-4"/>
          <w:sz w:val="24"/>
          <w:szCs w:val="24"/>
        </w:rPr>
        <w:t>分）</w:t>
      </w:r>
    </w:p>
    <w:tbl>
      <w:tblPr>
        <w:tblStyle w:val="17"/>
        <w:tblW w:w="147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494"/>
        <w:gridCol w:w="5175"/>
        <w:gridCol w:w="1785"/>
        <w:gridCol w:w="6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134" w:hRule="atLeast"/>
          <w:jc w:val="center"/>
        </w:trPr>
        <w:tc>
          <w:tcPr>
            <w:tcW w:w="1494"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5175"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评定项目</w:t>
            </w:r>
          </w:p>
        </w:tc>
        <w:tc>
          <w:tcPr>
            <w:tcW w:w="1785"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分值</w:t>
            </w:r>
          </w:p>
        </w:tc>
        <w:tc>
          <w:tcPr>
            <w:tcW w:w="6318" w:type="dxa"/>
            <w:noWrap w:val="0"/>
            <w:vAlign w:val="center"/>
          </w:tcPr>
          <w:p>
            <w:pPr>
              <w:ind w:left="105" w:leftChars="50" w:right="10" w:rightChars="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19" w:hRule="atLeast"/>
          <w:jc w:val="center"/>
        </w:trPr>
        <w:tc>
          <w:tcPr>
            <w:tcW w:w="149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对应于招标文件设备技术规格及配置的偏离度</w:t>
            </w:r>
          </w:p>
        </w:tc>
        <w:tc>
          <w:tcPr>
            <w:tcW w:w="1785"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22</w:t>
            </w:r>
          </w:p>
        </w:tc>
        <w:tc>
          <w:tcPr>
            <w:tcW w:w="6318"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color w:val="auto"/>
                <w:sz w:val="24"/>
                <w:szCs w:val="24"/>
                <w:highlight w:val="none"/>
              </w:rPr>
              <w:t>与</w:t>
            </w:r>
            <w:r>
              <w:rPr>
                <w:rFonts w:hint="eastAsia" w:ascii="宋体" w:hAnsi="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中</w:t>
            </w:r>
            <w:r>
              <w:rPr>
                <w:rFonts w:hint="eastAsia" w:ascii="宋体" w:hAnsi="宋体" w:cs="宋体"/>
                <w:color w:val="auto"/>
                <w:sz w:val="24"/>
                <w:szCs w:val="24"/>
                <w:highlight w:val="none"/>
                <w:lang w:val="en-US" w:eastAsia="zh-CN"/>
              </w:rPr>
              <w:t>产品具体</w:t>
            </w:r>
            <w:r>
              <w:rPr>
                <w:rFonts w:hint="eastAsia" w:ascii="宋体" w:hAnsi="宋体" w:eastAsia="宋体" w:cs="宋体"/>
                <w:color w:val="auto"/>
                <w:sz w:val="24"/>
                <w:szCs w:val="24"/>
                <w:highlight w:val="none"/>
              </w:rPr>
              <w:t>要求对比，一项指标负偏离扣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分，扣完为止</w:t>
            </w:r>
            <w:r>
              <w:rPr>
                <w:rFonts w:hint="eastAsia" w:ascii="宋体" w:hAnsi="宋体" w:eastAsia="宋体" w:cs="宋体"/>
                <w:color w:val="auto"/>
                <w:sz w:val="24"/>
                <w:szCs w:val="24"/>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24" w:hRule="atLeast"/>
          <w:jc w:val="center"/>
        </w:trPr>
        <w:tc>
          <w:tcPr>
            <w:tcW w:w="1494"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lang w:val="en-US" w:eastAsia="zh-CN"/>
              </w:rPr>
              <w:t>产品</w:t>
            </w:r>
            <w:r>
              <w:rPr>
                <w:rFonts w:hint="eastAsia" w:ascii="宋体" w:hAnsi="宋体" w:eastAsia="宋体" w:cs="宋体"/>
                <w:sz w:val="24"/>
                <w:szCs w:val="24"/>
              </w:rPr>
              <w:t>的档次</w:t>
            </w:r>
          </w:p>
        </w:tc>
        <w:tc>
          <w:tcPr>
            <w:tcW w:w="1785"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p>
        </w:tc>
        <w:tc>
          <w:tcPr>
            <w:tcW w:w="6318"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z w:val="24"/>
                <w:szCs w:val="24"/>
                <w:lang w:val="en-US" w:eastAsia="zh-CN"/>
              </w:rPr>
              <w:t>产品</w:t>
            </w:r>
            <w:r>
              <w:rPr>
                <w:rFonts w:hint="eastAsia" w:ascii="宋体" w:hAnsi="宋体" w:eastAsia="宋体" w:cs="宋体"/>
                <w:sz w:val="24"/>
                <w:szCs w:val="24"/>
              </w:rPr>
              <w:t>在产品系列中属高档产品的，得</w:t>
            </w:r>
            <w:r>
              <w:rPr>
                <w:rFonts w:hint="eastAsia" w:ascii="宋体" w:hAnsi="宋体" w:eastAsia="宋体" w:cs="宋体"/>
                <w:sz w:val="24"/>
                <w:szCs w:val="24"/>
                <w:lang w:val="en-US" w:eastAsia="zh-CN"/>
              </w:rPr>
              <w:t>8-11</w:t>
            </w:r>
            <w:r>
              <w:rPr>
                <w:rFonts w:hint="eastAsia" w:ascii="宋体" w:hAnsi="宋体" w:eastAsia="宋体" w:cs="宋体"/>
                <w:sz w:val="24"/>
                <w:szCs w:val="24"/>
              </w:rPr>
              <w:t>分；属中等档次产品的，得</w:t>
            </w:r>
            <w:r>
              <w:rPr>
                <w:rFonts w:hint="eastAsia" w:ascii="宋体" w:hAnsi="宋体" w:eastAsia="宋体" w:cs="宋体"/>
                <w:sz w:val="24"/>
                <w:szCs w:val="24"/>
                <w:lang w:val="en-US" w:eastAsia="zh-CN"/>
              </w:rPr>
              <w:t>4-7</w:t>
            </w:r>
            <w:r>
              <w:rPr>
                <w:rFonts w:hint="eastAsia" w:ascii="宋体" w:hAnsi="宋体" w:eastAsia="宋体" w:cs="宋体"/>
                <w:sz w:val="24"/>
                <w:szCs w:val="24"/>
              </w:rPr>
              <w:t>分；属低档产品的，得</w:t>
            </w:r>
            <w:r>
              <w:rPr>
                <w:rFonts w:hint="eastAsia" w:ascii="宋体" w:hAnsi="宋体" w:eastAsia="宋体" w:cs="宋体"/>
                <w:sz w:val="24"/>
                <w:szCs w:val="24"/>
                <w:lang w:val="en-US" w:eastAsia="zh-CN"/>
              </w:rPr>
              <w:t>0-3</w:t>
            </w:r>
            <w:r>
              <w:rPr>
                <w:rFonts w:hint="eastAsia" w:ascii="宋体" w:hAnsi="宋体" w:eastAsia="宋体" w:cs="宋体"/>
                <w:sz w:val="24"/>
                <w:szCs w:val="24"/>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19" w:hRule="atLeast"/>
          <w:jc w:val="center"/>
        </w:trPr>
        <w:tc>
          <w:tcPr>
            <w:tcW w:w="1494"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保修服务</w:t>
            </w:r>
          </w:p>
        </w:tc>
        <w:tc>
          <w:tcPr>
            <w:tcW w:w="1785"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6318"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lang w:val="en-US" w:eastAsia="zh-CN"/>
              </w:rPr>
              <w:t>产品质保</w:t>
            </w:r>
            <w:r>
              <w:rPr>
                <w:rFonts w:hint="eastAsia" w:ascii="宋体" w:hAnsi="宋体" w:eastAsia="宋体" w:cs="宋体"/>
                <w:sz w:val="24"/>
                <w:szCs w:val="24"/>
              </w:rPr>
              <w:t>期超过</w:t>
            </w:r>
            <w:r>
              <w:rPr>
                <w:rFonts w:hint="eastAsia" w:ascii="宋体" w:hAnsi="宋体" w:eastAsia="宋体" w:cs="宋体"/>
                <w:sz w:val="24"/>
                <w:szCs w:val="24"/>
                <w:lang w:val="en-US" w:eastAsia="zh-CN"/>
              </w:rPr>
              <w:t>遴选</w:t>
            </w:r>
            <w:r>
              <w:rPr>
                <w:rFonts w:hint="eastAsia" w:ascii="宋体" w:hAnsi="宋体" w:eastAsia="宋体" w:cs="宋体"/>
                <w:sz w:val="24"/>
                <w:szCs w:val="24"/>
              </w:rPr>
              <w:t>文件要求的，每增加1年加1分</w:t>
            </w:r>
            <w:r>
              <w:rPr>
                <w:rFonts w:hint="eastAsia" w:ascii="宋体" w:hAnsi="宋体" w:eastAsia="宋体" w:cs="宋体"/>
                <w:sz w:val="24"/>
                <w:szCs w:val="24"/>
                <w:lang w:val="en-US" w:eastAsia="zh-CN"/>
              </w:rPr>
              <w:t>，</w:t>
            </w:r>
            <w:r>
              <w:rPr>
                <w:rFonts w:hint="eastAsia" w:ascii="宋体" w:hAnsi="宋体" w:eastAsia="宋体" w:cs="宋体"/>
                <w:sz w:val="24"/>
                <w:szCs w:val="24"/>
              </w:rPr>
              <w:t>增加部分不足1年的不计分。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91" w:hRule="atLeast"/>
          <w:jc w:val="center"/>
        </w:trPr>
        <w:tc>
          <w:tcPr>
            <w:tcW w:w="1494"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投标产品总体质量性能</w:t>
            </w:r>
          </w:p>
        </w:tc>
        <w:tc>
          <w:tcPr>
            <w:tcW w:w="1785"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11</w:t>
            </w:r>
          </w:p>
        </w:tc>
        <w:tc>
          <w:tcPr>
            <w:tcW w:w="6318" w:type="dxa"/>
            <w:noWrap w:val="0"/>
            <w:vAlign w:val="center"/>
          </w:tcPr>
          <w:p>
            <w:pPr>
              <w:ind w:left="105" w:leftChars="50" w:right="10" w:rightChars="5"/>
              <w:rPr>
                <w:rFonts w:hint="eastAsia" w:ascii="宋体" w:hAnsi="宋体" w:eastAsia="宋体" w:cs="宋体"/>
                <w:sz w:val="24"/>
                <w:szCs w:val="24"/>
                <w:lang w:eastAsia="zh-CN"/>
              </w:rPr>
            </w:pPr>
            <w:r>
              <w:rPr>
                <w:rFonts w:hint="eastAsia" w:ascii="宋体" w:hAnsi="宋体" w:eastAsia="宋体" w:cs="宋体"/>
                <w:sz w:val="24"/>
                <w:szCs w:val="24"/>
              </w:rPr>
              <w:t>投标产品的使用情况、稳定性、故障率等总体质量性能综合评价。</w:t>
            </w:r>
          </w:p>
          <w:p>
            <w:pPr>
              <w:ind w:left="105" w:leftChars="50" w:right="10" w:rightChars="5"/>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A档：</w:t>
            </w:r>
            <w:r>
              <w:rPr>
                <w:rFonts w:hint="eastAsia" w:ascii="宋体" w:hAnsi="宋体" w:cs="宋体"/>
                <w:sz w:val="24"/>
                <w:szCs w:val="24"/>
                <w:lang w:val="en-US" w:eastAsia="zh-CN"/>
              </w:rPr>
              <w:t>8</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11</w:t>
            </w:r>
            <w:r>
              <w:rPr>
                <w:rFonts w:hint="eastAsia" w:ascii="宋体" w:hAnsi="宋体" w:eastAsia="宋体" w:cs="宋体"/>
                <w:sz w:val="24"/>
                <w:szCs w:val="24"/>
              </w:rPr>
              <w:t>分</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B档：</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7</w:t>
            </w:r>
            <w:r>
              <w:rPr>
                <w:rFonts w:hint="eastAsia" w:ascii="宋体" w:hAnsi="宋体" w:eastAsia="宋体" w:cs="宋体"/>
                <w:sz w:val="24"/>
                <w:szCs w:val="24"/>
                <w:lang w:val="en-US" w:eastAsia="zh-CN"/>
              </w:rPr>
              <w:t>分；C档：0-</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359" w:hRule="atLeast"/>
          <w:jc w:val="center"/>
        </w:trPr>
        <w:tc>
          <w:tcPr>
            <w:tcW w:w="1494"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市场占有率</w:t>
            </w:r>
          </w:p>
        </w:tc>
        <w:tc>
          <w:tcPr>
            <w:tcW w:w="1785"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3</w:t>
            </w:r>
          </w:p>
        </w:tc>
        <w:tc>
          <w:tcPr>
            <w:tcW w:w="6318" w:type="dxa"/>
            <w:noWrap w:val="0"/>
            <w:vAlign w:val="center"/>
          </w:tcPr>
          <w:p>
            <w:pPr>
              <w:ind w:left="105" w:leftChars="50" w:right="10" w:rightChars="5"/>
              <w:rPr>
                <w:rFonts w:hint="eastAsia" w:ascii="宋体" w:hAnsi="宋体" w:eastAsia="宋体" w:cs="宋体"/>
                <w:sz w:val="24"/>
                <w:szCs w:val="24"/>
              </w:rPr>
            </w:pPr>
            <w:r>
              <w:rPr>
                <w:rFonts w:hint="eastAsia" w:ascii="宋体" w:hAnsi="宋体" w:eastAsia="宋体" w:cs="宋体"/>
                <w:sz w:val="24"/>
                <w:szCs w:val="24"/>
              </w:rPr>
              <w:t>提供</w:t>
            </w:r>
            <w:r>
              <w:rPr>
                <w:rFonts w:hint="eastAsia" w:ascii="宋体" w:hAnsi="宋体" w:eastAsia="宋体" w:cs="宋体"/>
                <w:sz w:val="24"/>
                <w:szCs w:val="24"/>
                <w:lang w:eastAsia="zh-CN"/>
              </w:rPr>
              <w:t>温州市或浙江省内</w:t>
            </w:r>
            <w:r>
              <w:rPr>
                <w:rFonts w:hint="eastAsia" w:ascii="宋体" w:hAnsi="宋体" w:eastAsia="宋体" w:cs="宋体"/>
                <w:sz w:val="24"/>
                <w:szCs w:val="24"/>
              </w:rPr>
              <w:t>20</w:t>
            </w:r>
            <w:r>
              <w:rPr>
                <w:rFonts w:hint="eastAsia" w:ascii="宋体" w:hAnsi="宋体" w:eastAsia="宋体" w:cs="宋体"/>
                <w:sz w:val="24"/>
                <w:szCs w:val="24"/>
                <w:lang w:val="en-US" w:eastAsia="zh-CN"/>
              </w:rPr>
              <w:t>2</w:t>
            </w:r>
            <w:r>
              <w:rPr>
                <w:rFonts w:hint="eastAsia" w:ascii="宋体" w:hAnsi="宋体" w:cs="宋体"/>
                <w:sz w:val="24"/>
                <w:szCs w:val="24"/>
                <w:lang w:val="en-US" w:eastAsia="zh-CN"/>
              </w:rPr>
              <w:t>1</w:t>
            </w:r>
            <w:r>
              <w:rPr>
                <w:rFonts w:hint="eastAsia" w:ascii="宋体" w:hAnsi="宋体" w:eastAsia="宋体" w:cs="宋体"/>
                <w:sz w:val="24"/>
                <w:szCs w:val="24"/>
              </w:rPr>
              <w:t>年1月1日起至今与最终用户签订的</w:t>
            </w:r>
            <w:r>
              <w:rPr>
                <w:rFonts w:hint="eastAsia" w:ascii="宋体" w:hAnsi="宋体" w:cs="宋体"/>
                <w:sz w:val="24"/>
                <w:szCs w:val="24"/>
                <w:lang w:val="en-US" w:eastAsia="zh-CN"/>
              </w:rPr>
              <w:t>同类项目</w:t>
            </w:r>
            <w:r>
              <w:rPr>
                <w:rFonts w:hint="eastAsia" w:ascii="宋体" w:hAnsi="宋体" w:eastAsia="宋体" w:cs="宋体"/>
                <w:sz w:val="24"/>
                <w:szCs w:val="24"/>
              </w:rPr>
              <w:t>合同复印件，每份有效合同得</w:t>
            </w:r>
            <w:r>
              <w:rPr>
                <w:rFonts w:hint="eastAsia" w:ascii="宋体" w:hAnsi="宋体" w:eastAsia="宋体" w:cs="宋体"/>
                <w:sz w:val="24"/>
                <w:szCs w:val="24"/>
                <w:lang w:val="en-US" w:eastAsia="zh-CN"/>
              </w:rPr>
              <w:t>1</w:t>
            </w:r>
            <w:r>
              <w:rPr>
                <w:rFonts w:hint="eastAsia" w:ascii="宋体" w:hAnsi="宋体" w:eastAsia="宋体" w:cs="宋体"/>
                <w:sz w:val="24"/>
                <w:szCs w:val="24"/>
              </w:rPr>
              <w:t>分，最多</w:t>
            </w:r>
            <w:r>
              <w:rPr>
                <w:rFonts w:hint="eastAsia" w:ascii="宋体" w:hAnsi="宋体" w:eastAsia="宋体" w:cs="宋体"/>
                <w:sz w:val="24"/>
                <w:szCs w:val="24"/>
                <w:lang w:val="en-US" w:eastAsia="zh-CN"/>
              </w:rPr>
              <w:t>3</w:t>
            </w:r>
            <w:r>
              <w:rPr>
                <w:rFonts w:hint="eastAsia" w:ascii="宋体" w:hAnsi="宋体" w:eastAsia="宋体" w:cs="宋体"/>
                <w:sz w:val="24"/>
                <w:szCs w:val="24"/>
              </w:rPr>
              <w:t>分。（与同一采购人签订的多份合同或协议视为一个业绩）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94" w:hRule="atLeast"/>
          <w:jc w:val="center"/>
        </w:trPr>
        <w:tc>
          <w:tcPr>
            <w:tcW w:w="1494"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5175"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制造商或代理商的售后服务和维修能力</w:t>
            </w:r>
          </w:p>
        </w:tc>
        <w:tc>
          <w:tcPr>
            <w:tcW w:w="1785" w:type="dxa"/>
            <w:noWrap w:val="0"/>
            <w:vAlign w:val="center"/>
          </w:tcPr>
          <w:p>
            <w:pPr>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10</w:t>
            </w:r>
          </w:p>
        </w:tc>
        <w:tc>
          <w:tcPr>
            <w:tcW w:w="6318" w:type="dxa"/>
            <w:noWrap w:val="0"/>
            <w:vAlign w:val="center"/>
          </w:tcPr>
          <w:p>
            <w:pPr>
              <w:ind w:left="105" w:leftChars="50" w:right="10" w:rightChars="5"/>
              <w:rPr>
                <w:rFonts w:hint="eastAsia" w:ascii="宋体" w:hAnsi="宋体" w:eastAsia="宋体" w:cs="宋体"/>
                <w:sz w:val="24"/>
                <w:szCs w:val="24"/>
                <w:lang w:eastAsia="zh-CN"/>
              </w:rPr>
            </w:pPr>
            <w:r>
              <w:rPr>
                <w:rFonts w:hint="eastAsia" w:ascii="宋体" w:hAnsi="宋体" w:eastAsia="宋体" w:cs="宋体"/>
                <w:sz w:val="24"/>
                <w:szCs w:val="24"/>
              </w:rPr>
              <w:t>制造商或代理商的售后服务和维修能力，服务响应速度、服务人员</w:t>
            </w:r>
            <w:bookmarkStart w:id="1" w:name="_GoBack"/>
            <w:bookmarkEnd w:id="1"/>
            <w:r>
              <w:rPr>
                <w:rFonts w:hint="eastAsia" w:ascii="宋体" w:hAnsi="宋体" w:eastAsia="宋体" w:cs="宋体"/>
                <w:sz w:val="24"/>
                <w:szCs w:val="24"/>
              </w:rPr>
              <w:t>水平、备品备件配置等综合评价。</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0-</w:t>
            </w:r>
            <w:r>
              <w:rPr>
                <w:rFonts w:hint="eastAsia" w:ascii="宋体" w:hAnsi="宋体" w:cs="宋体"/>
                <w:sz w:val="24"/>
                <w:szCs w:val="24"/>
                <w:lang w:val="en-US" w:eastAsia="zh-CN"/>
              </w:rPr>
              <w:t>10</w:t>
            </w:r>
            <w:r>
              <w:rPr>
                <w:rFonts w:hint="eastAsia" w:ascii="宋体" w:hAnsi="宋体" w:eastAsia="宋体" w:cs="宋体"/>
                <w:sz w:val="24"/>
                <w:szCs w:val="24"/>
                <w:lang w:val="en-US" w:eastAsia="zh-CN"/>
              </w:rPr>
              <w:t>分</w:t>
            </w:r>
            <w:r>
              <w:rPr>
                <w:rFonts w:hint="eastAsia" w:ascii="宋体" w:hAnsi="宋体" w:eastAsia="宋体" w:cs="宋体"/>
                <w:sz w:val="24"/>
                <w:szCs w:val="24"/>
                <w:lang w:eastAsia="zh-CN"/>
              </w:rPr>
              <w:t>）</w:t>
            </w:r>
          </w:p>
        </w:tc>
      </w:tr>
    </w:tbl>
    <w:p>
      <w:pPr>
        <w:numPr>
          <w:ilvl w:val="0"/>
          <w:numId w:val="0"/>
        </w:numPr>
        <w:spacing w:before="120" w:beforeLines="50" w:after="120" w:afterLines="50" w:line="360" w:lineRule="auto"/>
        <w:jc w:val="both"/>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b/>
          <w:bCs/>
          <w:spacing w:val="-4"/>
          <w:sz w:val="24"/>
          <w:szCs w:val="24"/>
          <w:lang w:val="en-US" w:eastAsia="zh-CN"/>
        </w:rPr>
        <w:t>2、</w:t>
      </w:r>
      <w:r>
        <w:rPr>
          <w:rFonts w:hint="eastAsia" w:asciiTheme="minorEastAsia" w:hAnsiTheme="minorEastAsia" w:eastAsiaTheme="minorEastAsia" w:cstheme="minorEastAsia"/>
          <w:b/>
          <w:bCs/>
          <w:spacing w:val="-4"/>
          <w:sz w:val="24"/>
          <w:szCs w:val="24"/>
        </w:rPr>
        <w:t>价格分（0-</w:t>
      </w:r>
      <w:r>
        <w:rPr>
          <w:rFonts w:hint="eastAsia" w:asciiTheme="minorEastAsia" w:hAnsiTheme="minorEastAsia" w:eastAsiaTheme="minorEastAsia" w:cstheme="minorEastAsia"/>
          <w:b/>
          <w:bCs/>
          <w:spacing w:val="-4"/>
          <w:sz w:val="24"/>
          <w:szCs w:val="24"/>
          <w:lang w:val="en-US" w:eastAsia="zh-CN"/>
        </w:rPr>
        <w:t>40</w:t>
      </w:r>
      <w:r>
        <w:rPr>
          <w:rFonts w:hint="eastAsia" w:asciiTheme="minorEastAsia" w:hAnsiTheme="minorEastAsia" w:eastAsiaTheme="minorEastAsia" w:cstheme="minorEastAsia"/>
          <w:b/>
          <w:bCs/>
          <w:spacing w:val="-4"/>
          <w:sz w:val="24"/>
          <w:szCs w:val="24"/>
        </w:rPr>
        <w:t>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价格分采用低价优先法计算，即满足招标文件要求且投标报价最低的投标报价为评标基准价，其得分为满分</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0</w:t>
      </w:r>
      <w:r>
        <w:rPr>
          <w:rFonts w:hint="eastAsia" w:ascii="宋体" w:hAnsi="宋体" w:eastAsia="宋体" w:cs="宋体"/>
          <w:sz w:val="24"/>
          <w:szCs w:val="24"/>
        </w:rPr>
        <w:t>分。其他投标人的价格分按照下列公式计算：</w:t>
      </w:r>
    </w:p>
    <w:p>
      <w:pPr>
        <w:spacing w:line="360" w:lineRule="auto"/>
        <w:ind w:firstLine="480" w:firstLineChars="200"/>
        <w:rPr>
          <w:rFonts w:hint="eastAsia" w:ascii="新宋体" w:hAnsi="新宋体" w:eastAsia="新宋体" w:cs="新宋体"/>
          <w:b/>
          <w:bCs/>
          <w:color w:val="auto"/>
          <w:kern w:val="2"/>
          <w:sz w:val="28"/>
          <w:szCs w:val="28"/>
          <w:highlight w:val="none"/>
          <w:lang w:val="en-US" w:eastAsia="zh-CN" w:bidi="ar-SA"/>
        </w:rPr>
      </w:pPr>
      <w:r>
        <w:rPr>
          <w:rFonts w:hint="eastAsia" w:ascii="宋体" w:hAnsi="宋体" w:eastAsia="宋体" w:cs="宋体"/>
          <w:sz w:val="24"/>
          <w:szCs w:val="24"/>
        </w:rPr>
        <w:t>价格分=（评标基准价/投标报价）×</w:t>
      </w:r>
      <w:r>
        <w:rPr>
          <w:rFonts w:hint="eastAsia" w:ascii="宋体" w:hAnsi="宋体" w:cs="宋体"/>
          <w:sz w:val="24"/>
          <w:szCs w:val="24"/>
          <w:lang w:val="en-US" w:eastAsia="zh-CN"/>
        </w:rPr>
        <w:t>4</w:t>
      </w:r>
      <w:r>
        <w:rPr>
          <w:rFonts w:hint="eastAsia" w:ascii="宋体" w:hAnsi="宋体" w:eastAsia="宋体" w:cs="宋体"/>
          <w:sz w:val="24"/>
          <w:szCs w:val="24"/>
          <w:lang w:val="en-US" w:eastAsia="zh-CN"/>
        </w:rPr>
        <w:t>0</w:t>
      </w:r>
      <w:r>
        <w:rPr>
          <w:rFonts w:hint="eastAsia" w:ascii="宋体" w:hAnsi="宋体" w:eastAsia="宋体" w:cs="宋体"/>
          <w:sz w:val="24"/>
          <w:szCs w:val="24"/>
        </w:rPr>
        <w:t>%×100</w:t>
      </w:r>
    </w:p>
    <w:p>
      <w:pPr>
        <w:pStyle w:val="5"/>
        <w:jc w:val="center"/>
        <w:rPr>
          <w:rFonts w:hint="eastAsia" w:ascii="新宋体" w:hAnsi="新宋体" w:eastAsia="新宋体" w:cs="新宋体"/>
          <w:b w:val="0"/>
          <w:bCs/>
          <w:color w:val="auto"/>
          <w:sz w:val="22"/>
          <w:highlight w:val="none"/>
        </w:rPr>
      </w:pPr>
    </w:p>
    <w:p>
      <w:pPr>
        <w:pStyle w:val="5"/>
        <w:jc w:val="center"/>
        <w:rPr>
          <w:rFonts w:hint="eastAsia" w:ascii="新宋体" w:hAnsi="新宋体" w:eastAsia="新宋体" w:cs="新宋体"/>
          <w:b w:val="0"/>
          <w:bCs/>
          <w:color w:val="auto"/>
          <w:sz w:val="22"/>
          <w:highlight w:val="none"/>
        </w:rPr>
      </w:pPr>
      <w:r>
        <w:rPr>
          <w:rFonts w:hint="eastAsia" w:ascii="新宋体" w:hAnsi="新宋体" w:eastAsia="新宋体" w:cs="新宋体"/>
          <w:b/>
          <w:bCs/>
          <w:color w:val="auto"/>
          <w:kern w:val="2"/>
          <w:sz w:val="28"/>
          <w:szCs w:val="28"/>
          <w:highlight w:val="none"/>
          <w:lang w:val="en-US" w:eastAsia="zh-CN" w:bidi="ar-SA"/>
        </w:rPr>
        <w:t>（1）报价一览表</w:t>
      </w:r>
    </w:p>
    <w:p>
      <w:pPr>
        <w:autoSpaceDE w:val="0"/>
        <w:autoSpaceDN w:val="0"/>
        <w:spacing w:line="360" w:lineRule="auto"/>
        <w:ind w:right="893" w:firstLine="240" w:firstLineChars="100"/>
        <w:textAlignment w:val="bottom"/>
        <w:rPr>
          <w:rFonts w:hint="eastAsia" w:ascii="新宋体" w:hAnsi="新宋体" w:eastAsia="新宋体" w:cs="新宋体"/>
          <w:b w:val="0"/>
          <w:bCs/>
          <w:color w:val="auto"/>
          <w:sz w:val="22"/>
          <w:highlight w:val="none"/>
        </w:rPr>
      </w:pPr>
      <w:r>
        <w:rPr>
          <w:rFonts w:hint="eastAsia" w:ascii="新宋体" w:hAnsi="新宋体" w:eastAsia="新宋体" w:cs="新宋体"/>
          <w:b w:val="0"/>
          <w:bCs/>
          <w:color w:val="auto"/>
          <w:sz w:val="24"/>
          <w:szCs w:val="24"/>
          <w:highlight w:val="none"/>
        </w:rPr>
        <w:t>项目名称：</w:t>
      </w:r>
      <w:r>
        <w:rPr>
          <w:rFonts w:hint="eastAsia" w:ascii="宋体" w:hAnsi="宋体" w:eastAsia="宋体" w:cs="宋体"/>
          <w:b w:val="0"/>
          <w:bCs/>
          <w:color w:val="auto"/>
          <w:sz w:val="24"/>
          <w:szCs w:val="24"/>
          <w:highlight w:val="none"/>
          <w:lang w:val="en-US" w:eastAsia="zh-CN"/>
        </w:rPr>
        <w:t>温州市中医院</w:t>
      </w:r>
      <w:r>
        <w:rPr>
          <w:rFonts w:hint="eastAsia" w:ascii="宋体" w:hAnsi="宋体" w:cs="宋体"/>
          <w:color w:val="000000"/>
          <w:sz w:val="24"/>
          <w:szCs w:val="24"/>
          <w:lang w:val="en-US" w:eastAsia="zh-CN"/>
        </w:rPr>
        <w:t>打浆机</w:t>
      </w:r>
      <w:r>
        <w:rPr>
          <w:rFonts w:hint="eastAsia" w:ascii="宋体" w:hAnsi="宋体" w:eastAsia="宋体" w:cs="宋体"/>
          <w:color w:val="000000"/>
          <w:sz w:val="24"/>
          <w:szCs w:val="24"/>
          <w:lang w:val="en-US" w:eastAsia="zh-CN"/>
        </w:rPr>
        <w:t>采购</w:t>
      </w:r>
      <w:r>
        <w:rPr>
          <w:rFonts w:hint="eastAsia" w:ascii="宋体" w:hAnsi="宋体" w:eastAsia="宋体" w:cs="宋体"/>
          <w:b w:val="0"/>
          <w:bCs/>
          <w:color w:val="auto"/>
          <w:sz w:val="24"/>
          <w:szCs w:val="24"/>
          <w:highlight w:val="none"/>
        </w:rPr>
        <w:t xml:space="preserve">  </w:t>
      </w:r>
      <w:r>
        <w:rPr>
          <w:rFonts w:hint="eastAsia" w:ascii="新宋体" w:hAnsi="新宋体" w:eastAsia="新宋体" w:cs="新宋体"/>
          <w:b w:val="0"/>
          <w:bCs/>
          <w:color w:val="auto"/>
          <w:sz w:val="22"/>
          <w:highlight w:val="none"/>
        </w:rPr>
        <w:t xml:space="preserve">                            </w:t>
      </w:r>
    </w:p>
    <w:tbl>
      <w:tblPr>
        <w:tblStyle w:val="17"/>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3"/>
        <w:gridCol w:w="2025"/>
        <w:gridCol w:w="4140"/>
        <w:gridCol w:w="39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6828" w:type="dxa"/>
            <w:gridSpan w:val="2"/>
            <w:noWrap w:val="0"/>
            <w:vAlign w:val="center"/>
          </w:tcPr>
          <w:p>
            <w:pPr>
              <w:pStyle w:val="9"/>
              <w:jc w:val="center"/>
              <w:rPr>
                <w:rFonts w:hint="eastAsia" w:hAnsi="宋体"/>
                <w:sz w:val="24"/>
                <w:szCs w:val="24"/>
              </w:rPr>
            </w:pPr>
            <w:r>
              <w:rPr>
                <w:rFonts w:hint="eastAsia" w:hAnsi="宋体"/>
                <w:bCs/>
                <w:sz w:val="24"/>
                <w:szCs w:val="24"/>
              </w:rPr>
              <w:t>项目名称</w:t>
            </w:r>
          </w:p>
        </w:tc>
        <w:tc>
          <w:tcPr>
            <w:tcW w:w="4140" w:type="dxa"/>
            <w:noWrap w:val="0"/>
            <w:vAlign w:val="center"/>
          </w:tcPr>
          <w:p>
            <w:pPr>
              <w:pStyle w:val="9"/>
              <w:jc w:val="center"/>
              <w:rPr>
                <w:rFonts w:hint="eastAsia" w:hAnsi="宋体" w:eastAsia="宋体"/>
                <w:sz w:val="24"/>
                <w:szCs w:val="24"/>
                <w:lang w:eastAsia="zh-CN"/>
              </w:rPr>
            </w:pPr>
            <w:r>
              <w:rPr>
                <w:rFonts w:hint="eastAsia" w:hAnsi="宋体"/>
                <w:bCs/>
                <w:sz w:val="24"/>
                <w:szCs w:val="24"/>
                <w:lang w:val="en-US" w:eastAsia="zh-CN"/>
              </w:rPr>
              <w:t>数量</w:t>
            </w:r>
          </w:p>
        </w:tc>
        <w:tc>
          <w:tcPr>
            <w:tcW w:w="3948" w:type="dxa"/>
            <w:noWrap w:val="0"/>
            <w:vAlign w:val="center"/>
          </w:tcPr>
          <w:p>
            <w:pPr>
              <w:pStyle w:val="9"/>
              <w:spacing w:line="460" w:lineRule="atLeast"/>
              <w:jc w:val="center"/>
              <w:rPr>
                <w:rFonts w:hint="eastAsia" w:hAnsi="宋体" w:eastAsia="宋体"/>
                <w:sz w:val="24"/>
                <w:szCs w:val="24"/>
                <w:lang w:eastAsia="zh-CN"/>
              </w:rPr>
            </w:pPr>
            <w:r>
              <w:rPr>
                <w:rFonts w:hint="eastAsia" w:hAnsi="宋体"/>
                <w:sz w:val="24"/>
                <w:szCs w:val="24"/>
                <w:lang w:val="en-US" w:eastAsia="zh-CN"/>
              </w:rPr>
              <w:t>质保期（≥1年）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6828" w:type="dxa"/>
            <w:gridSpan w:val="2"/>
            <w:noWrap w:val="0"/>
            <w:vAlign w:val="center"/>
          </w:tcPr>
          <w:p>
            <w:pPr>
              <w:jc w:val="center"/>
              <w:rPr>
                <w:rFonts w:hint="eastAsia" w:eastAsia="宋体"/>
                <w:sz w:val="24"/>
                <w:szCs w:val="24"/>
                <w:lang w:eastAsia="zh-CN"/>
              </w:rPr>
            </w:pPr>
            <w:r>
              <w:rPr>
                <w:rFonts w:hint="eastAsia" w:ascii="宋体" w:hAnsi="宋体" w:eastAsia="宋体" w:cs="宋体"/>
                <w:b w:val="0"/>
                <w:bCs/>
                <w:color w:val="auto"/>
                <w:sz w:val="24"/>
                <w:szCs w:val="24"/>
                <w:highlight w:val="none"/>
                <w:lang w:val="en-US" w:eastAsia="zh-CN"/>
              </w:rPr>
              <w:t>温州市中医院</w:t>
            </w:r>
            <w:r>
              <w:rPr>
                <w:rFonts w:hint="eastAsia" w:ascii="宋体" w:hAnsi="宋体" w:cs="宋体"/>
                <w:color w:val="000000"/>
                <w:sz w:val="24"/>
                <w:szCs w:val="24"/>
                <w:lang w:val="en-US" w:eastAsia="zh-CN"/>
              </w:rPr>
              <w:t>打浆机</w:t>
            </w:r>
            <w:r>
              <w:rPr>
                <w:rFonts w:hint="eastAsia" w:ascii="宋体" w:hAnsi="宋体" w:eastAsia="宋体" w:cs="宋体"/>
                <w:color w:val="000000"/>
                <w:sz w:val="24"/>
                <w:szCs w:val="24"/>
                <w:lang w:val="en-US" w:eastAsia="zh-CN"/>
              </w:rPr>
              <w:t>采购</w:t>
            </w:r>
            <w:r>
              <w:rPr>
                <w:rFonts w:hint="eastAsia" w:ascii="宋体" w:hAnsi="宋体" w:eastAsia="宋体" w:cs="宋体"/>
                <w:b w:val="0"/>
                <w:bCs/>
                <w:color w:val="auto"/>
                <w:sz w:val="24"/>
                <w:szCs w:val="24"/>
                <w:highlight w:val="none"/>
              </w:rPr>
              <w:t xml:space="preserve">  </w:t>
            </w:r>
            <w:r>
              <w:rPr>
                <w:rFonts w:hint="eastAsia" w:ascii="新宋体" w:hAnsi="新宋体" w:eastAsia="新宋体" w:cs="新宋体"/>
                <w:b w:val="0"/>
                <w:bCs/>
                <w:color w:val="auto"/>
                <w:sz w:val="22"/>
                <w:highlight w:val="none"/>
              </w:rPr>
              <w:t xml:space="preserve">    </w:t>
            </w:r>
          </w:p>
        </w:tc>
        <w:tc>
          <w:tcPr>
            <w:tcW w:w="4140" w:type="dxa"/>
            <w:noWrap w:val="0"/>
            <w:vAlign w:val="center"/>
          </w:tcPr>
          <w:p>
            <w:pPr>
              <w:jc w:val="center"/>
              <w:rPr>
                <w:rFonts w:hint="default"/>
                <w:sz w:val="24"/>
                <w:szCs w:val="24"/>
                <w:lang w:val="en-US"/>
              </w:rPr>
            </w:pPr>
            <w:r>
              <w:rPr>
                <w:rFonts w:hint="eastAsia" w:ascii="宋体" w:hAnsi="宋体" w:cs="宋体"/>
                <w:sz w:val="24"/>
                <w:szCs w:val="24"/>
                <w:lang w:val="en-US" w:eastAsia="zh-CN"/>
              </w:rPr>
              <w:t>1批</w:t>
            </w:r>
          </w:p>
        </w:tc>
        <w:tc>
          <w:tcPr>
            <w:tcW w:w="3948" w:type="dxa"/>
            <w:noWrap w:val="0"/>
            <w:vAlign w:val="center"/>
          </w:tcPr>
          <w:p>
            <w:pPr>
              <w:pStyle w:val="9"/>
              <w:spacing w:line="460" w:lineRule="atLeast"/>
              <w:ind w:firstLine="469"/>
              <w:jc w:val="center"/>
              <w:rPr>
                <w:rFonts w:hint="eastAsia" w:hAnsi="宋体"/>
                <w:sz w:val="24"/>
                <w:szCs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4803" w:type="dxa"/>
            <w:vMerge w:val="restart"/>
            <w:noWrap w:val="0"/>
            <w:vAlign w:val="center"/>
          </w:tcPr>
          <w:p>
            <w:pPr>
              <w:jc w:val="center"/>
              <w:rPr>
                <w:rFonts w:hint="eastAsia" w:ascii="宋体" w:hAnsi="宋体"/>
                <w:sz w:val="24"/>
                <w:szCs w:val="24"/>
              </w:rPr>
            </w:pPr>
            <w:r>
              <w:rPr>
                <w:rFonts w:hint="eastAsia" w:ascii="宋体" w:hAnsi="宋体"/>
                <w:sz w:val="24"/>
                <w:szCs w:val="24"/>
              </w:rPr>
              <w:t>投标报价</w:t>
            </w:r>
          </w:p>
        </w:tc>
        <w:tc>
          <w:tcPr>
            <w:tcW w:w="10113" w:type="dxa"/>
            <w:gridSpan w:val="3"/>
            <w:noWrap w:val="0"/>
            <w:vAlign w:val="center"/>
          </w:tcPr>
          <w:p>
            <w:pPr>
              <w:pStyle w:val="9"/>
              <w:spacing w:line="460" w:lineRule="atLeast"/>
              <w:rPr>
                <w:rFonts w:hint="eastAsia" w:hAnsi="宋体"/>
                <w:sz w:val="24"/>
                <w:szCs w:val="24"/>
              </w:rPr>
            </w:pPr>
            <w:r>
              <w:rPr>
                <w:rFonts w:hint="eastAsia" w:hAnsi="宋体"/>
                <w:sz w:val="24"/>
                <w:szCs w:val="24"/>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4803" w:type="dxa"/>
            <w:vMerge w:val="continue"/>
            <w:noWrap w:val="0"/>
            <w:vAlign w:val="center"/>
          </w:tcPr>
          <w:p>
            <w:pPr>
              <w:pStyle w:val="9"/>
              <w:spacing w:line="460" w:lineRule="atLeast"/>
              <w:ind w:firstLine="469"/>
              <w:rPr>
                <w:rFonts w:hint="eastAsia" w:hAnsi="宋体"/>
                <w:sz w:val="24"/>
                <w:szCs w:val="24"/>
              </w:rPr>
            </w:pPr>
          </w:p>
        </w:tc>
        <w:tc>
          <w:tcPr>
            <w:tcW w:w="10113" w:type="dxa"/>
            <w:gridSpan w:val="3"/>
            <w:noWrap w:val="0"/>
            <w:vAlign w:val="center"/>
          </w:tcPr>
          <w:p>
            <w:pPr>
              <w:pStyle w:val="9"/>
              <w:spacing w:line="460" w:lineRule="atLeast"/>
              <w:rPr>
                <w:rFonts w:hint="eastAsia" w:hAnsi="宋体"/>
                <w:sz w:val="24"/>
                <w:szCs w:val="24"/>
              </w:rPr>
            </w:pPr>
            <w:r>
              <w:rPr>
                <w:rFonts w:hint="eastAsia" w:hAnsi="宋体"/>
                <w:sz w:val="24"/>
                <w:szCs w:val="24"/>
              </w:rPr>
              <w:t>（小写）￥：</w:t>
            </w:r>
          </w:p>
        </w:tc>
      </w:tr>
    </w:tbl>
    <w:p>
      <w:pPr>
        <w:spacing w:line="460" w:lineRule="exact"/>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rPr>
        <w:t>1、此表总计价应与</w:t>
      </w:r>
      <w:r>
        <w:rPr>
          <w:rFonts w:hint="eastAsia" w:ascii="宋体" w:hAnsi="宋体"/>
          <w:b/>
          <w:bCs/>
          <w:sz w:val="22"/>
          <w:szCs w:val="22"/>
          <w:lang w:val="en-US" w:eastAsia="zh-CN"/>
        </w:rPr>
        <w:t>下</w:t>
      </w:r>
      <w:r>
        <w:rPr>
          <w:rFonts w:hint="eastAsia" w:ascii="宋体" w:hAnsi="宋体"/>
          <w:b/>
          <w:bCs/>
          <w:sz w:val="22"/>
          <w:szCs w:val="22"/>
        </w:rPr>
        <w:t>方“（</w:t>
      </w:r>
      <w:r>
        <w:rPr>
          <w:rFonts w:hint="eastAsia" w:ascii="宋体" w:hAnsi="宋体"/>
          <w:b/>
          <w:bCs/>
          <w:sz w:val="22"/>
          <w:szCs w:val="22"/>
          <w:lang w:val="en-US" w:eastAsia="zh-CN"/>
        </w:rPr>
        <w:t>二</w:t>
      </w:r>
      <w:r>
        <w:rPr>
          <w:rFonts w:hint="eastAsia" w:ascii="宋体" w:hAnsi="宋体"/>
          <w:b/>
          <w:bCs/>
          <w:sz w:val="22"/>
          <w:szCs w:val="22"/>
        </w:rPr>
        <w:t>）分项报价表”中报价相一致。</w:t>
      </w:r>
    </w:p>
    <w:p>
      <w:pPr>
        <w:spacing w:line="380" w:lineRule="exact"/>
        <w:rPr>
          <w:rFonts w:hint="eastAsia" w:ascii="宋体" w:hAnsi="宋体"/>
          <w:b/>
          <w:bCs/>
          <w:sz w:val="22"/>
          <w:szCs w:val="22"/>
        </w:rPr>
      </w:pPr>
      <w:r>
        <w:rPr>
          <w:rFonts w:hint="eastAsia" w:ascii="宋体" w:hAnsi="宋体"/>
          <w:b/>
          <w:bCs/>
          <w:sz w:val="22"/>
          <w:szCs w:val="22"/>
        </w:rPr>
        <w:t>2、不提供</w:t>
      </w:r>
      <w:r>
        <w:rPr>
          <w:rFonts w:hint="eastAsia" w:ascii="宋体" w:hAnsi="宋体"/>
          <w:b/>
          <w:bCs/>
          <w:sz w:val="22"/>
          <w:szCs w:val="22"/>
          <w:lang w:val="en-US" w:eastAsia="zh-CN"/>
        </w:rPr>
        <w:t>次表格</w:t>
      </w:r>
      <w:r>
        <w:rPr>
          <w:rFonts w:hint="eastAsia" w:ascii="宋体" w:hAnsi="宋体"/>
          <w:b/>
          <w:bCs/>
          <w:sz w:val="22"/>
          <w:szCs w:val="22"/>
        </w:rPr>
        <w:t>将视为没有实质性响应招标文件。</w:t>
      </w:r>
    </w:p>
    <w:p>
      <w:pPr>
        <w:spacing w:line="380" w:lineRule="exact"/>
        <w:rPr>
          <w:rFonts w:hint="eastAsia" w:ascii="宋体" w:hAnsi="宋体"/>
          <w:sz w:val="22"/>
          <w:szCs w:val="22"/>
        </w:rPr>
      </w:pPr>
      <w:r>
        <w:rPr>
          <w:rFonts w:hint="eastAsia" w:ascii="宋体" w:hAnsi="宋体"/>
          <w:b/>
          <w:bCs/>
          <w:sz w:val="22"/>
          <w:szCs w:val="22"/>
        </w:rPr>
        <w:t>3、以上全部报价包含货物到达甲方并能正常使用所需的一切费用，包括但不限于包装费、运输费、装卸费、保险费、安装费以及保修费、税费等。</w:t>
      </w:r>
    </w:p>
    <w:p>
      <w:pPr>
        <w:spacing w:line="360" w:lineRule="auto"/>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pStyle w:val="2"/>
        <w:ind w:left="0" w:leftChars="0" w:firstLine="0" w:firstLineChars="0"/>
        <w:rPr>
          <w:rFonts w:hint="eastAsia"/>
          <w:b w:val="0"/>
          <w:bCs w:val="0"/>
        </w:rPr>
      </w:pPr>
      <w:r>
        <w:rPr>
          <w:rFonts w:hint="eastAsia" w:ascii="宋体" w:hAnsi="宋体"/>
          <w:b w:val="0"/>
          <w:bCs w:val="0"/>
          <w:sz w:val="22"/>
          <w:szCs w:val="22"/>
        </w:rPr>
        <w:t>日 期</w:t>
      </w:r>
      <w:r>
        <w:rPr>
          <w:rFonts w:hint="eastAsia" w:ascii="宋体" w:hAnsi="宋体"/>
          <w:b w:val="0"/>
          <w:bCs w:val="0"/>
          <w:sz w:val="22"/>
          <w:szCs w:val="22"/>
          <w:lang w:eastAsia="zh-CN"/>
        </w:rPr>
        <w:t>：</w:t>
      </w:r>
      <w:r>
        <w:rPr>
          <w:rFonts w:hint="eastAsia" w:ascii="宋体" w:hAnsi="宋体"/>
          <w:b w:val="0"/>
          <w:bCs w:val="0"/>
          <w:sz w:val="22"/>
          <w:szCs w:val="22"/>
          <w:lang w:val="en-US" w:eastAsia="zh-CN"/>
        </w:rPr>
        <w:t xml:space="preserve">     </w:t>
      </w:r>
      <w:r>
        <w:rPr>
          <w:rFonts w:hint="eastAsia" w:ascii="宋体" w:hAnsi="宋体"/>
          <w:b w:val="0"/>
          <w:bCs w:val="0"/>
          <w:sz w:val="22"/>
          <w:szCs w:val="22"/>
        </w:rPr>
        <w:t>年</w:t>
      </w:r>
      <w:r>
        <w:rPr>
          <w:rFonts w:hint="eastAsia" w:ascii="宋体" w:hAnsi="宋体"/>
          <w:b w:val="0"/>
          <w:bCs w:val="0"/>
          <w:sz w:val="22"/>
          <w:szCs w:val="22"/>
          <w:lang w:val="en-US" w:eastAsia="zh-CN"/>
        </w:rPr>
        <w:t xml:space="preserve">     </w:t>
      </w:r>
      <w:r>
        <w:rPr>
          <w:rFonts w:hint="eastAsia" w:ascii="宋体" w:hAnsi="宋体"/>
          <w:b w:val="0"/>
          <w:bCs w:val="0"/>
          <w:sz w:val="22"/>
          <w:szCs w:val="22"/>
        </w:rPr>
        <w:t>月</w:t>
      </w: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szCs w:val="28"/>
          <w:lang w:val="en-US" w:eastAsia="zh-CN"/>
        </w:rPr>
      </w:pPr>
    </w:p>
    <w:p>
      <w:pPr>
        <w:spacing w:line="460" w:lineRule="exact"/>
        <w:jc w:val="center"/>
        <w:rPr>
          <w:rFonts w:hint="eastAsia" w:ascii="宋体" w:hAnsi="宋体"/>
          <w:b/>
          <w:bCs/>
          <w:sz w:val="28"/>
        </w:rPr>
      </w:pPr>
      <w:r>
        <w:rPr>
          <w:rFonts w:hint="eastAsia" w:ascii="宋体" w:hAnsi="宋体"/>
          <w:b/>
          <w:bCs/>
          <w:sz w:val="28"/>
          <w:szCs w:val="28"/>
          <w:lang w:val="en-US" w:eastAsia="zh-CN"/>
        </w:rPr>
        <w:t>（二）分项报价表</w:t>
      </w:r>
    </w:p>
    <w:p>
      <w:pPr>
        <w:spacing w:line="380" w:lineRule="exact"/>
        <w:ind w:right="349" w:rightChars="166" w:firstLine="360" w:firstLineChars="150"/>
        <w:rPr>
          <w:rFonts w:hint="eastAsia" w:ascii="宋体" w:hAnsi="宋体" w:eastAsia="宋体" w:cs="宋体"/>
          <w:sz w:val="24"/>
          <w:szCs w:val="24"/>
        </w:rPr>
      </w:pPr>
      <w:r>
        <w:rPr>
          <w:rFonts w:hint="eastAsia" w:ascii="新宋体" w:hAnsi="新宋体" w:eastAsia="新宋体" w:cs="新宋体"/>
          <w:b w:val="0"/>
          <w:bCs/>
          <w:color w:val="auto"/>
          <w:sz w:val="24"/>
          <w:szCs w:val="24"/>
          <w:highlight w:val="none"/>
        </w:rPr>
        <w:t>项目名称：</w:t>
      </w:r>
      <w:r>
        <w:rPr>
          <w:rFonts w:hint="eastAsia" w:ascii="宋体" w:hAnsi="宋体" w:eastAsia="宋体" w:cs="宋体"/>
          <w:b w:val="0"/>
          <w:bCs/>
          <w:color w:val="auto"/>
          <w:sz w:val="24"/>
          <w:szCs w:val="24"/>
          <w:highlight w:val="none"/>
          <w:lang w:val="en-US" w:eastAsia="zh-CN"/>
        </w:rPr>
        <w:t>温州市中医院</w:t>
      </w:r>
      <w:r>
        <w:rPr>
          <w:rFonts w:hint="eastAsia" w:ascii="宋体" w:hAnsi="宋体" w:cs="宋体"/>
          <w:color w:val="000000"/>
          <w:sz w:val="24"/>
          <w:szCs w:val="24"/>
          <w:lang w:val="en-US" w:eastAsia="zh-CN"/>
        </w:rPr>
        <w:t>打浆机</w:t>
      </w:r>
      <w:r>
        <w:rPr>
          <w:rFonts w:hint="eastAsia" w:ascii="宋体" w:hAnsi="宋体" w:eastAsia="宋体" w:cs="宋体"/>
          <w:color w:val="000000"/>
          <w:sz w:val="24"/>
          <w:szCs w:val="24"/>
          <w:lang w:val="en-US" w:eastAsia="zh-CN"/>
        </w:rPr>
        <w:t>采购</w:t>
      </w:r>
      <w:r>
        <w:rPr>
          <w:rFonts w:hint="eastAsia" w:ascii="宋体" w:hAnsi="宋体" w:eastAsia="宋体" w:cs="宋体"/>
          <w:b w:val="0"/>
          <w:bCs/>
          <w:color w:val="auto"/>
          <w:sz w:val="24"/>
          <w:szCs w:val="24"/>
          <w:highlight w:val="none"/>
        </w:rPr>
        <w:t xml:space="preserve">  </w:t>
      </w:r>
      <w:r>
        <w:rPr>
          <w:rFonts w:hint="eastAsia" w:ascii="新宋体" w:hAnsi="新宋体" w:eastAsia="新宋体" w:cs="新宋体"/>
          <w:b w:val="0"/>
          <w:bCs/>
          <w:color w:val="auto"/>
          <w:sz w:val="22"/>
          <w:highlight w:val="none"/>
        </w:rPr>
        <w:t xml:space="preserve">  </w:t>
      </w:r>
      <w:r>
        <w:rPr>
          <w:rFonts w:hint="eastAsia" w:ascii="新宋体" w:hAnsi="新宋体" w:eastAsia="新宋体" w:cs="新宋体"/>
          <w:b w:val="0"/>
          <w:bCs/>
          <w:color w:val="auto"/>
          <w:sz w:val="24"/>
          <w:szCs w:val="24"/>
          <w:highlight w:val="none"/>
          <w:lang w:val="en-US" w:eastAsia="zh-CN"/>
        </w:rPr>
        <w:t xml:space="preserve">                                                    </w:t>
      </w:r>
      <w:r>
        <w:rPr>
          <w:rFonts w:hint="eastAsia" w:ascii="宋体" w:hAnsi="宋体" w:eastAsia="宋体" w:cs="宋体"/>
          <w:sz w:val="24"/>
          <w:szCs w:val="24"/>
        </w:rPr>
        <w:t>单位：元</w:t>
      </w:r>
      <w:r>
        <w:rPr>
          <w:rFonts w:hint="eastAsia" w:ascii="宋体" w:hAnsi="宋体" w:eastAsia="宋体" w:cs="宋体"/>
          <w:sz w:val="24"/>
          <w:szCs w:val="24"/>
          <w:lang w:eastAsia="zh-CN"/>
        </w:rPr>
        <w:t>（</w:t>
      </w:r>
      <w:r>
        <w:rPr>
          <w:rFonts w:hint="eastAsia" w:ascii="宋体" w:hAnsi="宋体" w:eastAsia="宋体" w:cs="宋体"/>
          <w:sz w:val="24"/>
          <w:szCs w:val="24"/>
        </w:rPr>
        <w:t>人民币</w:t>
      </w:r>
      <w:r>
        <w:rPr>
          <w:rFonts w:hint="eastAsia" w:ascii="宋体" w:hAnsi="宋体" w:eastAsia="宋体" w:cs="宋体"/>
          <w:sz w:val="24"/>
          <w:szCs w:val="24"/>
          <w:lang w:eastAsia="zh-CN"/>
        </w:rPr>
        <w:t>）</w:t>
      </w:r>
    </w:p>
    <w:tbl>
      <w:tblPr>
        <w:tblStyle w:val="17"/>
        <w:tblW w:w="1468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1"/>
        <w:gridCol w:w="2385"/>
        <w:gridCol w:w="1905"/>
        <w:gridCol w:w="1410"/>
        <w:gridCol w:w="1965"/>
        <w:gridCol w:w="3060"/>
        <w:gridCol w:w="3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规格</w:t>
            </w:r>
            <w:r>
              <w:rPr>
                <w:rFonts w:hint="eastAsia" w:ascii="宋体" w:hAnsi="宋体" w:cs="宋体"/>
                <w:i w:val="0"/>
                <w:iCs w:val="0"/>
                <w:color w:val="000000"/>
                <w:kern w:val="0"/>
                <w:sz w:val="24"/>
                <w:szCs w:val="24"/>
                <w:u w:val="none"/>
                <w:lang w:val="en-US" w:eastAsia="zh-CN" w:bidi="ar"/>
              </w:rPr>
              <w:t>型号</w:t>
            </w: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3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小计（元）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1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color w:val="000000"/>
                <w:sz w:val="24"/>
                <w:szCs w:val="24"/>
                <w:lang w:val="en-US" w:eastAsia="zh-CN"/>
              </w:rPr>
              <w:t>打浆机</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台</w:t>
            </w:r>
          </w:p>
        </w:tc>
        <w:tc>
          <w:tcPr>
            <w:tcW w:w="19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w:t>
            </w:r>
          </w:p>
        </w:tc>
        <w:tc>
          <w:tcPr>
            <w:tcW w:w="30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3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163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合计（元）</w:t>
            </w:r>
          </w:p>
        </w:tc>
        <w:tc>
          <w:tcPr>
            <w:tcW w:w="30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pPr>
        <w:spacing w:line="380" w:lineRule="exact"/>
        <w:ind w:right="349" w:rightChars="166"/>
        <w:rPr>
          <w:rFonts w:hint="eastAsia" w:ascii="宋体" w:hAnsi="宋体"/>
          <w:sz w:val="22"/>
          <w:szCs w:val="22"/>
        </w:rPr>
      </w:pPr>
    </w:p>
    <w:p>
      <w:pPr>
        <w:spacing w:line="460" w:lineRule="exact"/>
        <w:rPr>
          <w:rFonts w:hint="eastAsia" w:ascii="宋体" w:hAnsi="宋体"/>
          <w:b/>
          <w:sz w:val="22"/>
        </w:rPr>
      </w:pPr>
      <w:r>
        <w:rPr>
          <w:rFonts w:hint="eastAsia" w:ascii="宋体" w:hAnsi="宋体"/>
          <w:b/>
          <w:sz w:val="22"/>
        </w:rPr>
        <w:t>说明：</w:t>
      </w:r>
    </w:p>
    <w:p>
      <w:pPr>
        <w:spacing w:line="380" w:lineRule="exact"/>
        <w:rPr>
          <w:rFonts w:hint="eastAsia" w:ascii="宋体" w:hAnsi="宋体"/>
          <w:b/>
          <w:sz w:val="22"/>
          <w:lang w:val="en-US" w:eastAsia="zh-CN"/>
        </w:rPr>
      </w:pPr>
      <w:r>
        <w:rPr>
          <w:rFonts w:hint="eastAsia" w:ascii="宋体" w:hAnsi="宋体"/>
          <w:b/>
          <w:sz w:val="22"/>
          <w:lang w:val="en-US" w:eastAsia="zh-CN"/>
        </w:rPr>
        <w:t>1、此表总计价应与上方“（一）报价一览表”中报价相一致。</w:t>
      </w:r>
    </w:p>
    <w:p>
      <w:pPr>
        <w:spacing w:line="380" w:lineRule="exact"/>
        <w:rPr>
          <w:rFonts w:hint="eastAsia" w:ascii="宋体" w:hAnsi="宋体"/>
          <w:b/>
          <w:sz w:val="22"/>
          <w:lang w:val="en-US" w:eastAsia="zh-CN"/>
        </w:rPr>
      </w:pPr>
      <w:r>
        <w:rPr>
          <w:rFonts w:hint="eastAsia" w:ascii="宋体" w:hAnsi="宋体"/>
          <w:b/>
          <w:sz w:val="22"/>
          <w:lang w:val="en-US" w:eastAsia="zh-CN"/>
        </w:rPr>
        <w:t>2、不提供详细分项报价将视为没有实质性响应招标文件。</w:t>
      </w:r>
    </w:p>
    <w:p>
      <w:pPr>
        <w:spacing w:line="380" w:lineRule="exact"/>
        <w:rPr>
          <w:rFonts w:hint="eastAsia" w:ascii="宋体" w:hAnsi="宋体"/>
          <w:b/>
          <w:sz w:val="22"/>
          <w:lang w:val="en-US" w:eastAsia="zh-CN"/>
        </w:rPr>
      </w:pPr>
      <w:r>
        <w:rPr>
          <w:rFonts w:hint="eastAsia" w:ascii="宋体" w:hAnsi="宋体"/>
          <w:b/>
          <w:sz w:val="22"/>
          <w:lang w:val="en-US" w:eastAsia="zh-CN"/>
        </w:rPr>
        <w:t>3、以上全部报价包含货物到达甲方并能正常使用所需的一切费用，包括但不限于包装费、运输费、装卸费、保险费、安装费以及保修费、税费等。</w:t>
      </w:r>
    </w:p>
    <w:p>
      <w:pPr>
        <w:spacing w:line="380" w:lineRule="exact"/>
        <w:rPr>
          <w:rFonts w:hint="eastAsia" w:ascii="宋体" w:hAnsi="宋体"/>
          <w:b/>
          <w:sz w:val="22"/>
          <w:lang w:val="en-US" w:eastAsia="zh-CN"/>
        </w:rPr>
      </w:pPr>
    </w:p>
    <w:p>
      <w:pPr>
        <w:spacing w:line="360" w:lineRule="auto"/>
        <w:rPr>
          <w:rFonts w:hint="eastAsia" w:ascii="宋体" w:hAnsi="宋体"/>
          <w:sz w:val="22"/>
          <w:szCs w:val="22"/>
        </w:rPr>
      </w:pPr>
    </w:p>
    <w:p>
      <w:pPr>
        <w:spacing w:line="360" w:lineRule="auto"/>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spacing w:line="360" w:lineRule="auto"/>
        <w:rPr>
          <w:rFonts w:hint="eastAsia"/>
        </w:rPr>
      </w:pPr>
      <w:r>
        <w:rPr>
          <w:rFonts w:hint="eastAsia" w:ascii="宋体" w:hAnsi="宋体"/>
          <w:sz w:val="22"/>
          <w:szCs w:val="22"/>
        </w:rPr>
        <w:t xml:space="preserve">日 期：  </w:t>
      </w:r>
      <w:r>
        <w:rPr>
          <w:rFonts w:hint="eastAsia" w:ascii="宋体" w:hAnsi="宋体"/>
          <w:sz w:val="22"/>
          <w:szCs w:val="22"/>
          <w:lang w:val="en-US" w:eastAsia="zh-CN"/>
        </w:rPr>
        <w:t xml:space="preserve">   </w:t>
      </w:r>
      <w:r>
        <w:rPr>
          <w:rFonts w:hint="eastAsia" w:ascii="宋体" w:hAnsi="宋体"/>
          <w:sz w:val="22"/>
          <w:szCs w:val="22"/>
        </w:rPr>
        <w:t xml:space="preserve">年  </w:t>
      </w:r>
      <w:r>
        <w:rPr>
          <w:rFonts w:hint="eastAsia" w:ascii="宋体" w:hAnsi="宋体"/>
          <w:sz w:val="22"/>
          <w:szCs w:val="22"/>
          <w:lang w:val="en-US" w:eastAsia="zh-CN"/>
        </w:rPr>
        <w:t xml:space="preserve">   </w:t>
      </w:r>
      <w:r>
        <w:rPr>
          <w:rFonts w:hint="eastAsia" w:ascii="宋体" w:hAnsi="宋体"/>
          <w:sz w:val="22"/>
          <w:szCs w:val="22"/>
        </w:rPr>
        <w:t xml:space="preserve">月  </w:t>
      </w:r>
      <w:r>
        <w:rPr>
          <w:rFonts w:hint="eastAsia" w:ascii="宋体" w:hAnsi="宋体"/>
          <w:sz w:val="22"/>
          <w:szCs w:val="22"/>
          <w:lang w:val="en-US" w:eastAsia="zh-CN"/>
        </w:rPr>
        <w:t xml:space="preserve">   </w:t>
      </w:r>
      <w:r>
        <w:rPr>
          <w:rFonts w:hint="eastAsia" w:ascii="宋体" w:hAnsi="宋体"/>
          <w:sz w:val="22"/>
          <w:szCs w:val="22"/>
        </w:rPr>
        <w:t>日</w:t>
      </w:r>
    </w:p>
    <w:p>
      <w:pPr>
        <w:pStyle w:val="16"/>
        <w:ind w:left="0" w:leftChars="0" w:firstLine="0" w:firstLineChars="0"/>
      </w:pPr>
    </w:p>
    <w:p>
      <w:pPr>
        <w:spacing w:line="360" w:lineRule="auto"/>
        <w:rPr>
          <w:rFonts w:hint="eastAsia" w:ascii="宋体" w:hAnsi="宋体"/>
          <w:b/>
          <w:bCs/>
          <w:color w:val="000000"/>
          <w:sz w:val="28"/>
          <w:szCs w:val="28"/>
        </w:rPr>
      </w:pPr>
    </w:p>
    <w:p>
      <w:pPr>
        <w:pStyle w:val="16"/>
        <w:ind w:left="0" w:leftChars="0" w:firstLine="0" w:firstLineChars="0"/>
        <w:rPr>
          <w:rFonts w:hint="eastAsia"/>
        </w:rPr>
      </w:pPr>
    </w:p>
    <w:p>
      <w:pPr>
        <w:pStyle w:val="16"/>
        <w:rPr>
          <w:rFonts w:hint="eastAsia"/>
        </w:rPr>
      </w:pPr>
    </w:p>
    <w:p>
      <w:pPr>
        <w:pStyle w:val="16"/>
        <w:rPr>
          <w:rFonts w:hint="eastAsia"/>
        </w:rPr>
      </w:pPr>
    </w:p>
    <w:p>
      <w:pPr>
        <w:spacing w:line="380" w:lineRule="exact"/>
        <w:rPr>
          <w:rFonts w:hint="eastAsia" w:eastAsia="宋体"/>
          <w:lang w:eastAsia="zh-CN"/>
        </w:rPr>
      </w:pPr>
    </w:p>
    <w:sectPr>
      <w:footerReference r:id="rId3" w:type="default"/>
      <w:pgSz w:w="16838" w:h="11906" w:orient="landscape"/>
      <w:pgMar w:top="1236" w:right="850" w:bottom="1236"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40</w:t>
                </w:r>
                <w:r>
                  <w:rPr>
                    <w:lang w:val="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0DEA52"/>
    <w:multiLevelType w:val="singleLevel"/>
    <w:tmpl w:val="A40DEA52"/>
    <w:lvl w:ilvl="0" w:tentative="0">
      <w:start w:val="3"/>
      <w:numFmt w:val="decimal"/>
      <w:suff w:val="nothing"/>
      <w:lvlText w:val="（%1）"/>
      <w:lvlJc w:val="left"/>
    </w:lvl>
  </w:abstractNum>
  <w:abstractNum w:abstractNumId="1">
    <w:nsid w:val="5892F560"/>
    <w:multiLevelType w:val="singleLevel"/>
    <w:tmpl w:val="5892F560"/>
    <w:lvl w:ilvl="0" w:tentative="0">
      <w:start w:val="2"/>
      <w:numFmt w:val="chineseCounting"/>
      <w:suff w:val="nothing"/>
      <w:lvlText w:val="%1、"/>
      <w:lvlJc w:val="left"/>
      <w:rPr>
        <w:rFonts w:hint="eastAsia"/>
      </w:rPr>
    </w:lvl>
  </w:abstractNum>
  <w:abstractNum w:abstractNumId="2">
    <w:nsid w:val="5D497C9E"/>
    <w:multiLevelType w:val="multilevel"/>
    <w:tmpl w:val="5D497C9E"/>
    <w:lvl w:ilvl="0" w:tentative="0">
      <w:start w:val="1"/>
      <w:numFmt w:val="chineseCountingThousand"/>
      <w:suff w:val="nothing"/>
      <w:lvlText w:val="第%1章"/>
      <w:lvlJc w:val="left"/>
      <w:pPr>
        <w:ind w:left="0" w:firstLine="0"/>
      </w:pPr>
      <w:rPr>
        <w:rFonts w:hint="default" w:ascii="Times New Roman" w:hAnsi="Times New Roman" w:eastAsia="黑体"/>
        <w:b/>
        <w:i w:val="0"/>
        <w:sz w:val="32"/>
        <w:szCs w:val="32"/>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IzN2FlZGQyNmExMDc1YTc1OWIxYmFlNmE1NTFhMTUifQ=="/>
  </w:docVars>
  <w:rsids>
    <w:rsidRoot w:val="442D7AA8"/>
    <w:rsid w:val="000838A3"/>
    <w:rsid w:val="0029760C"/>
    <w:rsid w:val="003D41C7"/>
    <w:rsid w:val="003E091A"/>
    <w:rsid w:val="00537F7B"/>
    <w:rsid w:val="005D6C7D"/>
    <w:rsid w:val="0077449E"/>
    <w:rsid w:val="009C732C"/>
    <w:rsid w:val="00A81427"/>
    <w:rsid w:val="00BD504C"/>
    <w:rsid w:val="00DB7EDC"/>
    <w:rsid w:val="00FA6B75"/>
    <w:rsid w:val="016E4912"/>
    <w:rsid w:val="02DC2E18"/>
    <w:rsid w:val="03625239"/>
    <w:rsid w:val="03BC4EA5"/>
    <w:rsid w:val="03C84B20"/>
    <w:rsid w:val="04B15D87"/>
    <w:rsid w:val="061E2864"/>
    <w:rsid w:val="076646E5"/>
    <w:rsid w:val="084B5379"/>
    <w:rsid w:val="09CB578A"/>
    <w:rsid w:val="0CBE266B"/>
    <w:rsid w:val="0D3401D8"/>
    <w:rsid w:val="0F427144"/>
    <w:rsid w:val="0F9C6A6C"/>
    <w:rsid w:val="1124087B"/>
    <w:rsid w:val="130D1F16"/>
    <w:rsid w:val="15F0193F"/>
    <w:rsid w:val="16586A57"/>
    <w:rsid w:val="16EF2001"/>
    <w:rsid w:val="1781499D"/>
    <w:rsid w:val="17B96491"/>
    <w:rsid w:val="17CC40F0"/>
    <w:rsid w:val="1A9B5FFB"/>
    <w:rsid w:val="1B951E05"/>
    <w:rsid w:val="1DAE3649"/>
    <w:rsid w:val="203F5CE6"/>
    <w:rsid w:val="252A6495"/>
    <w:rsid w:val="26614AE7"/>
    <w:rsid w:val="26A36964"/>
    <w:rsid w:val="2B6F06D4"/>
    <w:rsid w:val="2C0B329E"/>
    <w:rsid w:val="2C8B760D"/>
    <w:rsid w:val="2DCF6290"/>
    <w:rsid w:val="2EE23DA1"/>
    <w:rsid w:val="30C82B42"/>
    <w:rsid w:val="32E87DD1"/>
    <w:rsid w:val="33F15215"/>
    <w:rsid w:val="34C52D29"/>
    <w:rsid w:val="35584BB1"/>
    <w:rsid w:val="36C17637"/>
    <w:rsid w:val="36F20F59"/>
    <w:rsid w:val="36FF0897"/>
    <w:rsid w:val="38620F4A"/>
    <w:rsid w:val="38784A32"/>
    <w:rsid w:val="3A5C534F"/>
    <w:rsid w:val="3AA307AA"/>
    <w:rsid w:val="3AD2116E"/>
    <w:rsid w:val="3AF7062E"/>
    <w:rsid w:val="3BAE46BF"/>
    <w:rsid w:val="3C990195"/>
    <w:rsid w:val="3D4A148F"/>
    <w:rsid w:val="3D51281E"/>
    <w:rsid w:val="3D766728"/>
    <w:rsid w:val="3F351791"/>
    <w:rsid w:val="42417305"/>
    <w:rsid w:val="43F47C2B"/>
    <w:rsid w:val="442D7AA8"/>
    <w:rsid w:val="45B222C8"/>
    <w:rsid w:val="46AB0BAA"/>
    <w:rsid w:val="485E04E5"/>
    <w:rsid w:val="4B86017E"/>
    <w:rsid w:val="4BB26B7D"/>
    <w:rsid w:val="4F835253"/>
    <w:rsid w:val="4FB149B9"/>
    <w:rsid w:val="50430A48"/>
    <w:rsid w:val="50810E77"/>
    <w:rsid w:val="522B1438"/>
    <w:rsid w:val="52957526"/>
    <w:rsid w:val="539C47DE"/>
    <w:rsid w:val="555A3E23"/>
    <w:rsid w:val="57A36574"/>
    <w:rsid w:val="58D72375"/>
    <w:rsid w:val="5A1D1FAE"/>
    <w:rsid w:val="5A2A3748"/>
    <w:rsid w:val="5CEE0127"/>
    <w:rsid w:val="5DAF6DF6"/>
    <w:rsid w:val="5EEC01A1"/>
    <w:rsid w:val="61E865CA"/>
    <w:rsid w:val="63750765"/>
    <w:rsid w:val="64F466B7"/>
    <w:rsid w:val="654C0859"/>
    <w:rsid w:val="65B0017A"/>
    <w:rsid w:val="677734BF"/>
    <w:rsid w:val="68F24605"/>
    <w:rsid w:val="69C67144"/>
    <w:rsid w:val="6AD77E43"/>
    <w:rsid w:val="6FA3415F"/>
    <w:rsid w:val="710B7010"/>
    <w:rsid w:val="712E3A4E"/>
    <w:rsid w:val="71BA3A22"/>
    <w:rsid w:val="71CD3E62"/>
    <w:rsid w:val="724D0AFE"/>
    <w:rsid w:val="72E83474"/>
    <w:rsid w:val="72F62F44"/>
    <w:rsid w:val="7305227F"/>
    <w:rsid w:val="75A35A24"/>
    <w:rsid w:val="764A3CD3"/>
    <w:rsid w:val="78362761"/>
    <w:rsid w:val="78BC52C2"/>
    <w:rsid w:val="79F966D5"/>
    <w:rsid w:val="7A376099"/>
    <w:rsid w:val="7D531607"/>
    <w:rsid w:val="7DBF4FA6"/>
    <w:rsid w:val="7E036272"/>
    <w:rsid w:val="7E7A2C7B"/>
    <w:rsid w:val="7EEE556E"/>
    <w:rsid w:val="7EFA0DDF"/>
    <w:rsid w:val="7F0817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9"/>
    <w:pPr>
      <w:keepNext/>
      <w:keepLines/>
      <w:tabs>
        <w:tab w:val="left" w:pos="840"/>
      </w:tabs>
      <w:adjustRightInd w:val="0"/>
      <w:snapToGrid w:val="0"/>
      <w:spacing w:line="360" w:lineRule="auto"/>
      <w:outlineLvl w:val="0"/>
    </w:pPr>
    <w:rPr>
      <w:rFonts w:ascii="宋体"/>
      <w:b/>
      <w:kern w:val="44"/>
      <w:sz w:val="24"/>
    </w:rPr>
  </w:style>
  <w:style w:type="paragraph" w:styleId="5">
    <w:name w:val="heading 4"/>
    <w:basedOn w:val="1"/>
    <w:next w:val="1"/>
    <w:autoRedefine/>
    <w:qFormat/>
    <w:uiPriority w:val="0"/>
    <w:pPr>
      <w:keepNext/>
      <w:keepLines/>
      <w:numPr>
        <w:ilvl w:val="3"/>
        <w:numId w:val="1"/>
      </w:numPr>
      <w:spacing w:line="540" w:lineRule="atLeast"/>
      <w:outlineLvl w:val="3"/>
    </w:pPr>
    <w:rPr>
      <w:sz w:val="28"/>
      <w:szCs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autoRedefine/>
    <w:qFormat/>
    <w:uiPriority w:val="0"/>
    <w:pPr>
      <w:ind w:firstLine="420" w:firstLineChars="100"/>
    </w:pPr>
    <w:rPr>
      <w:b/>
      <w:bCs/>
      <w:szCs w:val="24"/>
    </w:rPr>
  </w:style>
  <w:style w:type="paragraph" w:styleId="3">
    <w:name w:val="Body Text"/>
    <w:basedOn w:val="1"/>
    <w:next w:val="1"/>
    <w:autoRedefine/>
    <w:qFormat/>
    <w:uiPriority w:val="0"/>
    <w:pPr>
      <w:spacing w:after="120" w:afterLines="0"/>
    </w:pPr>
  </w:style>
  <w:style w:type="paragraph" w:styleId="6">
    <w:name w:val="Normal Indent"/>
    <w:basedOn w:val="1"/>
    <w:next w:val="1"/>
    <w:autoRedefine/>
    <w:qFormat/>
    <w:uiPriority w:val="0"/>
    <w:pPr>
      <w:ind w:firstLine="420"/>
    </w:pPr>
    <w:rPr>
      <w:szCs w:val="20"/>
    </w:rPr>
  </w:style>
  <w:style w:type="paragraph" w:styleId="7">
    <w:name w:val="annotation text"/>
    <w:basedOn w:val="1"/>
    <w:autoRedefine/>
    <w:qFormat/>
    <w:uiPriority w:val="0"/>
    <w:pPr>
      <w:jc w:val="left"/>
    </w:pPr>
  </w:style>
  <w:style w:type="paragraph" w:styleId="8">
    <w:name w:val="Body Text Indent"/>
    <w:basedOn w:val="1"/>
    <w:autoRedefine/>
    <w:qFormat/>
    <w:uiPriority w:val="0"/>
    <w:pPr>
      <w:spacing w:line="200" w:lineRule="exact"/>
      <w:ind w:firstLine="301"/>
    </w:pPr>
    <w:rPr>
      <w:rFonts w:ascii="宋体" w:hAnsi="Courier New"/>
      <w:spacing w:val="-4"/>
      <w:sz w:val="18"/>
      <w:szCs w:val="20"/>
      <w14:ligatures w14:val="none"/>
    </w:rPr>
  </w:style>
  <w:style w:type="paragraph" w:styleId="9">
    <w:name w:val="Plain Text"/>
    <w:basedOn w:val="1"/>
    <w:autoRedefine/>
    <w:qFormat/>
    <w:uiPriority w:val="0"/>
    <w:pPr>
      <w:spacing w:beforeLines="50" w:afterLines="50" w:line="400" w:lineRule="exact"/>
    </w:pPr>
    <w:rPr>
      <w:rFonts w:ascii="宋体" w:hAnsi="Courier New"/>
      <w:sz w:val="24"/>
    </w:rPr>
  </w:style>
  <w:style w:type="paragraph" w:styleId="10">
    <w:name w:val="footer"/>
    <w:basedOn w:val="1"/>
    <w:link w:val="26"/>
    <w:autoRedefine/>
    <w:qFormat/>
    <w:uiPriority w:val="0"/>
    <w:pPr>
      <w:tabs>
        <w:tab w:val="center" w:pos="4153"/>
        <w:tab w:val="right" w:pos="8306"/>
      </w:tabs>
      <w:snapToGrid w:val="0"/>
      <w:jc w:val="left"/>
    </w:pPr>
    <w:rPr>
      <w:sz w:val="18"/>
      <w:szCs w:val="18"/>
    </w:rPr>
  </w:style>
  <w:style w:type="paragraph" w:styleId="11">
    <w:name w:val="header"/>
    <w:basedOn w:val="1"/>
    <w:link w:val="25"/>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spacing w:before="120" w:after="120" w:line="360" w:lineRule="auto"/>
      <w:jc w:val="left"/>
    </w:pPr>
    <w:rPr>
      <w:b/>
      <w:bCs/>
      <w:caps/>
      <w:sz w:val="24"/>
      <w:szCs w:val="20"/>
    </w:rPr>
  </w:style>
  <w:style w:type="paragraph" w:styleId="13">
    <w:name w:val="toc 6"/>
    <w:basedOn w:val="1"/>
    <w:next w:val="1"/>
    <w:autoRedefine/>
    <w:qFormat/>
    <w:uiPriority w:val="0"/>
    <w:pPr>
      <w:ind w:left="2100" w:leftChars="1000"/>
    </w:pPr>
  </w:style>
  <w:style w:type="paragraph" w:styleId="14">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5">
    <w:name w:val="Title"/>
    <w:basedOn w:val="1"/>
    <w:next w:val="1"/>
    <w:autoRedefine/>
    <w:qFormat/>
    <w:uiPriority w:val="0"/>
    <w:pPr>
      <w:jc w:val="center"/>
    </w:pPr>
    <w:rPr>
      <w:rFonts w:ascii="Arial" w:hAnsi="Arial" w:eastAsia="宋体"/>
      <w:b/>
      <w:kern w:val="0"/>
      <w:sz w:val="36"/>
      <w:szCs w:val="20"/>
      <w:lang w:eastAsia="en-US"/>
      <w14:ligatures w14:val="none"/>
    </w:rPr>
  </w:style>
  <w:style w:type="paragraph" w:styleId="16">
    <w:name w:val="Body Text First Indent 2"/>
    <w:basedOn w:val="8"/>
    <w:autoRedefine/>
    <w:qFormat/>
    <w:uiPriority w:val="0"/>
    <w:pPr>
      <w:spacing w:after="120"/>
      <w:ind w:left="420" w:leftChars="200" w:firstLine="420"/>
    </w:pPr>
    <w:rPr>
      <w:rFonts w:cs="宋体"/>
      <w:sz w:val="21"/>
      <w:szCs w:val="21"/>
    </w:rPr>
  </w:style>
  <w:style w:type="table" w:styleId="18">
    <w:name w:val="Table Grid"/>
    <w:autoRedefine/>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autoRedefine/>
    <w:qFormat/>
    <w:uiPriority w:val="22"/>
    <w:rPr>
      <w:b/>
    </w:rPr>
  </w:style>
  <w:style w:type="character" w:styleId="21">
    <w:name w:val="page number"/>
    <w:basedOn w:val="19"/>
    <w:autoRedefine/>
    <w:qFormat/>
    <w:uiPriority w:val="0"/>
  </w:style>
  <w:style w:type="paragraph" w:customStyle="1" w:styleId="22">
    <w:name w:val="BodyText1I"/>
    <w:basedOn w:val="23"/>
    <w:autoRedefine/>
    <w:qFormat/>
    <w:uiPriority w:val="0"/>
    <w:pPr>
      <w:ind w:firstLine="420" w:firstLineChars="100"/>
    </w:pPr>
  </w:style>
  <w:style w:type="paragraph" w:customStyle="1" w:styleId="23">
    <w:name w:val="BodyText"/>
    <w:basedOn w:val="1"/>
    <w:autoRedefine/>
    <w:qFormat/>
    <w:uiPriority w:val="0"/>
    <w:pPr>
      <w:spacing w:after="120"/>
    </w:pPr>
  </w:style>
  <w:style w:type="paragraph" w:customStyle="1" w:styleId="24">
    <w:name w:val="表格文字"/>
    <w:basedOn w:val="1"/>
    <w:next w:val="3"/>
    <w:autoRedefine/>
    <w:qFormat/>
    <w:uiPriority w:val="0"/>
    <w:pPr>
      <w:autoSpaceDE w:val="0"/>
      <w:autoSpaceDN w:val="0"/>
      <w:adjustRightInd w:val="0"/>
      <w:spacing w:line="420" w:lineRule="atLeast"/>
      <w:jc w:val="left"/>
      <w:textAlignment w:val="baseline"/>
    </w:pPr>
    <w:rPr>
      <w:rFonts w:hAnsi="宋体" w:cs="宋体"/>
      <w:kern w:val="0"/>
      <w:sz w:val="22"/>
      <w:lang w:val="zh-CN" w:bidi="zh-CN"/>
    </w:rPr>
  </w:style>
  <w:style w:type="character" w:customStyle="1" w:styleId="25">
    <w:name w:val="页眉 Char"/>
    <w:basedOn w:val="19"/>
    <w:link w:val="11"/>
    <w:autoRedefine/>
    <w:qFormat/>
    <w:uiPriority w:val="0"/>
    <w:rPr>
      <w:kern w:val="2"/>
      <w:sz w:val="18"/>
      <w:szCs w:val="18"/>
    </w:rPr>
  </w:style>
  <w:style w:type="character" w:customStyle="1" w:styleId="26">
    <w:name w:val="页脚 Char"/>
    <w:basedOn w:val="19"/>
    <w:link w:val="10"/>
    <w:autoRedefine/>
    <w:qFormat/>
    <w:uiPriority w:val="0"/>
    <w:rPr>
      <w:kern w:val="2"/>
      <w:sz w:val="18"/>
      <w:szCs w:val="18"/>
    </w:rPr>
  </w:style>
  <w:style w:type="paragraph" w:styleId="27">
    <w:name w:val="List Paragraph"/>
    <w:basedOn w:val="1"/>
    <w:autoRedefine/>
    <w:qFormat/>
    <w:uiPriority w:val="0"/>
    <w:pPr>
      <w:ind w:firstLine="420" w:firstLineChars="200"/>
    </w:pPr>
    <w:rPr>
      <w:rFonts w:ascii="Calibri" w:hAnsi="Calibri"/>
      <w:szCs w:val="22"/>
    </w:rPr>
  </w:style>
  <w:style w:type="paragraph" w:customStyle="1" w:styleId="28">
    <w:name w:val="列出段落1"/>
    <w:basedOn w:val="1"/>
    <w:autoRedefine/>
    <w:qFormat/>
    <w:uiPriority w:val="0"/>
    <w:pPr>
      <w:widowControl/>
      <w:spacing w:after="160" w:line="360" w:lineRule="auto"/>
      <w:ind w:left="720"/>
      <w:contextualSpacing/>
      <w:jc w:val="left"/>
    </w:pPr>
    <w:rPr>
      <w:szCs w:val="22"/>
    </w:rPr>
  </w:style>
  <w:style w:type="character" w:customStyle="1" w:styleId="29">
    <w:name w:val="font31"/>
    <w:basedOn w:val="19"/>
    <w:autoRedefine/>
    <w:qFormat/>
    <w:uiPriority w:val="0"/>
    <w:rPr>
      <w:rFonts w:hint="eastAsia" w:ascii="宋体" w:hAnsi="宋体" w:eastAsia="宋体" w:cs="宋体"/>
      <w:color w:val="000000"/>
      <w:sz w:val="22"/>
      <w:szCs w:val="22"/>
      <w:u w:val="none"/>
    </w:rPr>
  </w:style>
  <w:style w:type="character" w:customStyle="1" w:styleId="30">
    <w:name w:val="font01"/>
    <w:basedOn w:val="19"/>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2033</Words>
  <Characters>2299</Characters>
  <Lines>17</Lines>
  <Paragraphs>4</Paragraphs>
  <TotalTime>7</TotalTime>
  <ScaleCrop>false</ScaleCrop>
  <LinksUpToDate>false</LinksUpToDate>
  <CharactersWithSpaces>2342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2019-08-15T01:42:00Z</dcterms:created>
  <dc:creator>小米</dc:creator>
  <cp:lastModifiedBy>市渔业应急处置指挥中心</cp:lastModifiedBy>
  <dcterms:modified xsi:type="dcterms:W3CDTF">2024-06-06T03:14:22Z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BDC350B777C44DFDACB8FBB696258D1E</vt:lpwstr>
  </property>
</Properties>
</file>