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jc w:val="center"/>
        <w:rPr>
          <w:rFonts w:hint="eastAsia" w:ascii="宋体" w:hAnsi="宋体" w:eastAsia="宋体" w:cs="宋体"/>
          <w:b w:val="0"/>
          <w:bCs w:val="0"/>
          <w:color w:val="000000"/>
          <w:sz w:val="36"/>
          <w:szCs w:val="36"/>
          <w:lang w:val="en-US" w:eastAsia="zh-CN"/>
        </w:rPr>
      </w:pPr>
      <w:bookmarkStart w:id="0" w:name="_Toc451522337"/>
      <w:r>
        <w:rPr>
          <w:rFonts w:hint="eastAsia" w:ascii="宋体" w:hAnsi="宋体" w:eastAsia="宋体" w:cs="宋体"/>
          <w:b w:val="0"/>
          <w:bCs w:val="0"/>
          <w:color w:val="000000"/>
          <w:sz w:val="36"/>
          <w:szCs w:val="36"/>
          <w:lang w:val="en-US" w:eastAsia="zh-CN"/>
        </w:rPr>
        <w:t>温州市中医院</w:t>
      </w:r>
      <w:r>
        <w:rPr>
          <w:rFonts w:hint="eastAsia" w:ascii="宋体" w:hAnsi="宋体" w:eastAsia="宋体" w:cs="宋体"/>
          <w:b w:val="0"/>
          <w:bCs w:val="0"/>
          <w:sz w:val="36"/>
          <w:szCs w:val="36"/>
        </w:rPr>
        <w:t>污水在线监测系统维保</w:t>
      </w:r>
      <w:r>
        <w:rPr>
          <w:rFonts w:hint="eastAsia" w:ascii="宋体" w:hAnsi="宋体" w:cs="宋体"/>
          <w:b w:val="0"/>
          <w:bCs w:val="0"/>
          <w:sz w:val="36"/>
          <w:szCs w:val="36"/>
          <w:lang w:val="en-US" w:eastAsia="zh-CN"/>
        </w:rPr>
        <w:t>项目</w:t>
      </w:r>
      <w:r>
        <w:rPr>
          <w:rFonts w:hint="eastAsia" w:ascii="宋体" w:hAnsi="宋体" w:eastAsia="宋体" w:cs="宋体"/>
          <w:b w:val="0"/>
          <w:bCs w:val="0"/>
          <w:color w:val="000000"/>
          <w:sz w:val="36"/>
          <w:szCs w:val="36"/>
        </w:rPr>
        <w:t>采购</w:t>
      </w:r>
      <w:bookmarkEnd w:id="0"/>
      <w:r>
        <w:rPr>
          <w:rFonts w:hint="eastAsia" w:ascii="宋体" w:hAnsi="宋体" w:eastAsia="宋体" w:cs="宋体"/>
          <w:b w:val="0"/>
          <w:bCs w:val="0"/>
          <w:color w:val="000000"/>
          <w:sz w:val="36"/>
          <w:szCs w:val="36"/>
          <w:lang w:val="en-US" w:eastAsia="zh-CN"/>
        </w:rPr>
        <w:t>文件</w:t>
      </w:r>
    </w:p>
    <w:p>
      <w:pPr>
        <w:spacing w:line="360" w:lineRule="auto"/>
        <w:rPr>
          <w:rFonts w:hint="eastAsia"/>
          <w:b/>
          <w:bCs/>
          <w:sz w:val="28"/>
          <w:szCs w:val="28"/>
        </w:rPr>
      </w:pPr>
      <w:r>
        <w:rPr>
          <w:rFonts w:hint="eastAsia"/>
          <w:b/>
          <w:bCs/>
          <w:sz w:val="28"/>
          <w:szCs w:val="28"/>
        </w:rPr>
        <w:t>一、项目概况</w:t>
      </w:r>
    </w:p>
    <w:p>
      <w:pPr>
        <w:numPr>
          <w:ilvl w:val="0"/>
          <w:numId w:val="0"/>
        </w:numPr>
        <w:spacing w:line="360" w:lineRule="auto"/>
        <w:ind w:firstLine="480" w:firstLineChars="200"/>
        <w:rPr>
          <w:rFonts w:hint="eastAsia" w:ascii="宋体" w:hAnsi="宋体" w:eastAsia="宋体" w:cs="宋体"/>
          <w:b w:val="0"/>
          <w:bCs w:val="0"/>
          <w:sz w:val="24"/>
          <w:szCs w:val="24"/>
        </w:rPr>
      </w:pPr>
      <w:r>
        <w:rPr>
          <w:rFonts w:hint="eastAsia"/>
          <w:sz w:val="24"/>
          <w:szCs w:val="24"/>
          <w:lang w:val="en-US" w:eastAsia="zh-CN"/>
        </w:rPr>
        <w:t>项目名称</w:t>
      </w:r>
      <w:r>
        <w:rPr>
          <w:rFonts w:hint="eastAsia"/>
          <w:sz w:val="24"/>
          <w:szCs w:val="24"/>
        </w:rPr>
        <w:t>：</w:t>
      </w:r>
      <w:r>
        <w:rPr>
          <w:rFonts w:hint="eastAsia" w:ascii="宋体" w:hAnsi="宋体" w:eastAsia="宋体" w:cs="宋体"/>
          <w:b w:val="0"/>
          <w:bCs w:val="0"/>
          <w:sz w:val="24"/>
          <w:szCs w:val="24"/>
          <w:lang w:val="en-US" w:eastAsia="zh-Hans"/>
        </w:rPr>
        <w:t>温州市中医院</w:t>
      </w:r>
      <w:r>
        <w:rPr>
          <w:rFonts w:hint="eastAsia" w:ascii="宋体" w:hAnsi="宋体" w:eastAsia="宋体" w:cs="宋体"/>
          <w:b w:val="0"/>
          <w:bCs w:val="0"/>
          <w:sz w:val="24"/>
          <w:szCs w:val="24"/>
        </w:rPr>
        <w:t>污水在线监测系统维保</w:t>
      </w:r>
    </w:p>
    <w:p>
      <w:pPr>
        <w:spacing w:line="360" w:lineRule="auto"/>
        <w:ind w:firstLine="480" w:firstLineChars="200"/>
        <w:rPr>
          <w:rFonts w:hint="default"/>
          <w:sz w:val="24"/>
          <w:szCs w:val="24"/>
          <w:lang w:val="en-US"/>
        </w:rPr>
      </w:pPr>
      <w:r>
        <w:rPr>
          <w:rFonts w:hint="eastAsia"/>
          <w:sz w:val="24"/>
          <w:szCs w:val="24"/>
          <w:lang w:val="en-US" w:eastAsia="zh-CN"/>
        </w:rPr>
        <w:t>采购方式：公开遴选（非政府采购）</w:t>
      </w:r>
    </w:p>
    <w:p>
      <w:pPr>
        <w:spacing w:line="360" w:lineRule="auto"/>
        <w:ind w:firstLine="480" w:firstLineChars="200"/>
        <w:rPr>
          <w:rFonts w:hint="default" w:eastAsia="宋体"/>
          <w:sz w:val="24"/>
          <w:szCs w:val="24"/>
          <w:lang w:val="en-US" w:eastAsia="zh-CN"/>
        </w:rPr>
      </w:pPr>
      <w:r>
        <w:rPr>
          <w:rFonts w:hint="eastAsia"/>
          <w:sz w:val="24"/>
          <w:szCs w:val="24"/>
        </w:rPr>
        <w:t>预算</w:t>
      </w:r>
      <w:r>
        <w:rPr>
          <w:rFonts w:hint="eastAsia"/>
          <w:sz w:val="24"/>
          <w:szCs w:val="24"/>
          <w:lang w:val="en-US" w:eastAsia="zh-CN"/>
        </w:rPr>
        <w:t>金额</w:t>
      </w:r>
      <w:r>
        <w:rPr>
          <w:rFonts w:hint="eastAsia"/>
          <w:sz w:val="24"/>
          <w:szCs w:val="24"/>
        </w:rPr>
        <w:t>：</w:t>
      </w:r>
      <w:r>
        <w:rPr>
          <w:rFonts w:hint="eastAsia"/>
          <w:sz w:val="24"/>
          <w:szCs w:val="24"/>
          <w:lang w:val="en-US" w:eastAsia="zh-CN"/>
        </w:rPr>
        <w:t>50000</w:t>
      </w:r>
      <w:r>
        <w:rPr>
          <w:rFonts w:hint="eastAsia"/>
          <w:sz w:val="24"/>
          <w:szCs w:val="24"/>
        </w:rPr>
        <w:t>元</w:t>
      </w:r>
      <w:r>
        <w:rPr>
          <w:rFonts w:hint="eastAsia"/>
          <w:sz w:val="24"/>
          <w:szCs w:val="24"/>
          <w:lang w:val="en-US" w:eastAsia="zh-CN"/>
        </w:rPr>
        <w:t>/年</w:t>
      </w:r>
    </w:p>
    <w:p>
      <w:pPr>
        <w:spacing w:line="360" w:lineRule="auto"/>
        <w:rPr>
          <w:rFonts w:hint="default"/>
          <w:b/>
          <w:bCs/>
          <w:sz w:val="28"/>
          <w:szCs w:val="28"/>
          <w:lang w:val="en-US" w:eastAsia="zh-CN"/>
        </w:rPr>
      </w:pPr>
      <w:r>
        <w:rPr>
          <w:rFonts w:hint="eastAsia"/>
          <w:b/>
          <w:bCs/>
          <w:sz w:val="28"/>
          <w:szCs w:val="28"/>
          <w:lang w:val="en-US" w:eastAsia="zh-CN"/>
        </w:rPr>
        <w:t>二</w:t>
      </w:r>
      <w:r>
        <w:rPr>
          <w:rFonts w:hint="eastAsia"/>
          <w:b/>
          <w:bCs/>
          <w:sz w:val="28"/>
          <w:szCs w:val="28"/>
        </w:rPr>
        <w:t>、</w:t>
      </w:r>
      <w:r>
        <w:rPr>
          <w:rFonts w:hint="eastAsia"/>
          <w:b/>
          <w:bCs/>
          <w:sz w:val="28"/>
          <w:szCs w:val="28"/>
          <w:lang w:val="en-US" w:eastAsia="zh-CN"/>
        </w:rPr>
        <w:t>项目维保设施清单</w:t>
      </w:r>
    </w:p>
    <w:tbl>
      <w:tblPr>
        <w:tblStyle w:val="11"/>
        <w:tblW w:w="94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5"/>
        <w:gridCol w:w="2906"/>
        <w:gridCol w:w="903"/>
        <w:gridCol w:w="1756"/>
        <w:gridCol w:w="1887"/>
        <w:gridCol w:w="1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设备品牌</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型号规格</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862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COD在线监测分析仪</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安徽皖仪</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WS1501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氨氮在线监测分析仪</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安徽皖仪</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WS1503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AB桶水质超标留样器</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安徽皖仪</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WS1801</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数据采集传输仪</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广州博控自动化</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K37A</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PH分析仪</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杭州联测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SIN-PH6.3</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超声波明渠流量计</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南京欧卡</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UTL-B</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862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配套设备及材料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2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在线监测附属设备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数据采集传输仪机柜</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竟成环保</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JC-SCG</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稳压器</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德力西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TND-5000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自吸泵</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TW36-450F</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管材</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DN20、DN30等</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62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门禁及视频监控系统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智能枪型摄像机</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DS系列</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智能球型摄像机</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DS系列</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千兆网络交换机</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光为视讯</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8口</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卡片发卡器</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开门按钮</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单门磁力锁</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DS-K4H250SC</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磁力锁支架</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DS-K4H250C-LZ</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门禁备用电源箱</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DS-K7M-AW50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门控安全模块</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DS-K2M060</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2.10</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人脸识别一体机</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DS-K1T671M</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监控机柜</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竟成环保</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JC-LDG</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壁装球机支架</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DS-1602ZJ-H</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PVC管、网络线缆、电源线等</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按需</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62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硬盘录像机</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DS-7908N-K4</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监控机硬盘</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4TB</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UPS主机（门禁用）</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SANTKE</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C1KS</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napToGrid/>
              <w:spacing w:line="34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62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UPS不间断电源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蓄电池（门禁用）</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雷仕顿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12V38ah</w:t>
            </w:r>
          </w:p>
        </w:tc>
        <w:tc>
          <w:tcPr>
            <w:tcW w:w="11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adjustRightInd/>
              <w:snapToGrid/>
              <w:spacing w:line="3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电池柜（门禁用）</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雷仕顿</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548*223*250</w:t>
            </w:r>
          </w:p>
        </w:tc>
        <w:tc>
          <w:tcPr>
            <w:tcW w:w="11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adjustRightInd/>
              <w:snapToGrid/>
              <w:spacing w:line="3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UPS主机（监控用）</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SANTKE</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C1KS</w:t>
            </w:r>
          </w:p>
        </w:tc>
        <w:tc>
          <w:tcPr>
            <w:tcW w:w="11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adjustRightInd/>
              <w:snapToGrid/>
              <w:spacing w:line="3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蓄电池（监控用）</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雷仕顿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12V100ah</w:t>
            </w:r>
          </w:p>
        </w:tc>
        <w:tc>
          <w:tcPr>
            <w:tcW w:w="11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adjustRightInd/>
              <w:snapToGrid/>
              <w:spacing w:line="34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电池柜（监控用）</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雷仕顿</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598*433*350</w:t>
            </w:r>
          </w:p>
        </w:tc>
        <w:tc>
          <w:tcPr>
            <w:tcW w:w="11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overflowPunct/>
              <w:topLinePunct w:val="0"/>
              <w:autoSpaceDE/>
              <w:autoSpaceDN/>
              <w:bidi w:val="0"/>
              <w:adjustRightInd/>
              <w:snapToGrid/>
              <w:spacing w:line="340" w:lineRule="exact"/>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注：</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上</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表中的“设备品牌”和“</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型号规格</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”为原已有的设备品牌和仪器型号</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p>
    <w:p>
      <w:pPr>
        <w:spacing w:line="360" w:lineRule="auto"/>
        <w:rPr>
          <w:rFonts w:hint="default"/>
          <w:b/>
          <w:bCs/>
          <w:sz w:val="28"/>
          <w:szCs w:val="28"/>
          <w:lang w:val="en-US" w:eastAsia="zh-CN"/>
        </w:rPr>
      </w:pPr>
      <w:r>
        <w:rPr>
          <w:rFonts w:hint="eastAsia"/>
          <w:b/>
          <w:bCs/>
          <w:sz w:val="28"/>
          <w:szCs w:val="28"/>
          <w:lang w:val="en-US" w:eastAsia="zh-CN"/>
        </w:rPr>
        <w:t>三</w:t>
      </w:r>
      <w:r>
        <w:rPr>
          <w:rFonts w:hint="eastAsia"/>
          <w:b/>
          <w:bCs/>
          <w:sz w:val="28"/>
          <w:szCs w:val="28"/>
        </w:rPr>
        <w:t>、</w:t>
      </w:r>
      <w:r>
        <w:rPr>
          <w:rFonts w:hint="eastAsia"/>
          <w:b/>
          <w:bCs/>
          <w:sz w:val="28"/>
          <w:szCs w:val="28"/>
          <w:lang w:val="en-US" w:eastAsia="zh-CN"/>
        </w:rPr>
        <w:t>项目主要内容及要求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color w:val="auto"/>
          <w:sz w:val="24"/>
          <w:szCs w:val="24"/>
          <w:lang w:val="en-US"/>
        </w:rPr>
      </w:pPr>
      <w:r>
        <w:rPr>
          <w:rFonts w:hint="eastAsia"/>
          <w:b/>
          <w:bCs/>
          <w:color w:val="auto"/>
          <w:sz w:val="24"/>
          <w:szCs w:val="24"/>
        </w:rPr>
        <w:t>1</w:t>
      </w:r>
      <w:r>
        <w:rPr>
          <w:rFonts w:hint="eastAsia"/>
          <w:b/>
          <w:bCs/>
          <w:color w:val="auto"/>
          <w:sz w:val="24"/>
          <w:szCs w:val="24"/>
          <w:lang w:eastAsia="zh-CN"/>
        </w:rPr>
        <w:t>、</w:t>
      </w:r>
      <w:r>
        <w:rPr>
          <w:rFonts w:hint="eastAsia"/>
          <w:b/>
          <w:bCs/>
          <w:color w:val="auto"/>
          <w:sz w:val="24"/>
          <w:szCs w:val="24"/>
          <w:lang w:val="en-US" w:eastAsia="zh-CN"/>
        </w:rPr>
        <w:t>项目主要内容</w:t>
      </w:r>
    </w:p>
    <w:p>
      <w:pPr>
        <w:spacing w:line="360" w:lineRule="auto"/>
        <w:ind w:firstLine="480" w:firstLineChars="200"/>
        <w:rPr>
          <w:rFonts w:hint="eastAsia"/>
          <w:b w:val="0"/>
          <w:bCs w:val="0"/>
          <w:color w:val="auto"/>
          <w:sz w:val="24"/>
          <w:szCs w:val="24"/>
          <w:lang w:eastAsia="zh-CN"/>
        </w:rPr>
      </w:pPr>
      <w:r>
        <w:rPr>
          <w:rFonts w:hint="eastAsia"/>
          <w:b w:val="0"/>
          <w:bCs w:val="0"/>
          <w:color w:val="auto"/>
          <w:sz w:val="24"/>
          <w:szCs w:val="24"/>
        </w:rPr>
        <w:t>根据《污染源自动监控设施运行管理办法》、《全省污染源在线监测系统运行维护实施方案》、《浙江省污染源在线监测系统运行管理实施细则》等国家、省、市环保局相关技术规范及地环保局认可的运行方案及国家环保部、浙江省环保局针对该类系统的运行技术规范及相应的管理要求，对该系统进行定期的维护、清洗、标定、维修等工作，以确认系统的正常有效运行，并确保有足够的有效监测数据上传至环保行政管理部门。</w:t>
      </w:r>
    </w:p>
    <w:p>
      <w:p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2、维护要求</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2.1 乙方根据省、市环保局的运行维护要求，保证系统稳定、正常运行、保证环保部门获取的监测数据完整率和数据准确率达到相应要求，并建立符合环保部门要求的运行维护技术档案。</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2.2 每月四次定期对仪器进行维护、清洗、检修、更换试剂等工作，保证仪器的正常稳定运行，每月一次对仪器进行标定、校验。严格按要求对系统进行运维、保养、更换试剂、更换易耗配件、更换正常损坏件，建立运行维护技术档案。</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2.3 若系统仪器出现故障，乙方须在2个小时内响应，6小时内到达现场，24小时内恢复有关方并使仪器设备正常运行。24小时内不能恢复的，应使用备用整机，并应得到当地环保部门的同意。</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2.4 在接受该系统的运行维护管理后，承担因该系统运行不正常引起的维修、仪器零部件更换等相应责任与费用，但不承担下列原因造成的责任：</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2.4.1 不可抗力；</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2.4.2 甲方（包括第三人）人为损坏或其它行为造成。</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2.5 设备备件和零部件维修更换（含配件）均由供应商负责。</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2.6 委托具有资质的第三方检测机构，定期完成在线监测设备运行维护的比对工作，废水比对一月一次。</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 xml:space="preserve">2.7 </w:t>
      </w:r>
      <w:r>
        <w:rPr>
          <w:rFonts w:hint="eastAsia"/>
          <w:color w:val="auto"/>
          <w:sz w:val="24"/>
          <w:szCs w:val="24"/>
          <w:highlight w:val="none"/>
          <w:lang w:val="en-US" w:eastAsia="zh-CN"/>
        </w:rPr>
        <w:t>运营维护人员需按每半年编写</w:t>
      </w:r>
      <w:r>
        <w:rPr>
          <w:rFonts w:hint="eastAsia"/>
          <w:color w:val="auto"/>
          <w:sz w:val="24"/>
          <w:szCs w:val="24"/>
          <w:lang w:val="en-US" w:eastAsia="zh-CN"/>
        </w:rPr>
        <w:t>运营维护报告提交采购人，报告需整体概括运营维护的工作，包括仪器的日常维护、仪器易损件的更换、仪器故障的处理的情况等。</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2.8 本系统产生的废液应按危险废物处置管理要求，由中标方负责处理。</w:t>
      </w:r>
    </w:p>
    <w:p>
      <w:pPr>
        <w:spacing w:line="360" w:lineRule="auto"/>
        <w:ind w:firstLine="482"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3、运行考核</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采购人组织开展运维管理和质控考核，运维单位运维达不到要求的，扣减相应的运维费。按半年度对项目进行考核：</w:t>
      </w:r>
    </w:p>
    <w:p>
      <w:pPr>
        <w:numPr>
          <w:ilvl w:val="0"/>
          <w:numId w:val="0"/>
        </w:num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3.1 考核内容：运行维护服务绩效每季度检查一次，每半年考核一次。考核主要包括故障处理，备件更换，数据传输以及运行维护的内容。</w:t>
      </w:r>
    </w:p>
    <w:p>
      <w:pPr>
        <w:numPr>
          <w:ilvl w:val="0"/>
          <w:numId w:val="0"/>
        </w:num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3.2 考核标准：</w:t>
      </w:r>
    </w:p>
    <w:p>
      <w:pPr>
        <w:numPr>
          <w:ilvl w:val="0"/>
          <w:numId w:val="0"/>
        </w:num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①运维单位有下列情形之一的，按照运维合同规定，扣除当期运维费。</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a）非网络原因导致的监测数据传输中断，未在24小时内解决的。扣除当期运维费用的2%。</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b）拖延、阻碍、拒绝质量检查的。扣除当期运维费用的2%。</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c）未按要求开展运行维护，导致系统非正常运行的。根据实际情况扣除当期运维费用的2%-5%。</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②因运维不当导致仪器损毁的，运维单位应依运维合同的约定，承担相应责任。并根据实际情况扣除当期运维费用的2%-10%。</w:t>
      </w:r>
    </w:p>
    <w:p>
      <w:pPr>
        <w:spacing w:line="360" w:lineRule="auto"/>
        <w:ind w:left="562" w:hanging="562" w:hangingChars="200"/>
        <w:rPr>
          <w:rFonts w:hint="eastAsia"/>
          <w:b/>
          <w:bCs/>
          <w:sz w:val="28"/>
          <w:szCs w:val="28"/>
          <w:lang w:val="en-US" w:eastAsia="zh-CN"/>
        </w:rPr>
      </w:pPr>
      <w:r>
        <w:rPr>
          <w:rFonts w:hint="eastAsia"/>
          <w:b/>
          <w:bCs/>
          <w:sz w:val="28"/>
          <w:szCs w:val="28"/>
          <w:lang w:val="en-US" w:eastAsia="zh-CN"/>
        </w:rPr>
        <w:t>四</w:t>
      </w:r>
      <w:r>
        <w:rPr>
          <w:rFonts w:hint="eastAsia"/>
          <w:b/>
          <w:bCs/>
          <w:sz w:val="28"/>
          <w:szCs w:val="28"/>
        </w:rPr>
        <w:t>、</w:t>
      </w:r>
      <w:r>
        <w:rPr>
          <w:rFonts w:hint="eastAsia"/>
          <w:b/>
          <w:bCs/>
          <w:sz w:val="28"/>
          <w:szCs w:val="28"/>
          <w:lang w:val="en-US" w:eastAsia="zh-CN"/>
        </w:rPr>
        <w:t>项目服务期</w:t>
      </w:r>
    </w:p>
    <w:p>
      <w:pPr>
        <w:spacing w:line="360" w:lineRule="auto"/>
        <w:ind w:left="479" w:leftChars="228" w:firstLine="0" w:firstLineChars="0"/>
        <w:rPr>
          <w:rFonts w:hint="default"/>
          <w:b w:val="0"/>
          <w:bCs w:val="0"/>
          <w:sz w:val="24"/>
          <w:szCs w:val="24"/>
          <w:lang w:val="en-US" w:eastAsia="zh-CN"/>
        </w:rPr>
      </w:pPr>
      <w:r>
        <w:rPr>
          <w:rFonts w:hint="eastAsia"/>
          <w:b w:val="0"/>
          <w:bCs w:val="0"/>
          <w:sz w:val="24"/>
          <w:szCs w:val="24"/>
          <w:lang w:val="en-US" w:eastAsia="zh-CN"/>
        </w:rPr>
        <w:t>自合同签订之日起计一年，经采购人确认可续签合同一年。</w:t>
      </w:r>
    </w:p>
    <w:p>
      <w:pPr>
        <w:keepNext w:val="0"/>
        <w:keepLines w:val="0"/>
        <w:pageBreakBefore w:val="0"/>
        <w:kinsoku/>
        <w:wordWrap/>
        <w:topLinePunct w:val="0"/>
        <w:autoSpaceDE/>
        <w:autoSpaceDN/>
        <w:bidi w:val="0"/>
        <w:adjustRightInd/>
        <w:snapToGrid/>
        <w:spacing w:line="360" w:lineRule="auto"/>
        <w:ind w:left="562" w:hanging="562" w:hangingChars="200"/>
        <w:rPr>
          <w:rFonts w:hint="eastAsia"/>
          <w:b/>
          <w:bCs/>
          <w:sz w:val="28"/>
          <w:szCs w:val="28"/>
          <w:lang w:val="en-US" w:eastAsia="zh-CN"/>
        </w:rPr>
      </w:pPr>
      <w:r>
        <w:rPr>
          <w:rFonts w:hint="eastAsia"/>
          <w:b/>
          <w:bCs/>
          <w:sz w:val="28"/>
          <w:szCs w:val="28"/>
          <w:lang w:val="en-US" w:eastAsia="zh-CN"/>
        </w:rPr>
        <w:t>五</w:t>
      </w:r>
      <w:r>
        <w:rPr>
          <w:rFonts w:hint="eastAsia"/>
          <w:b/>
          <w:bCs/>
          <w:sz w:val="28"/>
          <w:szCs w:val="28"/>
        </w:rPr>
        <w:t>、</w:t>
      </w:r>
      <w:r>
        <w:rPr>
          <w:rFonts w:hint="eastAsia"/>
          <w:b/>
          <w:bCs/>
          <w:sz w:val="28"/>
          <w:szCs w:val="28"/>
          <w:lang w:val="en-US" w:eastAsia="zh-CN"/>
        </w:rPr>
        <w:t>付款方式</w:t>
      </w:r>
    </w:p>
    <w:p>
      <w:pPr>
        <w:keepNext w:val="0"/>
        <w:keepLines w:val="0"/>
        <w:pageBreakBefore w:val="0"/>
        <w:kinsoku/>
        <w:wordWrap/>
        <w:topLinePunct w:val="0"/>
        <w:autoSpaceDE/>
        <w:autoSpaceDN/>
        <w:bidi w:val="0"/>
        <w:adjustRightInd/>
        <w:snapToGrid/>
        <w:spacing w:line="360" w:lineRule="auto"/>
        <w:ind w:left="479" w:leftChars="228"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每半年通过考核后，甲方按半年度支付中标价的50%，甲方在收到发票后</w:t>
      </w:r>
      <w:r>
        <w:rPr>
          <w:rFonts w:hint="eastAsia" w:ascii="宋体" w:hAnsi="宋体" w:cs="宋体"/>
          <w:b w:val="0"/>
          <w:bCs w:val="0"/>
          <w:sz w:val="24"/>
          <w:szCs w:val="24"/>
          <w:lang w:val="en-US" w:eastAsia="zh-CN"/>
        </w:rPr>
        <w:t>二</w:t>
      </w:r>
      <w:r>
        <w:rPr>
          <w:rFonts w:hint="eastAsia" w:ascii="宋体" w:hAnsi="宋体" w:eastAsia="宋体" w:cs="宋体"/>
          <w:b w:val="0"/>
          <w:bCs w:val="0"/>
          <w:sz w:val="24"/>
          <w:szCs w:val="24"/>
          <w:lang w:val="en-US" w:eastAsia="zh-CN"/>
        </w:rPr>
        <w:t>个月内进</w:t>
      </w:r>
    </w:p>
    <w:p>
      <w:pPr>
        <w:keepNext w:val="0"/>
        <w:keepLines w:val="0"/>
        <w:pageBreakBefore w:val="0"/>
        <w:kinsoku/>
        <w:wordWrap/>
        <w:topLinePunct w:val="0"/>
        <w:autoSpaceDE/>
        <w:autoSpaceDN/>
        <w:bidi w:val="0"/>
        <w:adjustRightInd/>
        <w:snapToGrid/>
        <w:spacing w:line="360" w:lineRule="auto"/>
        <w:ind w:left="562" w:hanging="480" w:hangingChars="200"/>
        <w:rPr>
          <w:rFonts w:hint="default"/>
          <w:lang w:val="en-US" w:eastAsia="zh-CN"/>
        </w:rPr>
      </w:pPr>
      <w:r>
        <w:rPr>
          <w:rFonts w:hint="eastAsia" w:ascii="宋体" w:hAnsi="宋体" w:eastAsia="宋体" w:cs="宋体"/>
          <w:b w:val="0"/>
          <w:bCs w:val="0"/>
          <w:sz w:val="24"/>
          <w:szCs w:val="24"/>
          <w:lang w:val="en-US" w:eastAsia="zh-CN"/>
        </w:rPr>
        <w:t>行支付。</w:t>
      </w: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sz w:val="28"/>
          <w:szCs w:val="28"/>
          <w:lang w:val="en-US" w:eastAsia="zh-CN"/>
        </w:rPr>
        <w:t>六、</w:t>
      </w:r>
      <w:r>
        <w:rPr>
          <w:rFonts w:hint="eastAsia" w:ascii="宋体" w:hAnsi="宋体" w:eastAsia="宋体" w:cs="黑体"/>
          <w:b/>
          <w:bCs/>
          <w:sz w:val="28"/>
          <w:szCs w:val="28"/>
          <w:lang w:val="en-US" w:eastAsia="zh-CN"/>
        </w:rPr>
        <w:t>定标方法</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1、确定中标候选人</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2、确定中标人</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eastAsia="宋体" w:cs="宋体"/>
          <w:sz w:val="24"/>
          <w:szCs w:val="24"/>
          <w:lang w:val="en-US" w:eastAsia="zh-CN"/>
        </w:rPr>
        <w:t>招标</w:t>
      </w:r>
      <w:r>
        <w:rPr>
          <w:rFonts w:hint="eastAsia" w:ascii="宋体" w:hAnsi="宋体" w:eastAsia="宋体" w:cs="宋体"/>
          <w:sz w:val="24"/>
          <w:szCs w:val="24"/>
        </w:rPr>
        <w:t>。</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pPr>
        <w:numPr>
          <w:ilvl w:val="0"/>
          <w:numId w:val="0"/>
        </w:numPr>
        <w:rPr>
          <w:rFonts w:hint="eastAsia"/>
          <w:b/>
          <w:bCs/>
          <w:sz w:val="28"/>
          <w:szCs w:val="28"/>
        </w:rPr>
      </w:pPr>
      <w:r>
        <w:rPr>
          <w:rFonts w:hint="eastAsia"/>
          <w:b/>
          <w:bCs/>
          <w:sz w:val="28"/>
          <w:szCs w:val="28"/>
          <w:lang w:val="en-US" w:eastAsia="zh-CN"/>
        </w:rPr>
        <w:t>七、</w:t>
      </w:r>
      <w:r>
        <w:rPr>
          <w:rFonts w:hint="eastAsia"/>
          <w:b/>
          <w:bCs/>
          <w:sz w:val="28"/>
          <w:szCs w:val="28"/>
        </w:rPr>
        <w:t>评分细则</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3</w:t>
      </w:r>
      <w:r>
        <w:rPr>
          <w:rFonts w:hint="eastAsia" w:ascii="宋体" w:hAnsi="宋体" w:eastAsia="宋体" w:cs="宋体"/>
          <w:sz w:val="24"/>
          <w:szCs w:val="24"/>
        </w:rPr>
        <w:t>0分)（权值</w:t>
      </w:r>
      <w:r>
        <w:rPr>
          <w:rFonts w:hint="eastAsia" w:ascii="宋体" w:hAnsi="宋体" w:cs="宋体"/>
          <w:sz w:val="24"/>
          <w:szCs w:val="24"/>
          <w:lang w:val="en-US" w:eastAsia="zh-CN"/>
        </w:rPr>
        <w:t>3</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7</w:t>
      </w:r>
      <w:r>
        <w:rPr>
          <w:rFonts w:hint="eastAsia" w:ascii="宋体" w:hAnsi="宋体" w:eastAsia="宋体" w:cs="宋体"/>
          <w:sz w:val="24"/>
          <w:szCs w:val="24"/>
        </w:rPr>
        <w:t>0分（权值</w:t>
      </w:r>
      <w:r>
        <w:rPr>
          <w:rFonts w:hint="eastAsia" w:ascii="宋体" w:hAnsi="宋体" w:cs="宋体"/>
          <w:sz w:val="24"/>
          <w:szCs w:val="24"/>
          <w:lang w:val="en-US" w:eastAsia="zh-CN"/>
        </w:rPr>
        <w:t>7</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70分</w:t>
      </w:r>
      <w:r>
        <w:rPr>
          <w:rFonts w:hint="eastAsia" w:ascii="宋体" w:hAnsi="宋体" w:eastAsia="宋体" w:cs="宋体"/>
          <w:sz w:val="24"/>
          <w:szCs w:val="24"/>
        </w:rPr>
        <w:t>；</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pStyle w:val="4"/>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3"/>
        <w:spacing w:line="360" w:lineRule="auto"/>
        <w:rPr>
          <w:rFonts w:hint="default" w:eastAsia="宋体"/>
          <w:sz w:val="28"/>
          <w:szCs w:val="28"/>
          <w:lang w:val="en-US" w:eastAsia="zh-CN"/>
        </w:rPr>
      </w:pPr>
      <w:r>
        <w:rPr>
          <w:rFonts w:hint="eastAsia"/>
          <w:sz w:val="28"/>
          <w:szCs w:val="28"/>
          <w:lang w:val="en-US" w:eastAsia="zh-CN"/>
        </w:rPr>
        <w:t>八、附件</w:t>
      </w:r>
    </w:p>
    <w:p>
      <w:pPr>
        <w:spacing w:line="360" w:lineRule="auto"/>
        <w:rPr>
          <w:rFonts w:hint="eastAsia" w:ascii="宋体" w:hAnsi="宋体"/>
          <w:b/>
          <w:sz w:val="24"/>
          <w:szCs w:val="24"/>
        </w:rPr>
      </w:pPr>
      <w:r>
        <w:rPr>
          <w:rFonts w:hint="eastAsia" w:ascii="宋体" w:hAnsi="宋体"/>
          <w:b/>
          <w:sz w:val="24"/>
          <w:szCs w:val="24"/>
          <w:lang w:val="en-US" w:eastAsia="zh-CN"/>
        </w:rPr>
        <w:t>1、</w:t>
      </w:r>
      <w:r>
        <w:rPr>
          <w:rFonts w:hint="eastAsia" w:ascii="宋体" w:hAnsi="宋体"/>
          <w:b/>
          <w:sz w:val="24"/>
          <w:szCs w:val="24"/>
        </w:rPr>
        <w:t>技术</w:t>
      </w:r>
      <w:r>
        <w:rPr>
          <w:rFonts w:hint="eastAsia" w:ascii="宋体" w:hAnsi="宋体"/>
          <w:b/>
          <w:sz w:val="24"/>
          <w:szCs w:val="24"/>
          <w:lang w:val="en-US" w:eastAsia="zh-CN"/>
        </w:rPr>
        <w:t>评分：满分3</w:t>
      </w:r>
      <w:r>
        <w:rPr>
          <w:rFonts w:hint="eastAsia" w:ascii="宋体" w:hAnsi="宋体"/>
          <w:b/>
          <w:sz w:val="24"/>
          <w:szCs w:val="24"/>
        </w:rPr>
        <w:t>0分</w:t>
      </w:r>
    </w:p>
    <w:tbl>
      <w:tblPr>
        <w:tblStyle w:val="12"/>
        <w:tblpPr w:leftFromText="180" w:rightFromText="180" w:vertAnchor="text" w:horzAnchor="page" w:tblpX="1077" w:tblpY="222"/>
        <w:tblOverlap w:val="never"/>
        <w:tblW w:w="10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300"/>
        <w:gridCol w:w="7028"/>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3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b w:val="0"/>
                <w:bCs/>
                <w:color w:val="auto"/>
                <w:sz w:val="22"/>
                <w:szCs w:val="22"/>
                <w:highlight w:val="none"/>
                <w:vertAlign w:val="baseline"/>
                <w:lang w:val="en-US" w:eastAsia="zh-CN"/>
                <w14:ligatures w14:val="none"/>
              </w:rPr>
            </w:pPr>
            <w:r>
              <w:rPr>
                <w:rFonts w:hint="eastAsia" w:ascii="宋体" w:hAnsi="宋体" w:cs="宋体"/>
                <w:b/>
                <w:bCs w:val="0"/>
                <w:color w:val="auto"/>
                <w:sz w:val="22"/>
                <w:szCs w:val="22"/>
                <w:highlight w:val="none"/>
                <w:vertAlign w:val="baseline"/>
                <w:lang w:val="en-US" w:eastAsia="zh-CN"/>
                <w14:ligatures w14:val="none"/>
              </w:rPr>
              <w:t>序号</w:t>
            </w:r>
          </w:p>
        </w:tc>
        <w:tc>
          <w:tcPr>
            <w:tcW w:w="1300"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b/>
                <w:color w:val="auto"/>
                <w:sz w:val="22"/>
                <w:szCs w:val="22"/>
                <w:highlight w:val="none"/>
                <w:vertAlign w:val="baseline"/>
                <w:lang w:val="en-US" w:eastAsia="zh-CN"/>
                <w14:ligatures w14:val="none"/>
              </w:rPr>
            </w:pPr>
            <w:r>
              <w:rPr>
                <w:rFonts w:hint="eastAsia" w:ascii="宋体" w:hAnsi="宋体" w:cs="宋体"/>
                <w:b/>
                <w:color w:val="auto"/>
                <w:sz w:val="22"/>
                <w:szCs w:val="22"/>
                <w:highlight w:val="none"/>
                <w:vertAlign w:val="baseline"/>
                <w:lang w:val="en-US" w:eastAsia="zh-CN"/>
                <w14:ligatures w14:val="none"/>
              </w:rPr>
              <w:t>评分内容</w:t>
            </w:r>
          </w:p>
        </w:tc>
        <w:tc>
          <w:tcPr>
            <w:tcW w:w="7028"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b/>
                <w:color w:val="auto"/>
                <w:sz w:val="22"/>
                <w:szCs w:val="22"/>
                <w:highlight w:val="none"/>
                <w:vertAlign w:val="baseline"/>
                <w:lang w:val="en-US" w:eastAsia="zh-CN"/>
                <w14:ligatures w14:val="none"/>
              </w:rPr>
            </w:pPr>
            <w:r>
              <w:rPr>
                <w:rFonts w:hint="eastAsia" w:ascii="宋体" w:hAnsi="宋体" w:cs="宋体"/>
                <w:b/>
                <w:color w:val="auto"/>
                <w:sz w:val="22"/>
                <w:szCs w:val="22"/>
                <w:highlight w:val="none"/>
                <w:vertAlign w:val="baseline"/>
                <w:lang w:val="en-US" w:eastAsia="zh-CN"/>
                <w14:ligatures w14:val="none"/>
              </w:rPr>
              <w:t>评分细则</w:t>
            </w:r>
          </w:p>
        </w:tc>
        <w:tc>
          <w:tcPr>
            <w:tcW w:w="924"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40" w:lineRule="exact"/>
              <w:ind w:left="0" w:firstLine="0" w:firstLineChars="0"/>
              <w:jc w:val="center"/>
              <w:textAlignment w:val="auto"/>
              <w:rPr>
                <w:rFonts w:hint="eastAsia" w:ascii="宋体" w:hAnsi="宋体" w:eastAsia="宋体" w:cs="宋体"/>
                <w:b/>
                <w:color w:val="auto"/>
                <w:sz w:val="22"/>
                <w:szCs w:val="22"/>
                <w:highlight w:val="none"/>
                <w:vertAlign w:val="baseline"/>
                <w:lang w:val="en-US" w:eastAsia="zh-CN"/>
                <w14:ligatures w14:val="none"/>
              </w:rPr>
            </w:pPr>
            <w:r>
              <w:rPr>
                <w:rFonts w:hint="eastAsia" w:ascii="宋体" w:hAnsi="宋体" w:cs="宋体"/>
                <w:b/>
                <w:color w:val="auto"/>
                <w:sz w:val="22"/>
                <w:szCs w:val="22"/>
                <w:highlight w:val="none"/>
                <w:vertAlign w:val="baseline"/>
                <w:lang w:val="en-US" w:eastAsia="zh-CN"/>
                <w14:ligatures w14: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93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14:ligatures w14:val="none"/>
              </w:rPr>
            </w:pPr>
            <w:r>
              <w:rPr>
                <w:rFonts w:hint="eastAsia" w:ascii="宋体" w:hAnsi="宋体" w:eastAsia="宋体" w:cs="宋体"/>
                <w:color w:val="auto"/>
                <w:kern w:val="2"/>
                <w:sz w:val="22"/>
                <w:szCs w:val="22"/>
                <w:highlight w:val="none"/>
                <w:lang w:val="en-US" w:eastAsia="zh-CN" w:bidi="ar-SA"/>
                <w14:ligatures w14:val="none"/>
              </w:rPr>
              <w:t>1</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2"/>
                <w:szCs w:val="22"/>
                <w:highlight w:val="none"/>
                <w:lang w:val="en-US" w:eastAsia="zh-CN" w:bidi="ar-SA"/>
                <w14:ligatures w14:val="none"/>
              </w:rPr>
            </w:pPr>
            <w:r>
              <w:rPr>
                <w:rFonts w:hint="eastAsia" w:ascii="宋体" w:hAnsi="宋体" w:eastAsia="宋体" w:cs="宋体"/>
                <w:color w:val="auto"/>
                <w:kern w:val="2"/>
                <w:sz w:val="22"/>
                <w:szCs w:val="22"/>
                <w:highlight w:val="none"/>
                <w:lang w:val="en-US" w:eastAsia="zh-CN" w:bidi="ar-SA"/>
                <w14:ligatures w14:val="none"/>
              </w:rPr>
              <w:t>业绩</w:t>
            </w:r>
          </w:p>
        </w:tc>
        <w:tc>
          <w:tcPr>
            <w:tcW w:w="70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val="0"/>
                <w:color w:val="auto"/>
                <w:kern w:val="2"/>
                <w:sz w:val="22"/>
                <w:szCs w:val="22"/>
                <w:highlight w:val="none"/>
                <w:lang w:val="en-US" w:eastAsia="zh-CN" w:bidi="ar-SA"/>
                <w14:ligatures w14:val="none"/>
              </w:rPr>
            </w:pPr>
            <w:r>
              <w:rPr>
                <w:rFonts w:hint="eastAsia" w:ascii="宋体" w:hAnsi="宋体" w:eastAsia="宋体" w:cs="宋体"/>
                <w:b w:val="0"/>
                <w:bCs w:val="0"/>
                <w:color w:val="auto"/>
                <w:sz w:val="22"/>
                <w:szCs w:val="22"/>
                <w:highlight w:val="none"/>
                <w:lang w:val="en-US" w:eastAsia="zh-CN"/>
                <w14:ligatures w14:val="none"/>
              </w:rPr>
              <w:t>提供2022年1月1日以来温州地区污水在线监测系统运维合同，提供一份得</w:t>
            </w:r>
            <w:r>
              <w:rPr>
                <w:rFonts w:hint="eastAsia" w:ascii="宋体" w:hAnsi="宋体" w:cs="宋体"/>
                <w:b w:val="0"/>
                <w:bCs w:val="0"/>
                <w:color w:val="auto"/>
                <w:sz w:val="22"/>
                <w:szCs w:val="22"/>
                <w:highlight w:val="none"/>
                <w:lang w:val="en-US" w:eastAsia="zh-CN"/>
                <w14:ligatures w14:val="none"/>
              </w:rPr>
              <w:t>2</w:t>
            </w:r>
            <w:r>
              <w:rPr>
                <w:rFonts w:hint="eastAsia" w:ascii="宋体" w:hAnsi="宋体" w:eastAsia="宋体" w:cs="宋体"/>
                <w:b w:val="0"/>
                <w:bCs w:val="0"/>
                <w:color w:val="auto"/>
                <w:sz w:val="22"/>
                <w:szCs w:val="22"/>
                <w:highlight w:val="none"/>
                <w:lang w:val="en-US" w:eastAsia="zh-CN"/>
                <w14:ligatures w14:val="none"/>
              </w:rPr>
              <w:t>分；该项最多得</w:t>
            </w:r>
            <w:r>
              <w:rPr>
                <w:rFonts w:hint="eastAsia" w:ascii="宋体" w:hAnsi="宋体" w:cs="宋体"/>
                <w:b w:val="0"/>
                <w:bCs w:val="0"/>
                <w:color w:val="auto"/>
                <w:sz w:val="22"/>
                <w:szCs w:val="22"/>
                <w:highlight w:val="none"/>
                <w:lang w:val="en-US" w:eastAsia="zh-CN"/>
                <w14:ligatures w14:val="none"/>
              </w:rPr>
              <w:t>6</w:t>
            </w:r>
            <w:r>
              <w:rPr>
                <w:rFonts w:hint="eastAsia" w:ascii="宋体" w:hAnsi="宋体" w:eastAsia="宋体" w:cs="宋体"/>
                <w:b w:val="0"/>
                <w:bCs w:val="0"/>
                <w:color w:val="auto"/>
                <w:sz w:val="22"/>
                <w:szCs w:val="22"/>
                <w:highlight w:val="none"/>
                <w:lang w:val="en-US" w:eastAsia="zh-CN"/>
                <w14:ligatures w14:val="none"/>
              </w:rPr>
              <w:t>分（以合同落款公章为准，同一单位不累计得分，提供复印件并加盖公章）。</w:t>
            </w:r>
          </w:p>
        </w:tc>
        <w:tc>
          <w:tcPr>
            <w:tcW w:w="9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14:ligatures w14:val="none"/>
              </w:rPr>
            </w:pPr>
            <w:r>
              <w:rPr>
                <w:rFonts w:hint="eastAsia" w:ascii="宋体" w:hAnsi="宋体" w:cs="宋体"/>
                <w:color w:val="auto"/>
                <w:kern w:val="2"/>
                <w:sz w:val="22"/>
                <w:szCs w:val="22"/>
                <w:highlight w:val="none"/>
                <w:lang w:val="en-US" w:eastAsia="zh-CN" w:bidi="ar-SA"/>
                <w14:ligatures w14: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93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14:ligatures w14:val="none"/>
              </w:rPr>
            </w:pPr>
            <w:r>
              <w:rPr>
                <w:rFonts w:hint="eastAsia" w:ascii="宋体" w:hAnsi="宋体" w:eastAsia="宋体" w:cs="宋体"/>
                <w:color w:val="auto"/>
                <w:kern w:val="2"/>
                <w:sz w:val="22"/>
                <w:szCs w:val="22"/>
                <w:highlight w:val="none"/>
                <w:lang w:val="en-US" w:eastAsia="zh-CN" w:bidi="ar-SA"/>
                <w14:ligatures w14:val="none"/>
              </w:rPr>
              <w:t>2</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2"/>
                <w:szCs w:val="22"/>
                <w:highlight w:val="none"/>
                <w:lang w:val="en-US" w:eastAsia="zh-CN" w:bidi="ar-SA"/>
                <w14:ligatures w14:val="none"/>
              </w:rPr>
            </w:pPr>
            <w:r>
              <w:rPr>
                <w:rFonts w:hint="eastAsia" w:ascii="宋体" w:hAnsi="宋体" w:eastAsia="宋体" w:cs="宋体"/>
                <w:b w:val="0"/>
                <w:bCs w:val="0"/>
                <w:color w:val="auto"/>
                <w:sz w:val="22"/>
                <w:szCs w:val="22"/>
                <w:highlight w:val="none"/>
                <w:lang w:val="en-US" w:eastAsia="zh-CN"/>
                <w14:ligatures w14:val="none"/>
              </w:rPr>
              <w:t>设备维保组织实施方案</w:t>
            </w:r>
          </w:p>
        </w:tc>
        <w:tc>
          <w:tcPr>
            <w:tcW w:w="70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val="0"/>
                <w:bCs w:val="0"/>
                <w:color w:val="auto"/>
                <w:sz w:val="22"/>
                <w:szCs w:val="22"/>
                <w:highlight w:val="none"/>
                <w:lang w:val="en-US" w:eastAsia="zh-CN"/>
                <w14:ligatures w14:val="none"/>
              </w:rPr>
            </w:pPr>
            <w:r>
              <w:rPr>
                <w:rFonts w:hint="eastAsia" w:ascii="宋体" w:hAnsi="宋体" w:eastAsia="宋体" w:cs="宋体"/>
                <w:b w:val="0"/>
                <w:bCs w:val="0"/>
                <w:color w:val="auto"/>
                <w:sz w:val="22"/>
                <w:szCs w:val="22"/>
                <w:highlight w:val="none"/>
                <w:lang w:val="en-US" w:eastAsia="zh-CN"/>
                <w14:ligatures w14:val="none"/>
              </w:rPr>
              <w:t>根据投标人的详细维保组织实施计划：包括工作规范和操作规程、维修保养规程、日常维护及日常维护记录（式样）、故障处理分析及预防和应急措施、部件更换策略及流程、运营维护报告内容等进行综合比较打分（0-1</w:t>
            </w:r>
            <w:r>
              <w:rPr>
                <w:rFonts w:hint="eastAsia" w:ascii="宋体" w:hAnsi="宋体" w:cs="宋体"/>
                <w:b w:val="0"/>
                <w:bCs w:val="0"/>
                <w:color w:val="auto"/>
                <w:sz w:val="22"/>
                <w:szCs w:val="22"/>
                <w:highlight w:val="none"/>
                <w:lang w:val="en-US" w:eastAsia="zh-CN"/>
                <w14:ligatures w14:val="none"/>
              </w:rPr>
              <w:t>8</w:t>
            </w:r>
            <w:r>
              <w:rPr>
                <w:rFonts w:hint="eastAsia" w:ascii="宋体" w:hAnsi="宋体" w:eastAsia="宋体" w:cs="宋体"/>
                <w:b w:val="0"/>
                <w:bCs w:val="0"/>
                <w:color w:val="auto"/>
                <w:sz w:val="22"/>
                <w:szCs w:val="22"/>
                <w:highlight w:val="none"/>
                <w:lang w:val="en-US" w:eastAsia="zh-CN"/>
                <w14:ligatures w14:val="none"/>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default" w:ascii="宋体" w:hAnsi="宋体" w:eastAsia="宋体" w:cs="宋体"/>
                <w:b w:val="0"/>
                <w:bCs w:val="0"/>
                <w:color w:val="auto"/>
                <w:kern w:val="2"/>
                <w:sz w:val="22"/>
                <w:szCs w:val="22"/>
                <w:highlight w:val="none"/>
                <w:lang w:val="en-US" w:eastAsia="zh-CN" w:bidi="ar-SA"/>
                <w14:ligatures w14:val="none"/>
              </w:rPr>
            </w:pPr>
            <w:r>
              <w:rPr>
                <w:rFonts w:hint="eastAsia" w:ascii="宋体" w:hAnsi="宋体" w:eastAsia="宋体" w:cs="宋体"/>
                <w:b w:val="0"/>
                <w:bCs w:val="0"/>
                <w:color w:val="auto"/>
                <w:sz w:val="22"/>
                <w:szCs w:val="22"/>
                <w:highlight w:val="none"/>
                <w:lang w:val="en-US" w:eastAsia="zh-CN"/>
                <w14:ligatures w14:val="none"/>
              </w:rPr>
              <w:t>A档：1</w:t>
            </w:r>
            <w:r>
              <w:rPr>
                <w:rFonts w:hint="eastAsia" w:ascii="宋体" w:hAnsi="宋体" w:cs="宋体"/>
                <w:b w:val="0"/>
                <w:bCs w:val="0"/>
                <w:color w:val="auto"/>
                <w:sz w:val="22"/>
                <w:szCs w:val="22"/>
                <w:highlight w:val="none"/>
                <w:lang w:val="en-US" w:eastAsia="zh-CN"/>
                <w14:ligatures w14:val="none"/>
              </w:rPr>
              <w:t>8</w:t>
            </w:r>
            <w:r>
              <w:rPr>
                <w:rFonts w:hint="eastAsia" w:ascii="宋体" w:hAnsi="宋体" w:eastAsia="宋体" w:cs="宋体"/>
                <w:b w:val="0"/>
                <w:bCs w:val="0"/>
                <w:color w:val="auto"/>
                <w:sz w:val="22"/>
                <w:szCs w:val="22"/>
                <w:highlight w:val="none"/>
                <w:lang w:val="en-US" w:eastAsia="zh-CN"/>
                <w14:ligatures w14:val="none"/>
              </w:rPr>
              <w:t>-</w:t>
            </w:r>
            <w:r>
              <w:rPr>
                <w:rFonts w:hint="eastAsia" w:ascii="宋体" w:hAnsi="宋体" w:cs="宋体"/>
                <w:b w:val="0"/>
                <w:bCs w:val="0"/>
                <w:color w:val="auto"/>
                <w:sz w:val="22"/>
                <w:szCs w:val="22"/>
                <w:highlight w:val="none"/>
                <w:lang w:val="en-US" w:eastAsia="zh-CN"/>
                <w14:ligatures w14:val="none"/>
              </w:rPr>
              <w:t>12</w:t>
            </w:r>
            <w:r>
              <w:rPr>
                <w:rFonts w:hint="eastAsia" w:ascii="宋体" w:hAnsi="宋体" w:eastAsia="宋体" w:cs="宋体"/>
                <w:b w:val="0"/>
                <w:bCs w:val="0"/>
                <w:color w:val="auto"/>
                <w:sz w:val="22"/>
                <w:szCs w:val="22"/>
                <w:highlight w:val="none"/>
                <w:lang w:val="en-US" w:eastAsia="zh-CN"/>
                <w14:ligatures w14:val="none"/>
              </w:rPr>
              <w:t>分；B档：</w:t>
            </w:r>
            <w:r>
              <w:rPr>
                <w:rFonts w:hint="eastAsia" w:ascii="宋体" w:hAnsi="宋体" w:cs="宋体"/>
                <w:b w:val="0"/>
                <w:bCs w:val="0"/>
                <w:color w:val="auto"/>
                <w:sz w:val="22"/>
                <w:szCs w:val="22"/>
                <w:highlight w:val="none"/>
                <w:lang w:val="en-US" w:eastAsia="zh-CN"/>
                <w14:ligatures w14:val="none"/>
              </w:rPr>
              <w:t>12</w:t>
            </w:r>
            <w:r>
              <w:rPr>
                <w:rFonts w:hint="eastAsia" w:ascii="宋体" w:hAnsi="宋体" w:eastAsia="宋体" w:cs="宋体"/>
                <w:b w:val="0"/>
                <w:bCs w:val="0"/>
                <w:color w:val="auto"/>
                <w:sz w:val="22"/>
                <w:szCs w:val="22"/>
                <w:highlight w:val="none"/>
                <w:lang w:val="en-US" w:eastAsia="zh-CN"/>
                <w14:ligatures w14:val="none"/>
              </w:rPr>
              <w:t>-</w:t>
            </w:r>
            <w:r>
              <w:rPr>
                <w:rFonts w:hint="eastAsia" w:ascii="宋体" w:hAnsi="宋体" w:cs="宋体"/>
                <w:b w:val="0"/>
                <w:bCs w:val="0"/>
                <w:color w:val="auto"/>
                <w:sz w:val="22"/>
                <w:szCs w:val="22"/>
                <w:highlight w:val="none"/>
                <w:lang w:val="en-US" w:eastAsia="zh-CN"/>
                <w14:ligatures w14:val="none"/>
              </w:rPr>
              <w:t>6</w:t>
            </w:r>
            <w:r>
              <w:rPr>
                <w:rFonts w:hint="eastAsia" w:ascii="宋体" w:hAnsi="宋体" w:eastAsia="宋体" w:cs="宋体"/>
                <w:b w:val="0"/>
                <w:bCs w:val="0"/>
                <w:color w:val="auto"/>
                <w:sz w:val="22"/>
                <w:szCs w:val="22"/>
                <w:highlight w:val="none"/>
                <w:lang w:val="en-US" w:eastAsia="zh-CN"/>
                <w14:ligatures w14:val="none"/>
              </w:rPr>
              <w:t>分；C档：</w:t>
            </w:r>
            <w:r>
              <w:rPr>
                <w:rFonts w:hint="eastAsia" w:ascii="宋体" w:hAnsi="宋体" w:cs="宋体"/>
                <w:b w:val="0"/>
                <w:bCs w:val="0"/>
                <w:color w:val="auto"/>
                <w:sz w:val="22"/>
                <w:szCs w:val="22"/>
                <w:highlight w:val="none"/>
                <w:lang w:val="en-US" w:eastAsia="zh-CN"/>
                <w14:ligatures w14:val="none"/>
              </w:rPr>
              <w:t>6</w:t>
            </w:r>
            <w:r>
              <w:rPr>
                <w:rFonts w:hint="eastAsia" w:ascii="宋体" w:hAnsi="宋体" w:eastAsia="宋体" w:cs="宋体"/>
                <w:b w:val="0"/>
                <w:bCs w:val="0"/>
                <w:color w:val="auto"/>
                <w:sz w:val="22"/>
                <w:szCs w:val="22"/>
                <w:highlight w:val="none"/>
                <w:lang w:val="en-US" w:eastAsia="zh-CN"/>
                <w14:ligatures w14:val="none"/>
              </w:rPr>
              <w:t>-0分</w:t>
            </w:r>
          </w:p>
        </w:tc>
        <w:tc>
          <w:tcPr>
            <w:tcW w:w="9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default" w:ascii="宋体" w:hAnsi="宋体" w:eastAsia="宋体" w:cs="宋体"/>
                <w:color w:val="auto"/>
                <w:kern w:val="2"/>
                <w:sz w:val="22"/>
                <w:szCs w:val="22"/>
                <w:highlight w:val="none"/>
                <w:lang w:val="en-US" w:eastAsia="zh-CN" w:bidi="ar-SA"/>
                <w14:ligatures w14:val="none"/>
              </w:rPr>
            </w:pPr>
            <w:r>
              <w:rPr>
                <w:rFonts w:hint="eastAsia" w:ascii="宋体" w:hAnsi="宋体" w:cs="宋体"/>
                <w:color w:val="auto"/>
                <w:kern w:val="2"/>
                <w:sz w:val="22"/>
                <w:szCs w:val="22"/>
                <w:highlight w:val="none"/>
                <w:lang w:val="en-US" w:eastAsia="zh-CN" w:bidi="ar-SA"/>
                <w14:ligatures w14:val="none"/>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3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14:ligatures w14:val="none"/>
              </w:rPr>
            </w:pPr>
            <w:r>
              <w:rPr>
                <w:rFonts w:hint="eastAsia" w:ascii="宋体" w:hAnsi="宋体" w:eastAsia="宋体" w:cs="宋体"/>
                <w:color w:val="auto"/>
                <w:kern w:val="2"/>
                <w:sz w:val="22"/>
                <w:szCs w:val="22"/>
                <w:highlight w:val="none"/>
                <w:lang w:val="en-US" w:eastAsia="zh-CN" w:bidi="ar-SA"/>
                <w14:ligatures w14:val="none"/>
              </w:rPr>
              <w:t>3</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2"/>
                <w:sz w:val="22"/>
                <w:szCs w:val="22"/>
                <w:highlight w:val="none"/>
                <w:lang w:val="en-US" w:eastAsia="zh-CN" w:bidi="ar-SA"/>
                <w14:ligatures w14:val="none"/>
              </w:rPr>
            </w:pPr>
            <w:r>
              <w:rPr>
                <w:rFonts w:hint="eastAsia" w:ascii="宋体" w:hAnsi="宋体" w:eastAsia="宋体" w:cs="宋体"/>
                <w:color w:val="auto"/>
                <w:kern w:val="2"/>
                <w:sz w:val="22"/>
                <w:szCs w:val="22"/>
                <w:highlight w:val="none"/>
                <w:lang w:val="en-US" w:eastAsia="zh-CN" w:bidi="ar-SA"/>
                <w14:ligatures w14:val="none"/>
              </w:rPr>
              <w:t>售后服务</w:t>
            </w:r>
          </w:p>
        </w:tc>
        <w:tc>
          <w:tcPr>
            <w:tcW w:w="7028"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color w:val="auto"/>
                <w:kern w:val="2"/>
                <w:sz w:val="22"/>
                <w:szCs w:val="22"/>
                <w:highlight w:val="none"/>
                <w:lang w:val="en-US" w:eastAsia="zh-CN" w:bidi="ar-SA"/>
                <w14:ligatures w14:val="none"/>
              </w:rPr>
            </w:pPr>
            <w:r>
              <w:rPr>
                <w:rFonts w:hint="eastAsia" w:ascii="宋体" w:hAnsi="宋体" w:eastAsia="宋体" w:cs="宋体"/>
                <w:color w:val="auto"/>
                <w:sz w:val="22"/>
                <w:szCs w:val="28"/>
                <w:highlight w:val="none"/>
                <w:lang w:val="en-US" w:eastAsia="zh-CN"/>
                <w14:ligatures w14:val="none"/>
              </w:rPr>
              <w:t>根据投标人的</w:t>
            </w:r>
            <w:r>
              <w:rPr>
                <w:rFonts w:hint="eastAsia" w:ascii="宋体" w:hAnsi="宋体" w:eastAsia="宋体" w:cs="宋体"/>
                <w:color w:val="auto"/>
                <w:sz w:val="22"/>
                <w:szCs w:val="28"/>
                <w:highlight w:val="none"/>
                <w14:ligatures w14:val="none"/>
              </w:rPr>
              <w:t>服务网点与招标人的距离和服务的及时性等进行综合比较打分</w:t>
            </w:r>
            <w:r>
              <w:rPr>
                <w:rFonts w:hint="eastAsia" w:ascii="宋体" w:hAnsi="宋体" w:eastAsia="宋体" w:cs="宋体"/>
                <w:color w:val="auto"/>
                <w:sz w:val="22"/>
                <w:szCs w:val="28"/>
                <w:highlight w:val="none"/>
                <w:lang w:eastAsia="zh-CN"/>
                <w14:ligatures w14:val="none"/>
              </w:rPr>
              <w:t>（</w:t>
            </w:r>
            <w:r>
              <w:rPr>
                <w:rFonts w:hint="eastAsia" w:ascii="宋体" w:hAnsi="宋体" w:eastAsia="宋体" w:cs="宋体"/>
                <w:b w:val="0"/>
                <w:bCs w:val="0"/>
                <w:color w:val="auto"/>
                <w:sz w:val="22"/>
                <w:szCs w:val="22"/>
                <w:highlight w:val="none"/>
                <w:lang w:val="en-US" w:eastAsia="zh-CN"/>
                <w14:ligatures w14:val="none"/>
              </w:rPr>
              <w:t>0-</w:t>
            </w:r>
            <w:r>
              <w:rPr>
                <w:rFonts w:hint="eastAsia" w:ascii="宋体" w:hAnsi="宋体" w:cs="宋体"/>
                <w:b w:val="0"/>
                <w:bCs w:val="0"/>
                <w:color w:val="auto"/>
                <w:sz w:val="22"/>
                <w:szCs w:val="22"/>
                <w:highlight w:val="none"/>
                <w:lang w:val="en-US" w:eastAsia="zh-CN"/>
                <w14:ligatures w14:val="none"/>
              </w:rPr>
              <w:t>6</w:t>
            </w:r>
            <w:r>
              <w:rPr>
                <w:rFonts w:hint="eastAsia" w:ascii="宋体" w:hAnsi="宋体" w:eastAsia="宋体" w:cs="宋体"/>
                <w:b w:val="0"/>
                <w:bCs w:val="0"/>
                <w:color w:val="auto"/>
                <w:sz w:val="22"/>
                <w:szCs w:val="22"/>
                <w:highlight w:val="none"/>
                <w:lang w:val="en-US" w:eastAsia="zh-CN"/>
                <w14:ligatures w14:val="none"/>
              </w:rPr>
              <w:t>分</w:t>
            </w:r>
            <w:r>
              <w:rPr>
                <w:rFonts w:hint="eastAsia" w:ascii="宋体" w:hAnsi="宋体" w:eastAsia="宋体" w:cs="宋体"/>
                <w:color w:val="auto"/>
                <w:sz w:val="22"/>
                <w:szCs w:val="28"/>
                <w:highlight w:val="none"/>
                <w:lang w:eastAsia="zh-CN"/>
                <w14:ligatures w14:val="none"/>
              </w:rPr>
              <w:t>）</w:t>
            </w:r>
            <w:r>
              <w:rPr>
                <w:rFonts w:hint="eastAsia" w:ascii="宋体" w:hAnsi="宋体" w:eastAsia="宋体" w:cs="宋体"/>
                <w:color w:val="auto"/>
                <w:sz w:val="22"/>
                <w:szCs w:val="28"/>
                <w:highlight w:val="none"/>
                <w14:ligatures w14:val="none"/>
              </w:rPr>
              <w:t>。</w:t>
            </w:r>
            <w:r>
              <w:rPr>
                <w:rFonts w:hint="eastAsia" w:ascii="宋体" w:hAnsi="宋体" w:eastAsia="宋体" w:cs="宋体"/>
                <w:b/>
                <w:bCs/>
                <w:color w:val="auto"/>
                <w:sz w:val="22"/>
                <w:szCs w:val="22"/>
                <w:highlight w:val="none"/>
                <w:lang w:eastAsia="zh-CN"/>
                <w14:ligatures w14:val="none"/>
              </w:rPr>
              <w:t>（</w:t>
            </w:r>
            <w:r>
              <w:rPr>
                <w:rFonts w:hint="eastAsia" w:ascii="宋体" w:hAnsi="宋体" w:eastAsia="宋体" w:cs="宋体"/>
                <w:b/>
                <w:bCs/>
                <w:color w:val="auto"/>
                <w:sz w:val="22"/>
                <w:szCs w:val="22"/>
                <w:highlight w:val="none"/>
                <w14:ligatures w14:val="none"/>
              </w:rPr>
              <w:t>提供证明文件的复印件</w:t>
            </w:r>
            <w:r>
              <w:rPr>
                <w:rFonts w:hint="eastAsia" w:ascii="宋体" w:hAnsi="宋体" w:eastAsia="宋体" w:cs="宋体"/>
                <w:b/>
                <w:bCs/>
                <w:color w:val="auto"/>
                <w:sz w:val="22"/>
                <w:szCs w:val="22"/>
                <w:highlight w:val="none"/>
                <w:lang w:eastAsia="zh-CN"/>
                <w14:ligatures w14:val="none"/>
              </w:rPr>
              <w:t>并</w:t>
            </w:r>
            <w:r>
              <w:rPr>
                <w:rFonts w:hint="eastAsia" w:ascii="宋体" w:hAnsi="宋体" w:eastAsia="宋体" w:cs="宋体"/>
                <w:b/>
                <w:bCs/>
                <w:color w:val="auto"/>
                <w:sz w:val="22"/>
                <w:szCs w:val="22"/>
                <w:highlight w:val="none"/>
                <w14:ligatures w14:val="none"/>
              </w:rPr>
              <w:t>加盖公章。</w:t>
            </w:r>
            <w:r>
              <w:rPr>
                <w:rFonts w:hint="eastAsia" w:ascii="宋体" w:hAnsi="宋体" w:eastAsia="宋体" w:cs="宋体"/>
                <w:b/>
                <w:bCs/>
                <w:color w:val="auto"/>
                <w:sz w:val="22"/>
                <w:szCs w:val="22"/>
                <w:highlight w:val="none"/>
                <w:lang w:eastAsia="zh-CN"/>
                <w14:ligatures w14:val="none"/>
              </w:rPr>
              <w:t>）</w:t>
            </w:r>
          </w:p>
        </w:tc>
        <w:tc>
          <w:tcPr>
            <w:tcW w:w="9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color w:val="auto"/>
                <w:kern w:val="2"/>
                <w:sz w:val="22"/>
                <w:szCs w:val="22"/>
                <w:highlight w:val="none"/>
                <w:lang w:val="en-US" w:eastAsia="zh-CN" w:bidi="ar-SA"/>
                <w14:ligatures w14:val="none"/>
              </w:rPr>
            </w:pPr>
            <w:r>
              <w:rPr>
                <w:rFonts w:hint="eastAsia" w:ascii="宋体" w:hAnsi="宋体" w:cs="宋体"/>
                <w:color w:val="auto"/>
                <w:kern w:val="2"/>
                <w:sz w:val="22"/>
                <w:szCs w:val="22"/>
                <w:highlight w:val="none"/>
                <w:lang w:val="en-US" w:eastAsia="zh-CN" w:bidi="ar-SA"/>
                <w14:ligatures w14:val="none"/>
              </w:rPr>
              <w:t>6</w:t>
            </w:r>
          </w:p>
        </w:tc>
      </w:tr>
    </w:tbl>
    <w:p>
      <w:pPr>
        <w:numPr>
          <w:ilvl w:val="0"/>
          <w:numId w:val="0"/>
        </w:num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ascii="宋体" w:hAnsi="宋体" w:eastAsia="宋体" w:cs="宋体"/>
          <w:b/>
          <w:bCs/>
          <w:sz w:val="22"/>
          <w:szCs w:val="22"/>
        </w:rPr>
      </w:pPr>
    </w:p>
    <w:p>
      <w:pPr>
        <w:rPr>
          <w:rFonts w:hint="eastAsia" w:ascii="宋体" w:hAnsi="宋体" w:eastAsia="宋体" w:cs="宋体"/>
          <w:b/>
          <w:bCs/>
          <w:sz w:val="22"/>
          <w:szCs w:val="22"/>
        </w:rPr>
      </w:pPr>
    </w:p>
    <w:p>
      <w:pPr>
        <w:pStyle w:val="2"/>
        <w:rPr>
          <w:rFonts w:hint="eastAsia"/>
        </w:rPr>
      </w:pPr>
    </w:p>
    <w:p>
      <w:pPr>
        <w:numPr>
          <w:ilvl w:val="0"/>
          <w:numId w:val="1"/>
        </w:numPr>
        <w:rPr>
          <w:rFonts w:hint="eastAsia" w:ascii="宋体" w:hAnsi="宋体" w:eastAsia="宋体" w:cs="宋体"/>
          <w:b/>
          <w:bCs/>
          <w:sz w:val="24"/>
          <w:szCs w:val="24"/>
        </w:rPr>
      </w:pPr>
      <w:r>
        <w:rPr>
          <w:rFonts w:hint="eastAsia" w:ascii="宋体" w:hAnsi="宋体" w:cs="宋体"/>
          <w:b/>
          <w:bCs/>
          <w:sz w:val="24"/>
          <w:szCs w:val="24"/>
          <w:lang w:val="en-US" w:eastAsia="zh-CN"/>
        </w:rPr>
        <w:t>商务（</w:t>
      </w:r>
      <w:r>
        <w:rPr>
          <w:rFonts w:hint="eastAsia" w:ascii="宋体" w:hAnsi="宋体" w:eastAsia="宋体" w:cs="宋体"/>
          <w:b/>
          <w:bCs/>
          <w:sz w:val="24"/>
          <w:szCs w:val="24"/>
          <w:lang w:val="en-US" w:eastAsia="zh-CN"/>
        </w:rPr>
        <w:t>价格</w:t>
      </w:r>
      <w:r>
        <w:rPr>
          <w:rFonts w:hint="eastAsia" w:ascii="宋体" w:hAnsi="宋体" w:cs="宋体"/>
          <w:b/>
          <w:bCs/>
          <w:sz w:val="24"/>
          <w:szCs w:val="24"/>
          <w:lang w:val="en-US" w:eastAsia="zh-CN"/>
        </w:rPr>
        <w:t>）</w:t>
      </w:r>
      <w:r>
        <w:rPr>
          <w:rFonts w:hint="eastAsia" w:ascii="宋体" w:hAnsi="宋体" w:eastAsia="宋体" w:cs="宋体"/>
          <w:b/>
          <w:bCs/>
          <w:sz w:val="24"/>
          <w:szCs w:val="24"/>
        </w:rPr>
        <w:t>评分：</w:t>
      </w:r>
      <w:r>
        <w:rPr>
          <w:rFonts w:hint="eastAsia" w:ascii="宋体" w:hAnsi="宋体" w:eastAsia="宋体" w:cs="宋体"/>
          <w:b/>
          <w:bCs/>
          <w:sz w:val="24"/>
          <w:szCs w:val="24"/>
          <w:lang w:val="en-US" w:eastAsia="zh-CN"/>
        </w:rPr>
        <w:t>满分</w:t>
      </w:r>
      <w:r>
        <w:rPr>
          <w:rFonts w:hint="eastAsia" w:ascii="宋体" w:hAnsi="宋体" w:cs="宋体"/>
          <w:b/>
          <w:bCs/>
          <w:sz w:val="24"/>
          <w:szCs w:val="24"/>
          <w:lang w:val="en-US" w:eastAsia="zh-CN"/>
        </w:rPr>
        <w:t>70分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1" w:name="_Toc8618"/>
      <w:bookmarkStart w:id="2" w:name="_Toc11964"/>
      <w:r>
        <w:rPr>
          <w:rFonts w:hint="eastAsia" w:ascii="宋体" w:hAnsi="宋体" w:eastAsia="宋体" w:cs="宋体"/>
          <w:b/>
          <w:color w:val="auto"/>
          <w:sz w:val="28"/>
          <w:szCs w:val="28"/>
          <w:highlight w:val="none"/>
          <w:lang w:val="zh-CN"/>
        </w:rPr>
        <w:t>报价一览表</w:t>
      </w:r>
      <w:bookmarkEnd w:id="1"/>
      <w:bookmarkEnd w:id="2"/>
    </w:p>
    <w:p>
      <w:pPr>
        <w:spacing w:line="360" w:lineRule="auto"/>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val="en-US" w:eastAsia="zh-Hans"/>
        </w:rPr>
        <w:t>温州市中医院污水在线监测系统维保</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11"/>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996"/>
        <w:gridCol w:w="3234"/>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50"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3996"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3234"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1747"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50" w:type="dxa"/>
            <w:vMerge w:val="restart"/>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w:t>
            </w:r>
          </w:p>
        </w:tc>
        <w:tc>
          <w:tcPr>
            <w:tcW w:w="3996"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温州市中医院污水在线监测系统维保</w:t>
            </w:r>
          </w:p>
        </w:tc>
        <w:tc>
          <w:tcPr>
            <w:tcW w:w="3234"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1747"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95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996"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234"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747"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3"/>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投标总价应包括本项目整个服务期所需的一切设备、材料、软硬件、人工、工具、保险、交通、利润、税金（包含须由投标人承担的各种税费）、设备与信息平台的对接、必要的备件费</w:t>
      </w:r>
      <w:r>
        <w:rPr>
          <w:rFonts w:hint="eastAsia"/>
          <w:sz w:val="22"/>
          <w:szCs w:val="22"/>
          <w:lang w:eastAsia="zh-CN"/>
        </w:rPr>
        <w:t>、运输、维护、调试、技术协助、培训及售后服务、</w:t>
      </w:r>
      <w:r>
        <w:rPr>
          <w:rFonts w:hint="eastAsia"/>
          <w:sz w:val="22"/>
          <w:szCs w:val="22"/>
        </w:rPr>
        <w:t>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3"/>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rPr>
          <w:rFonts w:hint="eastAsia" w:ascii="宋体" w:hAnsi="宋体" w:eastAsia="宋体" w:cs="宋体"/>
          <w:color w:val="auto"/>
          <w:sz w:val="22"/>
          <w:szCs w:val="22"/>
          <w:highlight w:val="none"/>
        </w:rPr>
      </w:pPr>
      <w:bookmarkStart w:id="3" w:name="_GoBack"/>
      <w:bookmarkEnd w:id="3"/>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pStyle w:val="3"/>
        <w:rPr>
          <w:rFonts w:hint="eastAsia"/>
        </w:rPr>
      </w:pPr>
    </w:p>
    <w:p>
      <w:pPr>
        <w:adjustRightInd w:val="0"/>
        <w:snapToGrid w:val="0"/>
        <w:spacing w:line="360" w:lineRule="auto"/>
        <w:jc w:val="left"/>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BDA4362"/>
    <w:rsid w:val="0F427144"/>
    <w:rsid w:val="0F9C6A6C"/>
    <w:rsid w:val="1124087B"/>
    <w:rsid w:val="15017D68"/>
    <w:rsid w:val="154327F2"/>
    <w:rsid w:val="15F0193F"/>
    <w:rsid w:val="16586A57"/>
    <w:rsid w:val="16F2475C"/>
    <w:rsid w:val="1E612507"/>
    <w:rsid w:val="203F5CE6"/>
    <w:rsid w:val="253F05F7"/>
    <w:rsid w:val="26614AE7"/>
    <w:rsid w:val="2C0B329E"/>
    <w:rsid w:val="2EE23DA1"/>
    <w:rsid w:val="2FFD1365"/>
    <w:rsid w:val="33F15215"/>
    <w:rsid w:val="345A29A7"/>
    <w:rsid w:val="35B42E80"/>
    <w:rsid w:val="38620F4A"/>
    <w:rsid w:val="3AA307AA"/>
    <w:rsid w:val="3B8853D8"/>
    <w:rsid w:val="3D4A148F"/>
    <w:rsid w:val="42442951"/>
    <w:rsid w:val="442D7AA8"/>
    <w:rsid w:val="4B9E1807"/>
    <w:rsid w:val="4BB26B7D"/>
    <w:rsid w:val="4C5752EB"/>
    <w:rsid w:val="50250266"/>
    <w:rsid w:val="55F33501"/>
    <w:rsid w:val="57A36574"/>
    <w:rsid w:val="58D72375"/>
    <w:rsid w:val="58DD5B64"/>
    <w:rsid w:val="5DAF6DF6"/>
    <w:rsid w:val="63750765"/>
    <w:rsid w:val="642B0A6B"/>
    <w:rsid w:val="67157B94"/>
    <w:rsid w:val="68C80848"/>
    <w:rsid w:val="724D0AFE"/>
    <w:rsid w:val="72AB2F31"/>
    <w:rsid w:val="72E83474"/>
    <w:rsid w:val="72F62F44"/>
    <w:rsid w:val="73F11CC8"/>
    <w:rsid w:val="74CA388D"/>
    <w:rsid w:val="75304775"/>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2">
    <w:name w:val="heading 4"/>
    <w:basedOn w:val="1"/>
    <w:next w:val="1"/>
    <w:qFormat/>
    <w:uiPriority w:val="0"/>
    <w:pPr>
      <w:keepNext/>
      <w:keepLines/>
      <w:spacing w:line="540" w:lineRule="atLeast"/>
      <w:outlineLvl w:val="3"/>
    </w:pPr>
    <w:rPr>
      <w:sz w:val="28"/>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Body Text"/>
    <w:basedOn w:val="1"/>
    <w:next w:val="6"/>
    <w:autoRedefine/>
    <w:qFormat/>
    <w:uiPriority w:val="0"/>
    <w:pPr>
      <w:spacing w:after="120" w:afterLines="0"/>
    </w:pPr>
  </w:style>
  <w:style w:type="paragraph" w:styleId="6">
    <w:name w:val="Body Text First Indent"/>
    <w:basedOn w:val="5"/>
    <w:autoRedefine/>
    <w:semiHidden/>
    <w:unhideWhenUsed/>
    <w:qFormat/>
    <w:uiPriority w:val="99"/>
    <w:pPr>
      <w:ind w:firstLine="420" w:firstLineChars="100"/>
    </w:pPr>
    <w:rPr>
      <w:rFonts w:asciiTheme="minorHAnsi" w:hAnsiTheme="minorHAnsi" w:eastAsiaTheme="minorEastAsia" w:cstheme="minorBidi"/>
      <w:szCs w:val="22"/>
    </w:rPr>
  </w:style>
  <w:style w:type="paragraph" w:styleId="7">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8">
    <w:name w:val="Plain Text"/>
    <w:basedOn w:val="1"/>
    <w:autoRedefine/>
    <w:qFormat/>
    <w:uiPriority w:val="0"/>
    <w:pPr>
      <w:spacing w:beforeLines="50" w:afterLines="50" w:line="400" w:lineRule="exact"/>
    </w:pPr>
    <w:rPr>
      <w:rFonts w:ascii="宋体" w:hAnsi="Courier New"/>
      <w:sz w:val="24"/>
    </w:rPr>
  </w:style>
  <w:style w:type="paragraph" w:styleId="9">
    <w:name w:val="footer"/>
    <w:basedOn w:val="1"/>
    <w:link w:val="18"/>
    <w:autoRedefine/>
    <w:qFormat/>
    <w:uiPriority w:val="0"/>
    <w:pPr>
      <w:tabs>
        <w:tab w:val="center" w:pos="4153"/>
        <w:tab w:val="right" w:pos="8306"/>
      </w:tabs>
      <w:snapToGrid w:val="0"/>
      <w:jc w:val="left"/>
    </w:pPr>
    <w:rPr>
      <w:sz w:val="18"/>
      <w:szCs w:val="18"/>
    </w:rPr>
  </w:style>
  <w:style w:type="paragraph" w:styleId="10">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odyText1I"/>
    <w:basedOn w:val="15"/>
    <w:autoRedefine/>
    <w:qFormat/>
    <w:uiPriority w:val="0"/>
    <w:pPr>
      <w:ind w:firstLine="420" w:firstLineChars="100"/>
    </w:pPr>
  </w:style>
  <w:style w:type="paragraph" w:customStyle="1" w:styleId="15">
    <w:name w:val="BodyText"/>
    <w:basedOn w:val="1"/>
    <w:autoRedefine/>
    <w:qFormat/>
    <w:uiPriority w:val="0"/>
    <w:pPr>
      <w:spacing w:after="120"/>
    </w:pPr>
  </w:style>
  <w:style w:type="paragraph" w:customStyle="1" w:styleId="16">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7">
    <w:name w:val="页眉 Char"/>
    <w:basedOn w:val="13"/>
    <w:link w:val="10"/>
    <w:autoRedefine/>
    <w:qFormat/>
    <w:uiPriority w:val="0"/>
    <w:rPr>
      <w:kern w:val="2"/>
      <w:sz w:val="18"/>
      <w:szCs w:val="18"/>
    </w:rPr>
  </w:style>
  <w:style w:type="character" w:customStyle="1" w:styleId="18">
    <w:name w:val="页脚 Char"/>
    <w:basedOn w:val="13"/>
    <w:link w:val="9"/>
    <w:autoRedefine/>
    <w:qFormat/>
    <w:uiPriority w:val="0"/>
    <w:rPr>
      <w:kern w:val="2"/>
      <w:sz w:val="18"/>
      <w:szCs w:val="18"/>
    </w:rPr>
  </w:style>
  <w:style w:type="paragraph" w:styleId="19">
    <w:name w:val="List Paragraph"/>
    <w:basedOn w:val="1"/>
    <w:autoRedefine/>
    <w:qFormat/>
    <w:uiPriority w:val="0"/>
    <w:pPr>
      <w:ind w:firstLine="420" w:firstLineChars="200"/>
    </w:pPr>
    <w:rPr>
      <w:rFonts w:ascii="Calibri" w:hAnsi="Calibri"/>
      <w:szCs w:val="22"/>
    </w:rPr>
  </w:style>
  <w:style w:type="paragraph" w:customStyle="1" w:styleId="20">
    <w:name w:val="列出段落1"/>
    <w:basedOn w:val="1"/>
    <w:autoRedefine/>
    <w:qFormat/>
    <w:uiPriority w:val="0"/>
    <w:pPr>
      <w:widowControl/>
      <w:spacing w:after="160" w:line="360" w:lineRule="auto"/>
      <w:ind w:left="720"/>
      <w:contextualSpacing/>
      <w:jc w:val="left"/>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3223</Words>
  <Characters>3555</Characters>
  <Lines>17</Lines>
  <Paragraphs>4</Paragraphs>
  <TotalTime>35</TotalTime>
  <ScaleCrop>false</ScaleCrop>
  <LinksUpToDate>false</LinksUpToDate>
  <CharactersWithSpaces>3622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李侃</cp:lastModifiedBy>
  <dcterms:modified xsi:type="dcterms:W3CDTF">2024-05-28T02:20:02Z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B971407C7F8947E1A392C42BAA229E86_13</vt:lpwstr>
  </property>
</Properties>
</file>