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6"/>
          <w:szCs w:val="36"/>
          <w:lang w:val="en-US" w:eastAsia="zh-CN"/>
        </w:rPr>
        <w:t>温州市中医院关于旋光仪、普通扩增仪等实验室设备的招标</w:t>
      </w:r>
    </w:p>
    <w:p>
      <w:pPr>
        <w:numPr>
          <w:ilvl w:val="0"/>
          <w:numId w:val="1"/>
        </w:numPr>
        <w:jc w:val="both"/>
        <w:rPr>
          <w:rStyle w:val="14"/>
          <w:rFonts w:hint="eastAsia" w:asciiTheme="minorEastAsia" w:hAnsiTheme="minorEastAsia" w:eastAsiaTheme="minorEastAsia" w:cstheme="minorEastAsia"/>
          <w:b/>
          <w:bCs/>
          <w:sz w:val="32"/>
          <w:szCs w:val="32"/>
        </w:rPr>
      </w:pPr>
      <w:r>
        <w:rPr>
          <w:rStyle w:val="14"/>
          <w:rFonts w:hint="eastAsia" w:asciiTheme="minorEastAsia" w:hAnsiTheme="minorEastAsia" w:eastAsiaTheme="minorEastAsia" w:cstheme="minorEastAsia"/>
          <w:b/>
          <w:bCs/>
          <w:sz w:val="32"/>
          <w:szCs w:val="32"/>
        </w:rPr>
        <w:t>项目基本情况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项目名称：</w:t>
            </w:r>
            <w:r>
              <w:rPr>
                <w:rFonts w:hint="eastAsia" w:ascii="宋体" w:hAnsi="宋体" w:eastAsia="宋体" w:cs="宋体"/>
                <w:b w:val="0"/>
                <w:bCs w:val="0"/>
                <w:color w:val="333333"/>
                <w:sz w:val="21"/>
                <w:szCs w:val="21"/>
                <w:shd w:val="clear" w:color="auto" w:fill="FFFFFF"/>
                <w:lang w:eastAsia="zh-CN"/>
              </w:rPr>
              <w:t>旋光仪、普通扩增仪等实验室设备</w:t>
            </w:r>
          </w:p>
        </w:tc>
        <w:tc>
          <w:tcPr>
            <w:tcW w:w="2869" w:type="dxa"/>
            <w:gridSpan w:val="2"/>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2024-sb-cg-038</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项目预算总金额：9.5万元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left"/>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lang w:val="en-US" w:eastAsia="zh-CN"/>
              </w:rPr>
              <w:t>设备1</w:t>
            </w:r>
            <w:r>
              <w:rPr>
                <w:rFonts w:hint="eastAsia" w:ascii="宋体" w:hAnsi="宋体" w:eastAsia="宋体" w:cs="宋体"/>
                <w:b w:val="0"/>
                <w:bCs w:val="0"/>
                <w:color w:val="auto"/>
                <w:sz w:val="21"/>
                <w:szCs w:val="21"/>
              </w:rPr>
              <w:t>：</w:t>
            </w:r>
            <w:r>
              <w:rPr>
                <w:rFonts w:hint="eastAsia" w:ascii="宋体" w:hAnsi="宋体" w:eastAsia="宋体" w:cs="宋体"/>
                <w:b w:val="0"/>
                <w:bCs w:val="0"/>
                <w:color w:val="333333"/>
                <w:sz w:val="21"/>
                <w:szCs w:val="21"/>
                <w:shd w:val="clear" w:color="auto" w:fill="FFFFFF"/>
                <w:lang w:eastAsia="zh-CN"/>
              </w:rPr>
              <w:t>旋光仪</w:t>
            </w:r>
          </w:p>
        </w:tc>
        <w:tc>
          <w:tcPr>
            <w:tcW w:w="1434" w:type="dxa"/>
          </w:tcPr>
          <w:p>
            <w:pPr>
              <w:jc w:val="left"/>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数量：1</w:t>
            </w:r>
          </w:p>
        </w:tc>
        <w:tc>
          <w:tcPr>
            <w:tcW w:w="1435" w:type="dxa"/>
          </w:tcPr>
          <w:p>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单价：3.5万元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设备2</w:t>
            </w:r>
            <w:r>
              <w:rPr>
                <w:rFonts w:hint="eastAsia" w:ascii="宋体" w:hAnsi="宋体" w:eastAsia="宋体" w:cs="宋体"/>
                <w:b w:val="0"/>
                <w:bCs w:val="0"/>
                <w:color w:val="auto"/>
                <w:sz w:val="21"/>
                <w:szCs w:val="21"/>
              </w:rPr>
              <w:t>：</w:t>
            </w:r>
            <w:r>
              <w:rPr>
                <w:rFonts w:hint="eastAsia" w:ascii="宋体" w:hAnsi="宋体" w:eastAsia="宋体" w:cs="宋体"/>
                <w:b w:val="0"/>
                <w:bCs w:val="0"/>
                <w:color w:val="333333"/>
                <w:sz w:val="21"/>
                <w:szCs w:val="21"/>
                <w:shd w:val="clear" w:color="auto" w:fill="FFFFFF"/>
                <w:lang w:eastAsia="zh-CN"/>
              </w:rPr>
              <w:t>普通扩增仪</w:t>
            </w:r>
          </w:p>
        </w:tc>
        <w:tc>
          <w:tcPr>
            <w:tcW w:w="1434"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数量：1</w:t>
            </w:r>
          </w:p>
        </w:tc>
        <w:tc>
          <w:tcPr>
            <w:tcW w:w="1435"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进口</w:t>
            </w:r>
            <w:bookmarkStart w:id="0" w:name="_GoBack"/>
            <w:bookmarkEnd w:id="0"/>
          </w:p>
        </w:tc>
        <w:tc>
          <w:tcPr>
            <w:tcW w:w="3440" w:type="dxa"/>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设备3</w:t>
            </w:r>
            <w:r>
              <w:rPr>
                <w:rFonts w:hint="eastAsia" w:ascii="宋体" w:hAnsi="宋体" w:eastAsia="宋体" w:cs="宋体"/>
                <w:b w:val="0"/>
                <w:bCs w:val="0"/>
                <w:color w:val="auto"/>
                <w:sz w:val="21"/>
                <w:szCs w:val="21"/>
              </w:rPr>
              <w:t>：</w:t>
            </w:r>
            <w:r>
              <w:rPr>
                <w:rFonts w:hint="eastAsia" w:asciiTheme="minorEastAsia" w:hAnsiTheme="minorEastAsia" w:cstheme="minorEastAsia"/>
                <w:color w:val="auto"/>
                <w:sz w:val="24"/>
                <w:szCs w:val="24"/>
                <w:vertAlign w:val="baseline"/>
                <w:lang w:eastAsia="zh-CN"/>
              </w:rPr>
              <w:t>连盖液氮罐</w:t>
            </w:r>
          </w:p>
        </w:tc>
        <w:tc>
          <w:tcPr>
            <w:tcW w:w="1434"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数量：4</w:t>
            </w:r>
          </w:p>
        </w:tc>
        <w:tc>
          <w:tcPr>
            <w:tcW w:w="1435"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0.5万元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val="en-US" w:eastAsia="zh-CN"/>
              </w:rPr>
              <w:t>允许进口</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本项目我院采取院内组织公开招标的方式，以综合评分最高者中标的原则确定中标供应商。</w:t>
      </w: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获取招标文件</w:t>
      </w:r>
    </w:p>
    <w:p>
      <w:pPr>
        <w:pStyle w:val="9"/>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提交投标文件截止时间：202</w:t>
      </w: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color w:val="0000FF"/>
          <w:kern w:val="2"/>
          <w:sz w:val="21"/>
          <w:szCs w:val="21"/>
          <w:lang w:val="en-US" w:eastAsia="zh-CN" w:bidi="ar-SA"/>
        </w:rPr>
        <w:t>月</w:t>
      </w:r>
      <w:r>
        <w:rPr>
          <w:rFonts w:hint="eastAsia" w:asciiTheme="minorEastAsia" w:hAnsiTheme="minorEastAsia" w:cstheme="minorEastAsia"/>
          <w:color w:val="0000FF"/>
          <w:kern w:val="2"/>
          <w:sz w:val="21"/>
          <w:szCs w:val="21"/>
          <w:lang w:val="en-US" w:eastAsia="zh-CN" w:bidi="ar-SA"/>
        </w:rPr>
        <w:t>29</w:t>
      </w:r>
      <w:r>
        <w:rPr>
          <w:rFonts w:hint="eastAsia" w:asciiTheme="minorEastAsia" w:hAnsiTheme="minorEastAsia" w:eastAsiaTheme="minorEastAsia" w:cstheme="minorEastAsia"/>
          <w:color w:val="0000FF"/>
          <w:kern w:val="2"/>
          <w:sz w:val="21"/>
          <w:szCs w:val="21"/>
          <w:lang w:val="en-US" w:eastAsia="zh-CN" w:bidi="ar-SA"/>
        </w:rPr>
        <w:t>日</w:t>
      </w:r>
      <w:r>
        <w:rPr>
          <w:rFonts w:hint="eastAsia" w:asciiTheme="minorEastAsia" w:hAnsiTheme="minorEastAsia" w:cstheme="minorEastAsia"/>
          <w:color w:val="0000FF"/>
          <w:kern w:val="2"/>
          <w:sz w:val="21"/>
          <w:szCs w:val="21"/>
          <w:lang w:val="en-US" w:eastAsia="zh-CN" w:bidi="ar-SA"/>
        </w:rPr>
        <w:t>上</w:t>
      </w:r>
      <w:r>
        <w:rPr>
          <w:rFonts w:hint="eastAsia" w:asciiTheme="minorEastAsia" w:hAnsiTheme="minorEastAsia" w:eastAsiaTheme="minorEastAsia" w:cstheme="minorEastAsia"/>
          <w:color w:val="0000FF"/>
          <w:kern w:val="2"/>
          <w:sz w:val="21"/>
          <w:szCs w:val="21"/>
          <w:lang w:val="en-US" w:eastAsia="zh-CN" w:bidi="ar-SA"/>
        </w:rPr>
        <w:t>午</w:t>
      </w:r>
      <w:r>
        <w:rPr>
          <w:rFonts w:hint="eastAsia" w:asciiTheme="minorEastAsia" w:hAnsiTheme="minorEastAsia" w:cstheme="minorEastAsia"/>
          <w:color w:val="0000FF"/>
          <w:kern w:val="2"/>
          <w:sz w:val="21"/>
          <w:szCs w:val="21"/>
          <w:lang w:val="en-US" w:eastAsia="zh-CN" w:bidi="ar-SA"/>
        </w:rPr>
        <w:t>10</w:t>
      </w:r>
      <w:r>
        <w:rPr>
          <w:rFonts w:hint="eastAsia" w:asciiTheme="minorEastAsia" w:hAnsiTheme="minorEastAsia" w:eastAsiaTheme="minorEastAsia" w:cstheme="minorEastAsia"/>
          <w:color w:val="0000FF"/>
          <w:kern w:val="2"/>
          <w:sz w:val="21"/>
          <w:szCs w:val="21"/>
          <w:lang w:val="en-US" w:eastAsia="zh-CN" w:bidi="ar-SA"/>
        </w:rPr>
        <w:t>：00</w:t>
      </w:r>
      <w:r>
        <w:rPr>
          <w:rFonts w:hint="eastAsia" w:asciiTheme="minorEastAsia" w:hAnsiTheme="minorEastAsia" w:eastAsiaTheme="minorEastAsia" w:cstheme="minorEastAsia"/>
          <w:kern w:val="2"/>
          <w:sz w:val="21"/>
          <w:szCs w:val="21"/>
          <w:lang w:val="en-US" w:eastAsia="zh-CN" w:bidi="ar-SA"/>
        </w:rPr>
        <w:t>（北京时间）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开标时间：202</w:t>
      </w: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color w:val="0000FF"/>
          <w:kern w:val="2"/>
          <w:sz w:val="21"/>
          <w:szCs w:val="21"/>
          <w:lang w:val="en-US" w:eastAsia="zh-CN" w:bidi="ar-SA"/>
        </w:rPr>
        <w:t>5</w:t>
      </w:r>
      <w:r>
        <w:rPr>
          <w:rFonts w:hint="eastAsia" w:asciiTheme="minorEastAsia" w:hAnsiTheme="minorEastAsia" w:eastAsiaTheme="minorEastAsia" w:cstheme="minorEastAsia"/>
          <w:color w:val="0000FF"/>
          <w:kern w:val="2"/>
          <w:sz w:val="21"/>
          <w:szCs w:val="21"/>
          <w:lang w:val="en-US" w:eastAsia="zh-CN" w:bidi="ar-SA"/>
        </w:rPr>
        <w:t>月</w:t>
      </w:r>
      <w:r>
        <w:rPr>
          <w:rFonts w:hint="eastAsia" w:asciiTheme="minorEastAsia" w:hAnsiTheme="minorEastAsia" w:cstheme="minorEastAsia"/>
          <w:color w:val="0000FF"/>
          <w:kern w:val="2"/>
          <w:sz w:val="21"/>
          <w:szCs w:val="21"/>
          <w:lang w:val="en-US" w:eastAsia="zh-CN" w:bidi="ar-SA"/>
        </w:rPr>
        <w:t>29</w:t>
      </w:r>
      <w:r>
        <w:rPr>
          <w:rFonts w:hint="eastAsia" w:asciiTheme="minorEastAsia" w:hAnsiTheme="minorEastAsia" w:eastAsiaTheme="minorEastAsia" w:cstheme="minorEastAsia"/>
          <w:color w:val="0000FF"/>
          <w:kern w:val="2"/>
          <w:sz w:val="21"/>
          <w:szCs w:val="21"/>
          <w:lang w:val="en-US" w:eastAsia="zh-CN" w:bidi="ar-SA"/>
        </w:rPr>
        <w:t>日</w:t>
      </w:r>
      <w:r>
        <w:rPr>
          <w:rFonts w:hint="eastAsia" w:asciiTheme="minorEastAsia" w:hAnsiTheme="minorEastAsia" w:cstheme="minorEastAsia"/>
          <w:color w:val="0000FF"/>
          <w:kern w:val="2"/>
          <w:sz w:val="21"/>
          <w:szCs w:val="21"/>
          <w:lang w:val="en-US" w:eastAsia="zh-CN" w:bidi="ar-SA"/>
        </w:rPr>
        <w:t>上</w:t>
      </w:r>
      <w:r>
        <w:rPr>
          <w:rFonts w:hint="eastAsia" w:asciiTheme="minorEastAsia" w:hAnsiTheme="minorEastAsia" w:eastAsiaTheme="minorEastAsia" w:cstheme="minorEastAsia"/>
          <w:color w:val="0000FF"/>
          <w:kern w:val="2"/>
          <w:sz w:val="21"/>
          <w:szCs w:val="21"/>
          <w:lang w:val="en-US" w:eastAsia="zh-CN" w:bidi="ar-SA"/>
        </w:rPr>
        <w:t>午</w:t>
      </w:r>
      <w:r>
        <w:rPr>
          <w:rFonts w:hint="eastAsia" w:asciiTheme="minorEastAsia" w:hAnsiTheme="minorEastAsia" w:cstheme="minorEastAsia"/>
          <w:color w:val="0000FF"/>
          <w:kern w:val="2"/>
          <w:sz w:val="21"/>
          <w:szCs w:val="21"/>
          <w:lang w:val="en-US" w:eastAsia="zh-CN" w:bidi="ar-SA"/>
        </w:rPr>
        <w:t>10</w:t>
      </w:r>
      <w:r>
        <w:rPr>
          <w:rFonts w:hint="eastAsia" w:asciiTheme="minorEastAsia" w:hAnsiTheme="minorEastAsia" w:eastAsiaTheme="minorEastAsia" w:cstheme="minorEastAsia"/>
          <w:color w:val="0000FF"/>
          <w:kern w:val="2"/>
          <w:sz w:val="21"/>
          <w:szCs w:val="21"/>
          <w:lang w:val="en-US" w:eastAsia="zh-CN" w:bidi="ar-SA"/>
        </w:rPr>
        <w:t>：</w:t>
      </w:r>
      <w:r>
        <w:rPr>
          <w:rFonts w:hint="eastAsia" w:asciiTheme="minorEastAsia" w:hAnsiTheme="minorEastAsia" w:cstheme="minorEastAsia"/>
          <w:color w:val="0000FF"/>
          <w:kern w:val="2"/>
          <w:sz w:val="21"/>
          <w:szCs w:val="21"/>
          <w:lang w:val="en-US" w:eastAsia="zh-CN" w:bidi="ar-SA"/>
        </w:rPr>
        <w:t>00</w:t>
      </w:r>
      <w:r>
        <w:rPr>
          <w:rFonts w:hint="eastAsia" w:asciiTheme="minorEastAsia" w:hAnsiTheme="minorEastAsia" w:eastAsiaTheme="minorEastAsia" w:cstheme="minorEastAsia"/>
          <w:kern w:val="2"/>
          <w:sz w:val="21"/>
          <w:szCs w:val="21"/>
          <w:lang w:val="en-US" w:eastAsia="zh-CN" w:bidi="ar-SA"/>
        </w:rPr>
        <w:t>（北京时间）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其他:招标文件一式三份，一正两副加盖公章</w:t>
      </w: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公告期限 </w:t>
      </w:r>
    </w:p>
    <w:p>
      <w:pPr>
        <w:pStyle w:val="9"/>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4"/>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3" w:firstLineChars="196"/>
        <w:jc w:val="left"/>
        <w:rPr>
          <w:rFonts w:hint="eastAsia" w:asciiTheme="minorEastAsia" w:hAnsiTheme="minorEastAsia" w:eastAsiaTheme="minorEastAsia" w:cstheme="minorEastAsia"/>
          <w:b/>
          <w:sz w:val="21"/>
          <w:szCs w:val="21"/>
        </w:rPr>
      </w:pP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W w:w="458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70" w:type="dxa"/>
          <w:bottom w:w="0" w:type="dxa"/>
          <w:right w:w="70" w:type="dxa"/>
        </w:tblCellMar>
      </w:tblPr>
      <w:tblGrid>
        <w:gridCol w:w="1188"/>
        <w:gridCol w:w="6116"/>
        <w:gridCol w:w="11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tblHeader/>
        </w:trPr>
        <w:tc>
          <w:tcPr>
            <w:tcW w:w="703" w:type="pct"/>
            <w:shd w:val="clear" w:color="auto" w:fill="CCCCCC"/>
            <w:noWrap w:val="0"/>
            <w:vAlign w:val="center"/>
          </w:tcPr>
          <w:p>
            <w:pPr>
              <w:pStyle w:val="25"/>
              <w:jc w:val="center"/>
              <w:rPr>
                <w:rStyle w:val="24"/>
                <w:rFonts w:hint="eastAsia" w:ascii="宋体" w:hAnsi="宋体" w:eastAsia="宋体" w:cs="宋体"/>
                <w:b w:val="0"/>
                <w:bCs w:val="0"/>
                <w:color w:val="auto"/>
                <w:sz w:val="21"/>
                <w:szCs w:val="21"/>
              </w:rPr>
            </w:pPr>
            <w:r>
              <w:rPr>
                <w:rStyle w:val="24"/>
                <w:rFonts w:hint="eastAsia" w:ascii="宋体" w:hAnsi="宋体" w:eastAsia="宋体" w:cs="宋体"/>
                <w:b w:val="0"/>
                <w:bCs w:val="0"/>
                <w:color w:val="auto"/>
                <w:sz w:val="21"/>
                <w:szCs w:val="21"/>
              </w:rPr>
              <w:t>序号</w:t>
            </w:r>
          </w:p>
        </w:tc>
        <w:tc>
          <w:tcPr>
            <w:tcW w:w="3620" w:type="pct"/>
            <w:shd w:val="clear" w:color="auto" w:fill="CCCCCC"/>
            <w:noWrap w:val="0"/>
            <w:vAlign w:val="center"/>
          </w:tcPr>
          <w:p>
            <w:pPr>
              <w:pStyle w:val="25"/>
              <w:jc w:val="center"/>
              <w:rPr>
                <w:rStyle w:val="24"/>
                <w:rFonts w:hint="eastAsia" w:ascii="宋体" w:hAnsi="宋体" w:eastAsia="宋体" w:cs="宋体"/>
                <w:b w:val="0"/>
                <w:bCs w:val="0"/>
                <w:color w:val="auto"/>
                <w:sz w:val="21"/>
                <w:szCs w:val="21"/>
              </w:rPr>
            </w:pPr>
            <w:r>
              <w:rPr>
                <w:rStyle w:val="24"/>
                <w:rFonts w:hint="eastAsia" w:ascii="宋体" w:hAnsi="宋体" w:eastAsia="宋体" w:cs="宋体"/>
                <w:b w:val="0"/>
                <w:bCs w:val="0"/>
                <w:color w:val="auto"/>
                <w:sz w:val="21"/>
                <w:szCs w:val="21"/>
              </w:rPr>
              <w:t>招标要求</w:t>
            </w:r>
          </w:p>
        </w:tc>
        <w:tc>
          <w:tcPr>
            <w:tcW w:w="676" w:type="pct"/>
            <w:shd w:val="clear" w:color="auto" w:fill="CCCCCC"/>
            <w:noWrap w:val="0"/>
            <w:vAlign w:val="center"/>
          </w:tcPr>
          <w:p>
            <w:pPr>
              <w:pStyle w:val="25"/>
              <w:jc w:val="center"/>
              <w:rPr>
                <w:rStyle w:val="24"/>
                <w:rFonts w:hint="eastAsia" w:ascii="宋体" w:hAnsi="宋体" w:eastAsia="宋体" w:cs="宋体"/>
                <w:b w:val="0"/>
                <w:bCs w:val="0"/>
                <w:color w:val="auto"/>
                <w:sz w:val="21"/>
                <w:szCs w:val="21"/>
              </w:rPr>
            </w:pPr>
            <w:r>
              <w:rPr>
                <w:rStyle w:val="24"/>
                <w:rFonts w:hint="eastAsia" w:ascii="宋体" w:hAnsi="宋体" w:eastAsia="宋体" w:cs="宋体"/>
                <w:b w:val="0"/>
                <w:bCs w:val="0"/>
                <w:color w:val="auto"/>
                <w:sz w:val="21"/>
                <w:szCs w:val="21"/>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一、设备1</w:t>
            </w:r>
          </w:p>
        </w:tc>
        <w:tc>
          <w:tcPr>
            <w:tcW w:w="3620" w:type="pct"/>
            <w:noWrap w:val="0"/>
            <w:vAlign w:val="center"/>
          </w:tcPr>
          <w:p>
            <w:pPr>
              <w:widowControl/>
              <w:jc w:val="left"/>
              <w:rPr>
                <w:rFonts w:hint="eastAsia" w:ascii="宋体" w:hAnsi="宋体" w:eastAsia="宋体" w:cs="宋体"/>
                <w:b/>
                <w:bCs/>
                <w:color w:val="auto"/>
                <w:sz w:val="21"/>
                <w:szCs w:val="21"/>
                <w:lang w:val="en-US" w:bidi="ar"/>
              </w:rPr>
            </w:pPr>
            <w:r>
              <w:rPr>
                <w:rFonts w:hint="eastAsia" w:ascii="宋体" w:hAnsi="宋体" w:eastAsia="宋体" w:cs="宋体"/>
                <w:b/>
                <w:bCs/>
                <w:color w:val="auto"/>
                <w:sz w:val="21"/>
                <w:szCs w:val="21"/>
                <w:shd w:val="clear" w:color="auto" w:fill="FFFFFF"/>
                <w:lang w:eastAsia="zh-CN"/>
              </w:rPr>
              <w:t>旋光仪</w:t>
            </w:r>
            <w:r>
              <w:rPr>
                <w:rFonts w:hint="eastAsia" w:ascii="宋体" w:hAnsi="宋体" w:eastAsia="宋体" w:cs="宋体"/>
                <w:b/>
                <w:bCs/>
                <w:color w:val="auto"/>
                <w:sz w:val="21"/>
                <w:szCs w:val="21"/>
                <w:shd w:val="clear" w:color="auto" w:fill="FFFFFF"/>
                <w:lang w:val="en-US" w:eastAsia="zh-CN"/>
              </w:rPr>
              <w:t>主要技术参数</w:t>
            </w:r>
          </w:p>
        </w:tc>
        <w:tc>
          <w:tcPr>
            <w:tcW w:w="676" w:type="pct"/>
            <w:noWrap w:val="0"/>
            <w:vAlign w:val="center"/>
          </w:tcPr>
          <w:p>
            <w:pPr>
              <w:pStyle w:val="25"/>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rPr>
              <w:t>1.1</w:t>
            </w:r>
          </w:p>
        </w:tc>
        <w:tc>
          <w:tcPr>
            <w:tcW w:w="3620" w:type="pct"/>
            <w:noWrap w:val="0"/>
            <w:vAlign w:val="top"/>
          </w:tcPr>
          <w:p>
            <w:pPr>
              <w:pStyle w:val="19"/>
              <w:ind w:left="0" w:leftChars="0" w:firstLine="0" w:firstLineChars="0"/>
              <w:jc w:val="left"/>
              <w:rPr>
                <w:rFonts w:hint="eastAsia" w:ascii="宋体" w:hAnsi="宋体" w:eastAsia="宋体" w:cs="宋体"/>
                <w:b w:val="0"/>
                <w:bCs/>
                <w:color w:val="auto"/>
                <w:kern w:val="0"/>
                <w:sz w:val="21"/>
                <w:szCs w:val="21"/>
                <w:lang w:eastAsia="zh-CN"/>
              </w:rPr>
            </w:pPr>
            <w:r>
              <w:rPr>
                <w:rFonts w:hint="eastAsia" w:ascii="宋体" w:hAnsi="宋体" w:eastAsia="宋体" w:cs="宋体"/>
                <w:b w:val="0"/>
                <w:bCs/>
                <w:color w:val="auto"/>
                <w:sz w:val="21"/>
                <w:szCs w:val="21"/>
              </w:rPr>
              <w:t>用途：测量旋光度、糖度</w:t>
            </w:r>
          </w:p>
        </w:tc>
        <w:tc>
          <w:tcPr>
            <w:tcW w:w="676" w:type="pct"/>
            <w:noWrap w:val="0"/>
            <w:vAlign w:val="center"/>
          </w:tcPr>
          <w:p>
            <w:pPr>
              <w:widowControl/>
              <w:spacing w:line="360" w:lineRule="auto"/>
              <w:jc w:val="center"/>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w:t>
            </w:r>
          </w:p>
        </w:tc>
        <w:tc>
          <w:tcPr>
            <w:tcW w:w="3620" w:type="pct"/>
            <w:noWrap w:val="0"/>
            <w:vAlign w:val="center"/>
          </w:tcPr>
          <w:p>
            <w:pPr>
              <w:widowControl/>
              <w:spacing w:line="36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主要技术规格及系统概述：</w:t>
            </w:r>
          </w:p>
        </w:tc>
        <w:tc>
          <w:tcPr>
            <w:tcW w:w="676" w:type="pct"/>
            <w:noWrap w:val="0"/>
            <w:vAlign w:val="center"/>
          </w:tcPr>
          <w:p>
            <w:pPr>
              <w:widowControl/>
              <w:spacing w:line="360" w:lineRule="auto"/>
              <w:jc w:val="center"/>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rPr>
              <w:t>1.2.2</w:t>
            </w:r>
          </w:p>
        </w:tc>
        <w:tc>
          <w:tcPr>
            <w:tcW w:w="3620" w:type="pct"/>
            <w:noWrap w:val="0"/>
            <w:vAlign w:val="top"/>
          </w:tcPr>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测量模式：旋光度、比旋度、浓度、糖度</w:t>
            </w:r>
          </w:p>
        </w:tc>
        <w:tc>
          <w:tcPr>
            <w:tcW w:w="676" w:type="pct"/>
            <w:noWrap w:val="0"/>
            <w:vAlign w:val="center"/>
          </w:tcPr>
          <w:p>
            <w:pPr>
              <w:widowControl/>
              <w:spacing w:line="360" w:lineRule="auto"/>
              <w:jc w:val="center"/>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rPr>
              <w:t>1.2.3</w:t>
            </w:r>
          </w:p>
        </w:tc>
        <w:tc>
          <w:tcPr>
            <w:tcW w:w="3620" w:type="pct"/>
            <w:noWrap w:val="0"/>
            <w:vAlign w:val="top"/>
          </w:tcPr>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预存测量方法：≥30种</w:t>
            </w:r>
          </w:p>
        </w:tc>
        <w:tc>
          <w:tcPr>
            <w:tcW w:w="676" w:type="pct"/>
            <w:noWrap w:val="0"/>
            <w:vAlign w:val="center"/>
          </w:tcPr>
          <w:p>
            <w:pPr>
              <w:widowControl/>
              <w:spacing w:line="360" w:lineRule="auto"/>
              <w:jc w:val="center"/>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rPr>
              <w:t>1.2.4</w:t>
            </w:r>
          </w:p>
        </w:tc>
        <w:tc>
          <w:tcPr>
            <w:tcW w:w="3620" w:type="pct"/>
            <w:noWrap w:val="0"/>
            <w:vAlign w:val="top"/>
          </w:tcPr>
          <w:p>
            <w:pP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rPr>
              <w:t>工作波长：589nm</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rPr>
              <w:t>1.2.5</w:t>
            </w:r>
          </w:p>
        </w:tc>
        <w:tc>
          <w:tcPr>
            <w:tcW w:w="3620" w:type="pct"/>
            <w:noWrap w:val="0"/>
            <w:vAlign w:val="top"/>
          </w:tcPr>
          <w:p>
            <w:pPr>
              <w:pStyle w:val="19"/>
              <w:ind w:left="521"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rPr>
              <w:t>测量范围：±90°（旋光度） ±259°（糖度）</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rPr>
              <w:t>▲1.2.6</w:t>
            </w:r>
          </w:p>
        </w:tc>
        <w:tc>
          <w:tcPr>
            <w:tcW w:w="3620" w:type="pct"/>
            <w:noWrap w:val="0"/>
            <w:vAlign w:val="top"/>
          </w:tcPr>
          <w:p>
            <w:pPr>
              <w:pStyle w:val="19"/>
              <w:ind w:left="521"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rPr>
              <w:t>最小读数：0.001°</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rPr>
              <w:t>1.2.7</w:t>
            </w:r>
          </w:p>
        </w:tc>
        <w:tc>
          <w:tcPr>
            <w:tcW w:w="3620" w:type="pct"/>
            <w:noWrap w:val="0"/>
            <w:vAlign w:val="top"/>
          </w:tcPr>
          <w:p>
            <w:pPr>
              <w:pStyle w:val="19"/>
              <w:ind w:left="521"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rPr>
              <w:t>相对误差：≤±0.006°</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rPr>
              <w:t>1.2.8</w:t>
            </w:r>
          </w:p>
        </w:tc>
        <w:tc>
          <w:tcPr>
            <w:tcW w:w="3620" w:type="pct"/>
            <w:noWrap w:val="0"/>
            <w:vAlign w:val="top"/>
          </w:tcPr>
          <w:p>
            <w:pPr>
              <w:pStyle w:val="19"/>
              <w:ind w:left="521"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rPr>
              <w:t>重复性：≤0.002°</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0" w:leftChars="0" w:firstLine="0" w:firstLineChars="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rPr>
              <w:t>★1.2.9</w:t>
            </w:r>
          </w:p>
        </w:tc>
        <w:tc>
          <w:tcPr>
            <w:tcW w:w="3620" w:type="pct"/>
            <w:noWrap w:val="0"/>
            <w:vAlign w:val="top"/>
          </w:tcPr>
          <w:p>
            <w:pPr>
              <w:pStyle w:val="19"/>
              <w:ind w:left="521"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rPr>
              <w:t>样品最低透过率：0.1%</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rPr>
              <w:t>1.2.10</w:t>
            </w:r>
          </w:p>
        </w:tc>
        <w:tc>
          <w:tcPr>
            <w:tcW w:w="3620" w:type="pct"/>
            <w:noWrap w:val="0"/>
            <w:vAlign w:val="top"/>
          </w:tcPr>
          <w:p>
            <w:pPr>
              <w:pStyle w:val="19"/>
              <w:ind w:left="521" w:leftChars="0" w:firstLine="0" w:firstLineChars="0"/>
              <w:rPr>
                <w:rFonts w:hint="eastAsia" w:ascii="宋体" w:hAnsi="宋体" w:eastAsia="宋体" w:cs="宋体"/>
                <w:b w:val="0"/>
                <w:bCs/>
                <w:color w:val="auto"/>
                <w:kern w:val="0"/>
                <w:sz w:val="21"/>
                <w:szCs w:val="21"/>
                <w:lang w:eastAsia="zh-CN"/>
              </w:rPr>
            </w:pPr>
            <w:r>
              <w:rPr>
                <w:rFonts w:hint="eastAsia" w:ascii="宋体" w:hAnsi="宋体" w:eastAsia="宋体" w:cs="宋体"/>
                <w:b w:val="0"/>
                <w:bCs/>
                <w:color w:val="auto"/>
                <w:sz w:val="21"/>
                <w:szCs w:val="21"/>
              </w:rPr>
              <w:t>响应速度（全量程）8°/秒</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rPr>
              <w:t>1.2.11</w:t>
            </w:r>
          </w:p>
        </w:tc>
        <w:tc>
          <w:tcPr>
            <w:tcW w:w="3620" w:type="pct"/>
            <w:noWrap w:val="0"/>
            <w:vAlign w:val="top"/>
          </w:tcPr>
          <w:p>
            <w:pPr>
              <w:pStyle w:val="19"/>
              <w:ind w:left="521"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rPr>
              <w:t>测量时间：平均26秒可测次数：≥6</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kern w:val="0"/>
                <w:sz w:val="21"/>
                <w:szCs w:val="21"/>
                <w:lang w:val="en-US" w:eastAsia="zh-CN" w:bidi="zh-CN"/>
              </w:rPr>
            </w:pPr>
            <w:r>
              <w:rPr>
                <w:rFonts w:hint="eastAsia" w:ascii="宋体" w:hAnsi="宋体" w:eastAsia="宋体" w:cs="宋体"/>
                <w:b w:val="0"/>
                <w:bCs/>
                <w:color w:val="auto"/>
                <w:sz w:val="21"/>
                <w:szCs w:val="21"/>
              </w:rPr>
              <w:t>1.3.12</w:t>
            </w:r>
          </w:p>
        </w:tc>
        <w:tc>
          <w:tcPr>
            <w:tcW w:w="3620" w:type="pct"/>
            <w:noWrap w:val="0"/>
            <w:vAlign w:val="top"/>
          </w:tcPr>
          <w:p>
            <w:pPr>
              <w:pStyle w:val="19"/>
              <w:ind w:left="521" w:leftChars="0" w:firstLine="0" w:firstLineChars="0"/>
              <w:rPr>
                <w:rFonts w:hint="eastAsia" w:ascii="宋体" w:hAnsi="宋体" w:eastAsia="宋体" w:cs="宋体"/>
                <w:b w:val="0"/>
                <w:bCs/>
                <w:color w:val="auto"/>
                <w:kern w:val="0"/>
                <w:sz w:val="21"/>
                <w:szCs w:val="21"/>
                <w:lang w:val="en-US" w:eastAsia="zh-CN" w:bidi="zh-CN"/>
              </w:rPr>
            </w:pPr>
            <w:r>
              <w:rPr>
                <w:rFonts w:hint="eastAsia" w:ascii="宋体" w:hAnsi="宋体" w:eastAsia="宋体" w:cs="宋体"/>
                <w:b w:val="0"/>
                <w:bCs/>
                <w:color w:val="auto"/>
                <w:sz w:val="21"/>
                <w:szCs w:val="21"/>
              </w:rPr>
              <w:t>温度显示范围：0-100°</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color w:val="auto"/>
                <w:sz w:val="21"/>
                <w:szCs w:val="21"/>
              </w:rPr>
              <w:t>二</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lang w:val="en-US" w:eastAsia="zh-CN"/>
              </w:rPr>
              <w:t>设备1</w:t>
            </w:r>
            <w:r>
              <w:rPr>
                <w:rFonts w:hint="eastAsia" w:ascii="宋体" w:hAnsi="宋体" w:eastAsia="宋体" w:cs="宋体"/>
                <w:b/>
                <w:color w:val="auto"/>
                <w:sz w:val="21"/>
                <w:szCs w:val="21"/>
              </w:rPr>
              <w:t>配置</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rPr>
              <w:t>1、</w:t>
            </w:r>
          </w:p>
        </w:tc>
        <w:tc>
          <w:tcPr>
            <w:tcW w:w="3620"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rPr>
              <w:t>旋光仪一套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rPr>
              <w:t>2、</w:t>
            </w:r>
          </w:p>
        </w:tc>
        <w:tc>
          <w:tcPr>
            <w:tcW w:w="3620"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rPr>
              <w:t>配套随机资料一套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lang w:val="en-US" w:eastAsia="zh-CN"/>
              </w:rPr>
              <w:t>一、设备2</w:t>
            </w:r>
          </w:p>
        </w:tc>
        <w:tc>
          <w:tcPr>
            <w:tcW w:w="3620" w:type="pct"/>
            <w:noWrap w:val="0"/>
            <w:vAlign w:val="center"/>
          </w:tcPr>
          <w:p>
            <w:pPr>
              <w:widowControl/>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rPr>
              <w:t>普通扩增仪</w:t>
            </w:r>
            <w:r>
              <w:rPr>
                <w:rFonts w:hint="eastAsia" w:ascii="宋体" w:hAnsi="宋体" w:eastAsia="宋体" w:cs="宋体"/>
                <w:b/>
                <w:bCs/>
                <w:color w:val="auto"/>
                <w:sz w:val="21"/>
                <w:szCs w:val="21"/>
                <w:lang w:bidi="ar"/>
              </w:rPr>
              <w:t>技术参数要求</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rPr>
              <w:t>1.1</w:t>
            </w:r>
          </w:p>
        </w:tc>
        <w:tc>
          <w:tcPr>
            <w:tcW w:w="3620" w:type="pct"/>
            <w:noWrap w:val="0"/>
            <w:vAlign w:val="top"/>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rPr>
              <w:t>用途：PCR扩增反应</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rPr>
              <w:t>1.2</w:t>
            </w:r>
          </w:p>
        </w:tc>
        <w:tc>
          <w:tcPr>
            <w:tcW w:w="3620"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rPr>
              <w:t>主要技术规格及系统概述：</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rPr>
              <w:t>1.2.2</w:t>
            </w:r>
          </w:p>
        </w:tc>
        <w:tc>
          <w:tcPr>
            <w:tcW w:w="3620" w:type="pct"/>
            <w:noWrap w:val="0"/>
            <w:vAlign w:val="top"/>
          </w:tcPr>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样本容量：96 x 0.2 ml 试管，0.2 ml 联管或 1 x 96 孔板</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rPr>
              <w:t>1.2.3</w:t>
            </w:r>
          </w:p>
        </w:tc>
        <w:tc>
          <w:tcPr>
            <w:tcW w:w="3620" w:type="pct"/>
            <w:noWrap w:val="0"/>
            <w:vAlign w:val="top"/>
          </w:tcPr>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最大升降温速率≥4°C/sec</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rPr>
              <w:t>1.2.4</w:t>
            </w:r>
          </w:p>
        </w:tc>
        <w:tc>
          <w:tcPr>
            <w:tcW w:w="3620" w:type="pct"/>
            <w:noWrap w:val="0"/>
            <w:vAlign w:val="top"/>
          </w:tcPr>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平均升降温速率≥2.5°C/sec</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rPr>
              <w:t>1.2.5</w:t>
            </w:r>
          </w:p>
        </w:tc>
        <w:tc>
          <w:tcPr>
            <w:tcW w:w="3620" w:type="pct"/>
            <w:noWrap w:val="0"/>
            <w:vAlign w:val="top"/>
          </w:tcPr>
          <w:p>
            <w:pPr>
              <w:pStyle w:val="19"/>
              <w:ind w:left="521"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温度范围：4–100°C</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rPr>
              <w:t>1.2.6</w:t>
            </w:r>
          </w:p>
        </w:tc>
        <w:tc>
          <w:tcPr>
            <w:tcW w:w="3620" w:type="pct"/>
            <w:noWrap w:val="0"/>
            <w:vAlign w:val="top"/>
          </w:tcPr>
          <w:p>
            <w:pPr>
              <w:pStyle w:val="19"/>
              <w:ind w:left="521"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 xml:space="preserve">温度精度：≤±0.5°C </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0" w:leftChars="0" w:firstLine="0" w:firstLine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w:t>
            </w:r>
            <w:r>
              <w:rPr>
                <w:rFonts w:hint="eastAsia" w:ascii="宋体" w:hAnsi="宋体" w:eastAsia="宋体" w:cs="宋体"/>
                <w:b/>
                <w:bCs/>
                <w:color w:val="auto"/>
                <w:sz w:val="21"/>
                <w:szCs w:val="21"/>
              </w:rPr>
              <w:t>1.2.7</w:t>
            </w:r>
          </w:p>
        </w:tc>
        <w:tc>
          <w:tcPr>
            <w:tcW w:w="3620" w:type="pct"/>
            <w:noWrap w:val="0"/>
            <w:vAlign w:val="top"/>
          </w:tcPr>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color w:val="auto"/>
                <w:sz w:val="21"/>
                <w:szCs w:val="21"/>
              </w:rPr>
              <w:t>温度均匀性：≤±0.5°C</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rPr>
              <w:t>1.2.8</w:t>
            </w:r>
          </w:p>
        </w:tc>
        <w:tc>
          <w:tcPr>
            <w:tcW w:w="3620" w:type="pct"/>
            <w:noWrap w:val="0"/>
            <w:vAlign w:val="top"/>
          </w:tcPr>
          <w:p>
            <w:pPr>
              <w:autoSpaceDE w:val="0"/>
              <w:autoSpaceDN w:val="0"/>
              <w:adjustRightInd w:val="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OD 精确度：0.000 OD-2.500 OD &lt;0.5%</w:t>
            </w:r>
          </w:p>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color w:val="auto"/>
                <w:sz w:val="21"/>
                <w:szCs w:val="21"/>
              </w:rPr>
              <w:t>2.500 OD-4.000 OD &lt;1.5%</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w:t>
            </w:r>
            <w:r>
              <w:rPr>
                <w:rFonts w:hint="eastAsia" w:ascii="宋体" w:hAnsi="宋体" w:eastAsia="宋体" w:cs="宋体"/>
                <w:b/>
                <w:bCs/>
                <w:color w:val="auto"/>
                <w:sz w:val="21"/>
                <w:szCs w:val="21"/>
              </w:rPr>
              <w:t>1.3</w:t>
            </w:r>
          </w:p>
        </w:tc>
        <w:tc>
          <w:tcPr>
            <w:tcW w:w="3620" w:type="pct"/>
            <w:noWrap w:val="0"/>
            <w:vAlign w:val="top"/>
          </w:tcPr>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
                <w:color w:val="auto"/>
                <w:sz w:val="21"/>
                <w:szCs w:val="21"/>
              </w:rPr>
              <w:t>温度梯度功能</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rPr>
              <w:t>1.3.1</w:t>
            </w:r>
          </w:p>
        </w:tc>
        <w:tc>
          <w:tcPr>
            <w:tcW w:w="3620" w:type="pct"/>
            <w:noWrap w:val="0"/>
            <w:vAlign w:val="top"/>
          </w:tcPr>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color w:val="auto"/>
                <w:sz w:val="21"/>
                <w:szCs w:val="21"/>
              </w:rPr>
              <w:t>梯度精度：≤±0.5°C</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rPr>
              <w:t>1.2.2</w:t>
            </w:r>
          </w:p>
        </w:tc>
        <w:tc>
          <w:tcPr>
            <w:tcW w:w="3620" w:type="pct"/>
            <w:noWrap w:val="0"/>
            <w:vAlign w:val="top"/>
          </w:tcPr>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color w:val="auto"/>
                <w:sz w:val="21"/>
                <w:szCs w:val="21"/>
              </w:rPr>
              <w:t>梯度范围：30–100°C</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rPr>
              <w:t>1.3.3</w:t>
            </w:r>
          </w:p>
        </w:tc>
        <w:tc>
          <w:tcPr>
            <w:tcW w:w="3620" w:type="pct"/>
            <w:noWrap w:val="0"/>
            <w:vAlign w:val="top"/>
          </w:tcPr>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color w:val="auto"/>
                <w:sz w:val="21"/>
                <w:szCs w:val="21"/>
              </w:rPr>
              <w:t>温度差异范围：1–25°C</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rPr>
              <w:t>1.3.4</w:t>
            </w:r>
          </w:p>
        </w:tc>
        <w:tc>
          <w:tcPr>
            <w:tcW w:w="3620" w:type="pct"/>
            <w:noWrap w:val="0"/>
            <w:vAlign w:val="top"/>
          </w:tcPr>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color w:val="auto"/>
                <w:sz w:val="21"/>
                <w:szCs w:val="21"/>
              </w:rPr>
              <w:t>行均匀性：≤±0.5°C</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color w:val="auto"/>
                <w:sz w:val="21"/>
                <w:szCs w:val="21"/>
              </w:rPr>
              <w:t>二</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
                <w:bCs/>
                <w:color w:val="auto"/>
                <w:sz w:val="21"/>
                <w:szCs w:val="21"/>
                <w:lang w:val="en-US" w:eastAsia="zh-CN"/>
              </w:rPr>
              <w:t>设备2</w:t>
            </w:r>
            <w:r>
              <w:rPr>
                <w:rFonts w:hint="eastAsia" w:ascii="宋体" w:hAnsi="宋体" w:eastAsia="宋体" w:cs="宋体"/>
                <w:b/>
                <w:color w:val="auto"/>
                <w:sz w:val="21"/>
                <w:szCs w:val="21"/>
              </w:rPr>
              <w:t>配置</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rPr>
              <w:t>1、</w:t>
            </w:r>
          </w:p>
        </w:tc>
        <w:tc>
          <w:tcPr>
            <w:tcW w:w="3620" w:type="pct"/>
            <w:noWrap w:val="0"/>
            <w:vAlign w:val="center"/>
          </w:tcPr>
          <w:p>
            <w:pPr>
              <w:pStyle w:val="19"/>
              <w:ind w:left="521" w:leftChars="0" w:firstLine="0" w:firstLineChars="0"/>
              <w:jc w:val="left"/>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color w:val="auto"/>
                <w:sz w:val="21"/>
                <w:szCs w:val="21"/>
              </w:rPr>
              <w:t>普通扩增仪主机一套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rPr>
              <w:t>2、</w:t>
            </w:r>
          </w:p>
        </w:tc>
        <w:tc>
          <w:tcPr>
            <w:tcW w:w="3620" w:type="pct"/>
            <w:noWrap w:val="0"/>
            <w:vAlign w:val="center"/>
          </w:tcPr>
          <w:p>
            <w:pPr>
              <w:pStyle w:val="19"/>
              <w:ind w:left="521" w:leftChars="0" w:firstLine="0" w:firstLineChars="0"/>
              <w:jc w:val="left"/>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color w:val="auto"/>
                <w:sz w:val="21"/>
                <w:szCs w:val="21"/>
              </w:rPr>
              <w:t>配套随机资料一套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jc w:val="left"/>
              <w:rPr>
                <w:rFonts w:hint="default"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一、设备3</w:t>
            </w:r>
          </w:p>
        </w:tc>
        <w:tc>
          <w:tcPr>
            <w:tcW w:w="3620" w:type="pct"/>
            <w:noWrap w:val="0"/>
            <w:vAlign w:val="center"/>
          </w:tcPr>
          <w:p>
            <w:pPr>
              <w:widowControl/>
              <w:jc w:val="left"/>
              <w:rPr>
                <w:rFonts w:hint="eastAsia" w:ascii="宋体" w:hAnsi="宋体" w:eastAsia="宋体" w:cs="宋体"/>
                <w:b/>
                <w:bCs/>
                <w:color w:val="000000"/>
                <w:sz w:val="21"/>
                <w:szCs w:val="21"/>
                <w:lang w:eastAsia="zh-CN" w:bidi="ar"/>
              </w:rPr>
            </w:pPr>
            <w:r>
              <w:rPr>
                <w:rFonts w:hint="eastAsia" w:ascii="宋体" w:hAnsi="宋体" w:eastAsia="宋体" w:cs="宋体"/>
                <w:b/>
                <w:bCs/>
                <w:color w:val="000000"/>
                <w:sz w:val="21"/>
                <w:szCs w:val="21"/>
                <w:lang w:bidi="ar"/>
              </w:rPr>
              <w:t>连盖液氮罐技术参数要求</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1.1</w:t>
            </w:r>
          </w:p>
        </w:tc>
        <w:tc>
          <w:tcPr>
            <w:tcW w:w="3620" w:type="pct"/>
            <w:noWrap w:val="0"/>
            <w:vAlign w:val="top"/>
          </w:tcPr>
          <w:p>
            <w:pPr>
              <w:pStyle w:val="19"/>
              <w:ind w:left="521" w:leftChars="0" w:firstLine="0" w:firstLineChars="0"/>
              <w:jc w:val="left"/>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
                <w:sz w:val="21"/>
                <w:szCs w:val="21"/>
              </w:rPr>
              <w:t>用途：实验样本存储</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sz w:val="21"/>
                <w:szCs w:val="21"/>
              </w:rPr>
              <w:t>1.2</w:t>
            </w:r>
          </w:p>
        </w:tc>
        <w:tc>
          <w:tcPr>
            <w:tcW w:w="3620" w:type="pct"/>
            <w:noWrap w:val="0"/>
            <w:vAlign w:val="center"/>
          </w:tcPr>
          <w:p>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sz w:val="21"/>
                <w:szCs w:val="21"/>
              </w:rPr>
              <w:t>主要技术规格及系统概述：</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000000"/>
                <w:sz w:val="21"/>
                <w:szCs w:val="21"/>
              </w:rPr>
              <w:t>▲</w:t>
            </w:r>
            <w:r>
              <w:rPr>
                <w:rFonts w:hint="eastAsia" w:ascii="宋体" w:hAnsi="宋体" w:eastAsia="宋体" w:cs="宋体"/>
                <w:b/>
                <w:bCs/>
                <w:sz w:val="21"/>
                <w:szCs w:val="21"/>
              </w:rPr>
              <w:t>1.2.1</w:t>
            </w:r>
          </w:p>
        </w:tc>
        <w:tc>
          <w:tcPr>
            <w:tcW w:w="3620" w:type="pct"/>
            <w:noWrap w:val="0"/>
            <w:vAlign w:val="top"/>
          </w:tcPr>
          <w:p>
            <w:pPr>
              <w:pStyle w:val="19"/>
              <w:widowControl/>
              <w:spacing w:after="200" w:line="276" w:lineRule="auto"/>
              <w:ind w:left="0" w:leftChars="0" w:firstLine="0" w:firstLineChars="0"/>
              <w:contextualSpacing/>
              <w:jc w:val="left"/>
              <w:rPr>
                <w:rFonts w:hint="eastAsia" w:ascii="宋体" w:hAnsi="宋体" w:eastAsia="宋体" w:cs="宋体"/>
                <w:b w:val="0"/>
                <w:bCs w:val="0"/>
                <w:color w:val="auto"/>
                <w:spacing w:val="-1"/>
                <w:sz w:val="21"/>
                <w:szCs w:val="21"/>
                <w:lang w:val="en-US" w:eastAsia="zh-CN"/>
              </w:rPr>
            </w:pPr>
            <w:r>
              <w:rPr>
                <w:rFonts w:hint="eastAsia" w:ascii="宋体" w:hAnsi="宋体" w:eastAsia="宋体" w:cs="宋体"/>
                <w:kern w:val="0"/>
                <w:sz w:val="21"/>
                <w:szCs w:val="21"/>
              </w:rPr>
              <w:t>几何容积：≥35.5</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1.2.2</w:t>
            </w:r>
          </w:p>
        </w:tc>
        <w:tc>
          <w:tcPr>
            <w:tcW w:w="3620" w:type="pct"/>
            <w:noWrap w:val="0"/>
            <w:vAlign w:val="top"/>
          </w:tcPr>
          <w:p>
            <w:pPr>
              <w:jc w:val="left"/>
              <w:rPr>
                <w:rFonts w:hint="eastAsia" w:ascii="宋体" w:hAnsi="宋体" w:eastAsia="宋体" w:cs="宋体"/>
                <w:b w:val="0"/>
                <w:bCs w:val="0"/>
                <w:color w:val="auto"/>
                <w:spacing w:val="-1"/>
                <w:sz w:val="21"/>
                <w:szCs w:val="21"/>
                <w:lang w:val="en-US" w:eastAsia="zh-CN"/>
              </w:rPr>
            </w:pPr>
            <w:r>
              <w:rPr>
                <w:rFonts w:hint="eastAsia" w:ascii="宋体" w:hAnsi="宋体" w:eastAsia="宋体" w:cs="宋体"/>
                <w:kern w:val="0"/>
                <w:sz w:val="21"/>
                <w:szCs w:val="21"/>
              </w:rPr>
              <w:t>口径:≥125mm</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1.2.4</w:t>
            </w:r>
          </w:p>
        </w:tc>
        <w:tc>
          <w:tcPr>
            <w:tcW w:w="3620" w:type="pct"/>
            <w:noWrap w:val="0"/>
            <w:vAlign w:val="top"/>
          </w:tcPr>
          <w:p>
            <w:pPr>
              <w:pStyle w:val="19"/>
              <w:ind w:left="521" w:leftChars="0" w:firstLine="0" w:firstLineChars="0"/>
              <w:jc w:val="left"/>
              <w:rPr>
                <w:rFonts w:hint="eastAsia" w:ascii="宋体" w:hAnsi="宋体" w:eastAsia="宋体" w:cs="宋体"/>
                <w:b w:val="0"/>
                <w:bCs w:val="0"/>
                <w:color w:val="auto"/>
                <w:spacing w:val="-1"/>
                <w:sz w:val="21"/>
                <w:szCs w:val="21"/>
                <w:lang w:val="en-US" w:eastAsia="zh-CN"/>
              </w:rPr>
            </w:pPr>
            <w:r>
              <w:rPr>
                <w:rFonts w:hint="eastAsia" w:ascii="宋体" w:hAnsi="宋体" w:eastAsia="宋体" w:cs="宋体"/>
                <w:kern w:val="0"/>
                <w:sz w:val="21"/>
                <w:szCs w:val="21"/>
              </w:rPr>
              <w:t>液氮日蒸发量（L/D)：≤0.36</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1.2.5</w:t>
            </w:r>
          </w:p>
        </w:tc>
        <w:tc>
          <w:tcPr>
            <w:tcW w:w="3620" w:type="pct"/>
            <w:noWrap w:val="0"/>
            <w:vAlign w:val="top"/>
          </w:tcPr>
          <w:p>
            <w:pPr>
              <w:pStyle w:val="19"/>
              <w:ind w:left="521" w:leftChars="0" w:firstLine="0" w:firstLineChars="0"/>
              <w:jc w:val="left"/>
              <w:rPr>
                <w:rFonts w:hint="eastAsia" w:ascii="宋体" w:hAnsi="宋体" w:eastAsia="宋体" w:cs="宋体"/>
                <w:b w:val="0"/>
                <w:bCs w:val="0"/>
                <w:color w:val="auto"/>
                <w:spacing w:val="-1"/>
                <w:sz w:val="21"/>
                <w:szCs w:val="21"/>
                <w:lang w:val="en-US" w:eastAsia="zh-CN"/>
              </w:rPr>
            </w:pPr>
            <w:r>
              <w:rPr>
                <w:rFonts w:hint="eastAsia" w:ascii="宋体" w:hAnsi="宋体" w:eastAsia="宋体" w:cs="宋体"/>
                <w:kern w:val="0"/>
                <w:sz w:val="21"/>
                <w:szCs w:val="21"/>
              </w:rPr>
              <w:t>静态液氮保存期：≥97</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1.2.6</w:t>
            </w:r>
          </w:p>
        </w:tc>
        <w:tc>
          <w:tcPr>
            <w:tcW w:w="3620" w:type="pct"/>
            <w:noWrap w:val="0"/>
            <w:vAlign w:val="top"/>
          </w:tcPr>
          <w:p>
            <w:pPr>
              <w:pStyle w:val="19"/>
              <w:widowControl/>
              <w:spacing w:after="200" w:line="276" w:lineRule="auto"/>
              <w:ind w:left="521" w:leftChars="0" w:firstLine="0" w:firstLineChars="0"/>
              <w:contextualSpacing/>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kern w:val="0"/>
                <w:sz w:val="21"/>
                <w:szCs w:val="21"/>
              </w:rPr>
              <w:t>带方提桶：提桶数量6个，层数5层</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1.2.7</w:t>
            </w:r>
          </w:p>
        </w:tc>
        <w:tc>
          <w:tcPr>
            <w:tcW w:w="3620" w:type="pct"/>
            <w:noWrap w:val="0"/>
            <w:vAlign w:val="top"/>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标配锁盖和保护套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二</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shd w:val="clear" w:color="auto" w:fill="FFFFFF"/>
                <w:lang w:val="en-US" w:eastAsia="zh-CN"/>
              </w:rPr>
            </w:pPr>
            <w:r>
              <w:rPr>
                <w:rFonts w:hint="eastAsia" w:ascii="宋体" w:hAnsi="宋体" w:eastAsia="宋体" w:cs="宋体"/>
                <w:b/>
                <w:bCs/>
                <w:color w:val="000000"/>
                <w:sz w:val="21"/>
                <w:szCs w:val="21"/>
                <w:lang w:val="en-US" w:eastAsia="zh-CN" w:bidi="ar"/>
              </w:rPr>
              <w:t>设备3</w:t>
            </w:r>
            <w:r>
              <w:rPr>
                <w:rFonts w:hint="eastAsia" w:ascii="宋体" w:hAnsi="宋体" w:eastAsia="宋体" w:cs="宋体"/>
                <w:b/>
                <w:sz w:val="21"/>
                <w:szCs w:val="21"/>
              </w:rPr>
              <w:t>配置</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Cs/>
                <w:sz w:val="21"/>
                <w:szCs w:val="21"/>
              </w:rPr>
              <w:t>1、</w:t>
            </w:r>
          </w:p>
        </w:tc>
        <w:tc>
          <w:tcPr>
            <w:tcW w:w="3620" w:type="pct"/>
            <w:noWrap w:val="0"/>
            <w:vAlign w:val="center"/>
          </w:tcPr>
          <w:p>
            <w:pPr>
              <w:pStyle w:val="19"/>
              <w:ind w:left="521"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Cs/>
                <w:color w:val="FF0000"/>
                <w:sz w:val="21"/>
                <w:szCs w:val="21"/>
              </w:rPr>
              <w:t>液氮罐4套</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Cs/>
                <w:sz w:val="21"/>
                <w:szCs w:val="21"/>
              </w:rPr>
              <w:t>2</w:t>
            </w:r>
          </w:p>
        </w:tc>
        <w:tc>
          <w:tcPr>
            <w:tcW w:w="3620" w:type="pct"/>
            <w:noWrap w:val="0"/>
            <w:vAlign w:val="center"/>
          </w:tcPr>
          <w:p>
            <w:pPr>
              <w:pStyle w:val="19"/>
              <w:ind w:left="521"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Cs/>
                <w:color w:val="FF0000"/>
                <w:sz w:val="21"/>
                <w:szCs w:val="21"/>
              </w:rPr>
              <w:t>随机资料4份</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sz w:val="21"/>
                <w:szCs w:val="21"/>
                <w:highlight w:val="none"/>
              </w:rPr>
              <w:t>三</w:t>
            </w:r>
          </w:p>
        </w:tc>
        <w:tc>
          <w:tcPr>
            <w:tcW w:w="3620" w:type="pct"/>
            <w:noWrap w:val="0"/>
            <w:vAlign w:val="center"/>
          </w:tcPr>
          <w:p>
            <w:pPr>
              <w:pStyle w:val="19"/>
              <w:ind w:firstLine="0" w:firstLineChars="0"/>
              <w:jc w:val="left"/>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sz w:val="21"/>
                <w:szCs w:val="21"/>
                <w:highlight w:val="none"/>
              </w:rPr>
              <w:t>其他</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投标产品验收合格后保修≥</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年，投标时提供制造商原厂保修证明。整机终生免费提供软件功能升级服务，并及时提供设备新功能和临床应用的资料。零配件在该设备停产后仍需保证10年的供应。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3</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合同签订后45天内到货，货物必须是</w:t>
            </w:r>
            <w:r>
              <w:rPr>
                <w:rFonts w:hint="eastAsia" w:ascii="宋体" w:hAnsi="宋体" w:eastAsia="宋体" w:cs="宋体"/>
                <w:b w:val="0"/>
                <w:bCs w:val="0"/>
                <w:color w:val="auto"/>
                <w:sz w:val="21"/>
                <w:szCs w:val="21"/>
                <w:highlight w:val="none"/>
                <w:lang w:eastAsia="zh-CN"/>
              </w:rPr>
              <w:t>距投标日</w:t>
            </w:r>
            <w:r>
              <w:rPr>
                <w:rFonts w:hint="eastAsia" w:ascii="宋体" w:hAnsi="宋体" w:eastAsia="宋体" w:cs="宋体"/>
                <w:b w:val="0"/>
                <w:bCs w:val="0"/>
                <w:color w:val="auto"/>
                <w:sz w:val="21"/>
                <w:szCs w:val="21"/>
                <w:highlight w:val="none"/>
                <w:lang w:val="en-US" w:eastAsia="zh-CN"/>
              </w:rPr>
              <w:t>10个月内</w:t>
            </w:r>
            <w:r>
              <w:rPr>
                <w:rFonts w:hint="eastAsia" w:ascii="宋体" w:hAnsi="宋体" w:eastAsia="宋体" w:cs="宋体"/>
                <w:b w:val="0"/>
                <w:bCs w:val="0"/>
                <w:color w:val="auto"/>
                <w:sz w:val="21"/>
                <w:szCs w:val="21"/>
                <w:highlight w:val="none"/>
              </w:rPr>
              <w:t>生产。</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4</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投标产品使用寿命≥</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年，投标时须提供证明材料（依据注册证或说明书或产品铭牌照片）</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5</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6</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7</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p>
          <w:p>
            <w:pPr>
              <w:pStyle w:val="19"/>
              <w:ind w:firstLine="0" w:firstLineChars="0"/>
              <w:jc w:val="left"/>
              <w:rPr>
                <w:rFonts w:hint="eastAsia" w:ascii="宋体" w:hAnsi="宋体" w:eastAsia="宋体" w:cs="宋体"/>
                <w:b w:val="0"/>
                <w:bCs w:val="0"/>
                <w:color w:val="auto"/>
                <w:kern w:val="2"/>
                <w:sz w:val="21"/>
                <w:szCs w:val="21"/>
                <w:lang w:val="en-US" w:eastAsia="zh-CN" w:bidi="ar-SA"/>
              </w:rPr>
            </w:pP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质保期内每年每套设备故障率均不得超过14天，每超过一天该设备质保期相应延长10天。</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9</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提供原厂DATASHEET</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设备安装、调试</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10.1</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安装地点：采购单位指定位置。</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10.3</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10.4</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10.5</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安装人员：应由中标方有三台以上（含）同类型设备安装经验的原厂工程师负责安装。</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11</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培训</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11.1</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11.2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中标方应对买方的操作人员进行培训并承担所有费用。</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11.3</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验收</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12.1</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投标方在投标时应提供设备的验收标准、安装技术规范，供买方参考。</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验收依据：按投标文件、招标文件及国家标准验收。</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12.3</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验收时，投标人提供下列资料：</w:t>
            </w:r>
          </w:p>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提供三证，完整的中英文技术资料，包括操作手册</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12.4</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12.5</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12.6</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所有验收相关费用由产品中标方负担</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13</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付款方式和条件</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13.1</w:t>
            </w:r>
          </w:p>
        </w:tc>
        <w:tc>
          <w:tcPr>
            <w:tcW w:w="3620" w:type="pct"/>
            <w:noWrap w:val="0"/>
            <w:vAlign w:val="center"/>
          </w:tcPr>
          <w:p>
            <w:pPr>
              <w:ind w:right="-21" w:rightChars="-10"/>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付款方式：对经评审小组按招标文件规定认定为中小微企业的，合同签订并通知中标方发货之日起7个工作日内，支付全部货款的40%作为预付款。剩余全部货款的60%在项目全部验收合格并收到中标人发票后的7个工作日内支付给中标人。</w:t>
            </w:r>
          </w:p>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2"/>
                <w:sz w:val="21"/>
                <w:szCs w:val="21"/>
                <w:highlight w:val="none"/>
                <w:lang w:val="zh-CN" w:eastAsia="zh-CN" w:bidi="ar-SA"/>
              </w:rPr>
              <w:t>对非中小微企业中标的，项目全部货款在项目全部验收合格并收到中标人发票后的7个工作日内支付给中标人。</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13.2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投标商按合同开具多张发票的，额度应大于等于投标单台设备价格，且发票号需连续不中断。</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14</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延期交货罚款：延期交货每7天，按合同总价的0.5%支付迟交违约金，不足7天按7天计，依次累计，最高罚款为合同总价的5%。</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15</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保密：招投标及合同中凡涉及买方项目的有关信息，不得透露给第三方。</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16</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货物购销合同签订的同时，双方须签订廉洁购销合同</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评分细则</w:t>
      </w:r>
    </w:p>
    <w:tbl>
      <w:tblPr>
        <w:tblStyle w:val="11"/>
        <w:tblpPr w:leftFromText="180" w:rightFromText="180" w:vertAnchor="text" w:horzAnchor="page" w:tblpX="1259" w:tblpY="464"/>
        <w:tblOverlap w:val="never"/>
        <w:tblW w:w="936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639"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评定项目</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分值</w:t>
            </w:r>
          </w:p>
        </w:tc>
        <w:tc>
          <w:tcPr>
            <w:tcW w:w="4945" w:type="dxa"/>
            <w:noWrap w:val="0"/>
            <w:vAlign w:val="center"/>
          </w:tcPr>
          <w:p>
            <w:pPr>
              <w:ind w:left="105" w:leftChars="50" w:right="10" w:rightChars="5"/>
              <w:jc w:val="center"/>
              <w:rPr>
                <w:rFonts w:hint="eastAsia" w:ascii="宋体" w:hAnsi="宋体" w:eastAsia="宋体" w:cs="宋体"/>
                <w:sz w:val="21"/>
                <w:szCs w:val="21"/>
              </w:rPr>
            </w:pPr>
            <w:r>
              <w:rPr>
                <w:rFonts w:hint="eastAsia" w:ascii="宋体" w:hAnsi="宋体" w:eastAsia="宋体" w:cs="宋体"/>
                <w:sz w:val="21"/>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对应于招标文件设备技术规格及配置的偏离度</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35</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color w:val="auto"/>
                <w:sz w:val="21"/>
                <w:szCs w:val="21"/>
                <w:highlight w:val="none"/>
              </w:rPr>
              <w:t>与招标文件</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货物技术规格及配置、商务要求对比，一项指标负偏离扣1分，标注★的指标</w:t>
            </w:r>
            <w:r>
              <w:rPr>
                <w:rFonts w:hint="eastAsia" w:ascii="宋体" w:hAnsi="宋体" w:eastAsia="宋体" w:cs="宋体"/>
                <w:color w:val="auto"/>
                <w:sz w:val="21"/>
                <w:szCs w:val="21"/>
                <w:highlight w:val="none"/>
                <w:lang w:eastAsia="zh-CN"/>
              </w:rPr>
              <w:t>负</w:t>
            </w:r>
            <w:r>
              <w:rPr>
                <w:rFonts w:hint="eastAsia" w:ascii="宋体" w:hAnsi="宋体" w:eastAsia="宋体" w:cs="宋体"/>
                <w:color w:val="auto"/>
                <w:sz w:val="21"/>
                <w:szCs w:val="21"/>
                <w:highlight w:val="none"/>
              </w:rPr>
              <w:t>偏离每项扣4分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投标设备配套的合理性</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投标设备技术指标的先进性</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投标机型的档次</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运行成本</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保修服务</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lang w:eastAsia="zh-CN"/>
              </w:rPr>
              <w:t>设备</w:t>
            </w:r>
            <w:r>
              <w:rPr>
                <w:rFonts w:hint="eastAsia" w:ascii="宋体" w:hAnsi="宋体" w:eastAsia="宋体" w:cs="宋体"/>
                <w:sz w:val="21"/>
                <w:szCs w:val="21"/>
              </w:rPr>
              <w:t>保修期超过招标文件要求的，每增加1年加1分</w:t>
            </w:r>
            <w:r>
              <w:rPr>
                <w:rFonts w:hint="eastAsia" w:ascii="宋体" w:hAnsi="宋体" w:eastAsia="宋体" w:cs="宋体"/>
                <w:sz w:val="21"/>
                <w:szCs w:val="21"/>
                <w:lang w:val="en-US" w:eastAsia="zh-CN"/>
              </w:rPr>
              <w:t>，</w:t>
            </w:r>
            <w:r>
              <w:rPr>
                <w:rFonts w:hint="eastAsia" w:ascii="宋体" w:hAnsi="宋体" w:eastAsia="宋体" w:cs="宋体"/>
                <w:sz w:val="21"/>
                <w:szCs w:val="21"/>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投标产品总体质量性能</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市场占有率</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温州市或浙江省内</w:t>
            </w:r>
            <w:r>
              <w:rPr>
                <w:rFonts w:hint="eastAsia" w:ascii="宋体" w:hAnsi="宋体" w:eastAsia="宋体" w:cs="宋体"/>
                <w:sz w:val="21"/>
                <w:szCs w:val="21"/>
              </w:rPr>
              <w:t>20</w:t>
            </w:r>
            <w:r>
              <w:rPr>
                <w:rFonts w:hint="eastAsia" w:ascii="宋体" w:hAnsi="宋体" w:eastAsia="宋体" w:cs="宋体"/>
                <w:sz w:val="21"/>
                <w:szCs w:val="21"/>
                <w:lang w:val="en-US" w:eastAsia="zh-CN"/>
              </w:rPr>
              <w:t>19</w:t>
            </w:r>
            <w:r>
              <w:rPr>
                <w:rFonts w:hint="eastAsia" w:ascii="宋体" w:hAnsi="宋体" w:eastAsia="宋体" w:cs="宋体"/>
                <w:sz w:val="21"/>
                <w:szCs w:val="21"/>
              </w:rPr>
              <w:t>年1月1日起至今与最终用户签订的投标机型合同复印件，每份有效合同得</w:t>
            </w:r>
            <w:r>
              <w:rPr>
                <w:rFonts w:hint="eastAsia" w:ascii="宋体" w:hAnsi="宋体" w:eastAsia="宋体" w:cs="宋体"/>
                <w:sz w:val="21"/>
                <w:szCs w:val="21"/>
                <w:lang w:val="en-US" w:eastAsia="zh-CN"/>
              </w:rPr>
              <w:t>1</w:t>
            </w:r>
            <w:r>
              <w:rPr>
                <w:rFonts w:hint="eastAsia" w:ascii="宋体" w:hAnsi="宋体" w:eastAsia="宋体" w:cs="宋体"/>
                <w:sz w:val="21"/>
                <w:szCs w:val="21"/>
              </w:rPr>
              <w:t>分，最多</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制造商或代理商的售后服务和维修能力</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4945" w:type="dxa"/>
            <w:noWrap w:val="0"/>
            <w:vAlign w:val="center"/>
          </w:tcPr>
          <w:p>
            <w:pPr>
              <w:ind w:left="105" w:leftChars="50" w:right="10" w:rightChars="5"/>
              <w:rPr>
                <w:rFonts w:hint="eastAsia" w:ascii="宋体" w:hAnsi="宋体" w:eastAsia="宋体" w:cs="宋体"/>
                <w:sz w:val="21"/>
                <w:szCs w:val="21"/>
                <w:lang w:eastAsia="zh-CN"/>
              </w:rPr>
            </w:pPr>
            <w:r>
              <w:rPr>
                <w:rFonts w:hint="eastAsia" w:ascii="宋体" w:hAnsi="宋体" w:eastAsia="宋体" w:cs="宋体"/>
                <w:sz w:val="21"/>
                <w:szCs w:val="21"/>
              </w:rPr>
              <w:t>制造商或代理商的售后服务和维修能力，服务响应速度、服务人员水平、备品备件配置等综合评价。</w:t>
            </w:r>
            <w:r>
              <w:rPr>
                <w:rFonts w:hint="eastAsia" w:ascii="宋体" w:hAnsi="宋体" w:eastAsia="宋体" w:cs="宋体"/>
                <w:sz w:val="21"/>
                <w:szCs w:val="21"/>
                <w:lang w:eastAsia="zh-CN"/>
              </w:rPr>
              <w:t>（厂家在温州市或者浙江省内有常驻维修服务点和维修工程师得</w:t>
            </w:r>
            <w:r>
              <w:rPr>
                <w:rFonts w:hint="eastAsia" w:ascii="宋体" w:hAnsi="宋体" w:eastAsia="宋体" w:cs="宋体"/>
                <w:sz w:val="21"/>
                <w:szCs w:val="21"/>
                <w:lang w:val="en-US" w:eastAsia="zh-CN"/>
              </w:rPr>
              <w:t>1分，代理商有维修服务人员得1分，承诺接用户报修后二十四小时内维修人员能到场维修的得1分</w:t>
            </w:r>
          </w:p>
        </w:tc>
      </w:tr>
    </w:tbl>
    <w:p>
      <w:pPr>
        <w:spacing w:line="360" w:lineRule="auto"/>
        <w:ind w:firstLine="457" w:firstLineChars="196"/>
        <w:rPr>
          <w:rStyle w:val="14"/>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9"/>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default" w:eastAsia="宋体" w:asciiTheme="minorEastAsia" w:hAnsiTheme="minorEastAsia" w:cstheme="minorEastAsia"/>
          <w:b/>
          <w:bCs/>
          <w:kern w:val="2"/>
          <w:sz w:val="32"/>
          <w:szCs w:val="32"/>
          <w:lang w:val="en-US" w:eastAsia="zh-CN" w:bidi="ar-SA"/>
        </w:rPr>
      </w:pPr>
      <w:r>
        <w:rPr>
          <w:rStyle w:val="14"/>
          <w:rFonts w:hint="eastAsia" w:eastAsia="宋体" w:asciiTheme="minorEastAsia" w:hAnsiTheme="minorEastAsia" w:cstheme="minorEastAsia"/>
          <w:b/>
          <w:bCs/>
          <w:kern w:val="2"/>
          <w:sz w:val="32"/>
          <w:szCs w:val="32"/>
          <w:lang w:val="en-US" w:eastAsia="zh-CN" w:bidi="ar-SA"/>
        </w:rPr>
        <w:t>九、我院正式合同版本</w:t>
      </w:r>
    </w:p>
    <w:p>
      <w:pPr>
        <w:pStyle w:val="10"/>
        <w:rPr>
          <w:rFonts w:hint="eastAsia"/>
          <w:sz w:val="30"/>
          <w:szCs w:val="30"/>
        </w:rPr>
      </w:pPr>
    </w:p>
    <w:p>
      <w:pPr>
        <w:pStyle w:val="10"/>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2"/>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5"/>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1"/>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8"/>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8"/>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8"/>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8"/>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8"/>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2"/>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2"/>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5"/>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5"/>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5"/>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19"/>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w:t>
      </w:r>
      <w:r>
        <w:rPr>
          <w:rFonts w:hint="eastAsia"/>
          <w:color w:val="000000" w:themeColor="text1"/>
          <w:spacing w:val="-6"/>
          <w:sz w:val="22"/>
          <w:szCs w:val="22"/>
          <w:highlight w:val="none"/>
          <w:u w:val="single"/>
          <w:lang w:val="en-US"/>
          <w14:textFill>
            <w14:solidFill>
              <w14:schemeClr w14:val="tx1"/>
            </w14:solidFill>
          </w14:textFill>
        </w:rPr>
        <w:t xml:space="preserve">    </w:t>
      </w:r>
    </w:p>
    <w:p>
      <w:pPr>
        <w:pStyle w:val="5"/>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19"/>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个工作日</w:t>
      </w:r>
      <w:r>
        <w:rPr>
          <w:rFonts w:hint="eastAsia"/>
          <w:color w:val="000000" w:themeColor="text1"/>
          <w:sz w:val="22"/>
          <w:szCs w:val="22"/>
          <w:highlight w:val="none"/>
          <w:lang w:eastAsia="zh-CN"/>
          <w14:textFill>
            <w14:solidFill>
              <w14:schemeClr w14:val="tx1"/>
            </w14:solidFill>
          </w14:textFill>
        </w:rPr>
        <w:t>内</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19"/>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2"/>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2"/>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highlight w:val="none"/>
          <w:u w:val="single" w:color="4068E0"/>
          <w:lang w:val="en-US" w:eastAsia="zh-CN" w:bidi="zh-CN"/>
          <w14:textFill>
            <w14:solidFill>
              <w14:schemeClr w14:val="tx1"/>
            </w14:solidFill>
          </w14:textFill>
        </w:rPr>
        <w:t xml:space="preserve"> 3 </w:t>
      </w:r>
      <w:r>
        <w:rPr>
          <w:rFonts w:hint="default"/>
          <w:color w:val="000000" w:themeColor="text1"/>
          <w:sz w:val="22"/>
          <w:szCs w:val="22"/>
          <w:highlight w:val="none"/>
          <w:lang w:val="zh-CN"/>
          <w14:textFill>
            <w14:solidFill>
              <w14:schemeClr w14:val="tx1"/>
            </w14:solidFill>
          </w14:textFill>
        </w:rPr>
        <w:t>个月</w:t>
      </w:r>
      <w:r>
        <w:rPr>
          <w:color w:val="000000" w:themeColor="text1"/>
          <w:sz w:val="22"/>
          <w:szCs w:val="22"/>
          <w:highlight w:val="none"/>
          <w:lang w:val="zh-CN"/>
          <w14:textFill>
            <w14:solidFill>
              <w14:schemeClr w14:val="tx1"/>
            </w14:solidFill>
          </w14:textFill>
        </w:rPr>
        <w:t>内</w:t>
      </w:r>
      <w:r>
        <w:rPr>
          <w:color w:val="000000" w:themeColor="text1"/>
          <w:sz w:val="22"/>
          <w:szCs w:val="22"/>
          <w:highlight w:val="none"/>
          <w14:textFill>
            <w14:solidFill>
              <w14:schemeClr w14:val="tx1"/>
            </w14:solidFill>
          </w14:textFill>
        </w:rPr>
        <w:t>，甲方向乙方支付全部合同价款。</w:t>
      </w:r>
    </w:p>
    <w:p>
      <w:pPr>
        <w:pStyle w:val="2"/>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19"/>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19"/>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5"/>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9"/>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9"/>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9"/>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9"/>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hint="eastAsia"/>
          <w:color w:val="000000" w:themeColor="text1"/>
          <w:sz w:val="22"/>
          <w:szCs w:val="22"/>
          <w14:textFill>
            <w14:solidFill>
              <w14:schemeClr w14:val="tx1"/>
            </w14:solidFill>
          </w14:textFill>
        </w:rPr>
        <w:t>日内到达货物所在地进行维修。</w:t>
      </w:r>
    </w:p>
    <w:p>
      <w:pPr>
        <w:pStyle w:val="5"/>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9"/>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9"/>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w:t>
      </w:r>
      <w:r>
        <w:rPr>
          <w:color w:val="000000" w:themeColor="text1"/>
          <w:spacing w:val="3"/>
          <w:sz w:val="22"/>
          <w:szCs w:val="22"/>
          <w:u w:val="none" w:color="auto"/>
          <w14:textFill>
            <w14:solidFill>
              <w14:schemeClr w14:val="tx1"/>
            </w14:solidFill>
          </w14:textFill>
        </w:rPr>
        <w:t>百分之五</w:t>
      </w:r>
      <w:r>
        <w:rPr>
          <w:color w:val="000000" w:themeColor="text1"/>
          <w:sz w:val="22"/>
          <w:szCs w:val="22"/>
          <w14:textFill>
            <w14:solidFill>
              <w14:schemeClr w14:val="tx1"/>
            </w14:solidFill>
          </w14:textFill>
        </w:rPr>
        <w:t>违约金。</w:t>
      </w:r>
    </w:p>
    <w:p>
      <w:pPr>
        <w:pStyle w:val="19"/>
        <w:numPr>
          <w:ilvl w:val="0"/>
          <w:numId w:val="0"/>
        </w:numPr>
        <w:tabs>
          <w:tab w:val="left" w:pos="522"/>
        </w:tabs>
        <w:spacing w:before="117"/>
        <w:ind w:left="351" w:leftChars="0"/>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hint="eastAsia" w:ascii="Verdana" w:eastAsia="宋体"/>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none" w:color="auto"/>
          <w14:textFill>
            <w14:solidFill>
              <w14:schemeClr w14:val="tx1"/>
            </w14:solidFill>
          </w14:textFill>
        </w:rPr>
        <w:t>万分之五</w:t>
      </w:r>
      <w:r>
        <w:rPr>
          <w:color w:val="000000" w:themeColor="text1"/>
          <w:sz w:val="22"/>
          <w:szCs w:val="22"/>
          <w14:textFill>
            <w14:solidFill>
              <w14:schemeClr w14:val="tx1"/>
            </w14:solidFill>
          </w14:textFill>
        </w:rPr>
        <w:t>向乙方支付违约金</w:t>
      </w:r>
      <w:r>
        <w:rPr>
          <w:rFonts w:hint="eastAsia"/>
          <w:color w:val="000000" w:themeColor="text1"/>
          <w:sz w:val="22"/>
          <w:szCs w:val="22"/>
          <w:lang w:eastAsia="zh-CN"/>
          <w14:textFill>
            <w14:solidFill>
              <w14:schemeClr w14:val="tx1"/>
            </w14:solidFill>
          </w14:textFill>
        </w:rPr>
        <w:t>，最高不超过合同总金额的</w:t>
      </w:r>
      <w:r>
        <w:rPr>
          <w:rFonts w:hint="eastAsia"/>
          <w:color w:val="000000" w:themeColor="text1"/>
          <w:sz w:val="22"/>
          <w:szCs w:val="22"/>
          <w:lang w:val="en-US" w:eastAsia="zh-CN"/>
          <w14:textFill>
            <w14:solidFill>
              <w14:schemeClr w14:val="tx1"/>
            </w14:solidFill>
          </w14:textFill>
        </w:rPr>
        <w:t>5%。</w:t>
      </w:r>
    </w:p>
    <w:p>
      <w:pPr>
        <w:pStyle w:val="19"/>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none" w:color="auto"/>
          <w14:textFill>
            <w14:solidFill>
              <w14:schemeClr w14:val="tx1"/>
            </w14:solidFill>
          </w14:textFill>
        </w:rPr>
        <w:t>千分之六</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u w:val="none"/>
          <w14:textFill>
            <w14:solidFill>
              <w14:schemeClr w14:val="tx1"/>
            </w14:solidFill>
          </w14:textFill>
        </w:rPr>
        <w:t>5%</w:t>
      </w:r>
      <w:r>
        <w:rPr>
          <w:rFonts w:hint="eastAsia"/>
          <w:color w:val="000000" w:themeColor="text1"/>
          <w:sz w:val="22"/>
          <w:szCs w:val="22"/>
          <w:u w:val="non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9"/>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及招标文件规定标准的，甲方有权拒收该货物，乙方愿意更换货物，但逾期交货的，按乙方逾期交货处理。乙方拒绝更换货物的，甲方可单方面解除合同。</w:t>
      </w:r>
    </w:p>
    <w:p>
      <w:pPr>
        <w:pStyle w:val="5"/>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5"/>
        <w:spacing w:before="107"/>
        <w:rPr>
          <w:sz w:val="22"/>
          <w:szCs w:val="22"/>
        </w:rPr>
      </w:pPr>
      <w:r>
        <w:rPr>
          <w:sz w:val="22"/>
          <w:szCs w:val="22"/>
        </w:rPr>
        <w:t>十六、合同生效及其它</w:t>
      </w:r>
    </w:p>
    <w:p>
      <w:pPr>
        <w:pStyle w:val="19"/>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9"/>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9"/>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9"/>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9"/>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2"/>
        <w:spacing w:before="106" w:line="264" w:lineRule="auto"/>
        <w:ind w:left="105" w:right="209"/>
        <w:rPr>
          <w:sz w:val="22"/>
          <w:szCs w:val="22"/>
        </w:rPr>
      </w:pPr>
      <w:r>
        <w:rPr>
          <w:rFonts w:hint="eastAsia"/>
          <w:sz w:val="22"/>
          <w:szCs w:val="22"/>
        </w:rPr>
        <w:t>地址：温州市六虹桥路蛟尾路9号                   地址：</w:t>
      </w:r>
    </w:p>
    <w:p>
      <w:pPr>
        <w:pStyle w:val="2"/>
        <w:spacing w:before="106" w:line="264" w:lineRule="auto"/>
        <w:ind w:left="105" w:right="209"/>
        <w:rPr>
          <w:sz w:val="22"/>
          <w:szCs w:val="22"/>
        </w:rPr>
      </w:pPr>
      <w:r>
        <w:rPr>
          <w:rFonts w:hint="eastAsia"/>
          <w:sz w:val="22"/>
          <w:szCs w:val="22"/>
        </w:rPr>
        <w:t xml:space="preserve">法定（授权）代表人：                            法定（授权）代表人： </w:t>
      </w:r>
    </w:p>
    <w:p>
      <w:pPr>
        <w:pStyle w:val="2"/>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2"/>
        <w:rPr>
          <w:sz w:val="20"/>
        </w:rPr>
      </w:pPr>
    </w:p>
    <w:tbl>
      <w:tblPr>
        <w:tblStyle w:val="11"/>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2"/>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MetaPlusLF">
    <w:altName w:val="PMingLiU-ExtB"/>
    <w:panose1 w:val="02000506050000020004"/>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yODZmNTE4ZWMzNjg3NTkxMjBiZjI1OGU3ZTBiMzY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761DC"/>
    <w:rsid w:val="037819C8"/>
    <w:rsid w:val="04165086"/>
    <w:rsid w:val="079468F0"/>
    <w:rsid w:val="088815A9"/>
    <w:rsid w:val="0A277157"/>
    <w:rsid w:val="0A323667"/>
    <w:rsid w:val="0A964758"/>
    <w:rsid w:val="0B691EBF"/>
    <w:rsid w:val="0BDB7828"/>
    <w:rsid w:val="0D3C3F90"/>
    <w:rsid w:val="0D6B27A0"/>
    <w:rsid w:val="0D737863"/>
    <w:rsid w:val="0F9D510C"/>
    <w:rsid w:val="10827943"/>
    <w:rsid w:val="109B7C74"/>
    <w:rsid w:val="11D15B1C"/>
    <w:rsid w:val="11D56F8A"/>
    <w:rsid w:val="12531874"/>
    <w:rsid w:val="129A029D"/>
    <w:rsid w:val="12C9410A"/>
    <w:rsid w:val="14C02644"/>
    <w:rsid w:val="157B401A"/>
    <w:rsid w:val="165B3C1A"/>
    <w:rsid w:val="17453125"/>
    <w:rsid w:val="182217CF"/>
    <w:rsid w:val="184F31D7"/>
    <w:rsid w:val="19915A12"/>
    <w:rsid w:val="1A2E6DE6"/>
    <w:rsid w:val="1D4821A9"/>
    <w:rsid w:val="202B56B1"/>
    <w:rsid w:val="22723315"/>
    <w:rsid w:val="22CF7097"/>
    <w:rsid w:val="232E51F6"/>
    <w:rsid w:val="23705E06"/>
    <w:rsid w:val="23884864"/>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0E68FB"/>
    <w:rsid w:val="32CE7A3F"/>
    <w:rsid w:val="33951D5C"/>
    <w:rsid w:val="34117E05"/>
    <w:rsid w:val="351B0D6F"/>
    <w:rsid w:val="351B624E"/>
    <w:rsid w:val="35633FD8"/>
    <w:rsid w:val="36AA02C8"/>
    <w:rsid w:val="37C66C9B"/>
    <w:rsid w:val="3877509F"/>
    <w:rsid w:val="397306B8"/>
    <w:rsid w:val="39BD6D12"/>
    <w:rsid w:val="3BB420F5"/>
    <w:rsid w:val="3DB75172"/>
    <w:rsid w:val="3F1B3C4A"/>
    <w:rsid w:val="402E62DF"/>
    <w:rsid w:val="402F4957"/>
    <w:rsid w:val="405108FA"/>
    <w:rsid w:val="40751336"/>
    <w:rsid w:val="4136403A"/>
    <w:rsid w:val="41EF774F"/>
    <w:rsid w:val="42660058"/>
    <w:rsid w:val="43824C1A"/>
    <w:rsid w:val="43A157C9"/>
    <w:rsid w:val="447334B4"/>
    <w:rsid w:val="449C5243"/>
    <w:rsid w:val="449E2D2B"/>
    <w:rsid w:val="458A740C"/>
    <w:rsid w:val="46094A05"/>
    <w:rsid w:val="460A3EB2"/>
    <w:rsid w:val="477517FF"/>
    <w:rsid w:val="479F5F87"/>
    <w:rsid w:val="497E50E4"/>
    <w:rsid w:val="49CC2349"/>
    <w:rsid w:val="4A254910"/>
    <w:rsid w:val="4AA864D5"/>
    <w:rsid w:val="4B956476"/>
    <w:rsid w:val="4CBE1552"/>
    <w:rsid w:val="4D3D3121"/>
    <w:rsid w:val="4DCB17F7"/>
    <w:rsid w:val="4ED83989"/>
    <w:rsid w:val="5105209D"/>
    <w:rsid w:val="5273518F"/>
    <w:rsid w:val="529E0326"/>
    <w:rsid w:val="53423D16"/>
    <w:rsid w:val="534B0A6F"/>
    <w:rsid w:val="539D45B7"/>
    <w:rsid w:val="53CA557A"/>
    <w:rsid w:val="545A32FC"/>
    <w:rsid w:val="547D6E0D"/>
    <w:rsid w:val="55382DBA"/>
    <w:rsid w:val="55596194"/>
    <w:rsid w:val="56A54B82"/>
    <w:rsid w:val="584110E8"/>
    <w:rsid w:val="587C329C"/>
    <w:rsid w:val="595B205E"/>
    <w:rsid w:val="5A4777C5"/>
    <w:rsid w:val="5A6E001E"/>
    <w:rsid w:val="5AE71C9E"/>
    <w:rsid w:val="5CD36D91"/>
    <w:rsid w:val="5DEC7787"/>
    <w:rsid w:val="5DFE7766"/>
    <w:rsid w:val="60D904D8"/>
    <w:rsid w:val="60F93F09"/>
    <w:rsid w:val="646461A1"/>
    <w:rsid w:val="65D31C24"/>
    <w:rsid w:val="6634293C"/>
    <w:rsid w:val="669F4579"/>
    <w:rsid w:val="680678AC"/>
    <w:rsid w:val="683E0693"/>
    <w:rsid w:val="685E7C65"/>
    <w:rsid w:val="68AB5C34"/>
    <w:rsid w:val="694279A9"/>
    <w:rsid w:val="698F00A6"/>
    <w:rsid w:val="6A670A41"/>
    <w:rsid w:val="6A800692"/>
    <w:rsid w:val="6AA92F34"/>
    <w:rsid w:val="6BAC3EA4"/>
    <w:rsid w:val="6BF3478F"/>
    <w:rsid w:val="6D370E4B"/>
    <w:rsid w:val="6DE10695"/>
    <w:rsid w:val="6E0B49D4"/>
    <w:rsid w:val="6E6658CD"/>
    <w:rsid w:val="6E7E61B3"/>
    <w:rsid w:val="6F1A55B9"/>
    <w:rsid w:val="6F9841D5"/>
    <w:rsid w:val="711B411C"/>
    <w:rsid w:val="7392213F"/>
    <w:rsid w:val="739F5CC0"/>
    <w:rsid w:val="73F75A9D"/>
    <w:rsid w:val="748F3673"/>
    <w:rsid w:val="755C54CB"/>
    <w:rsid w:val="762B73A9"/>
    <w:rsid w:val="772F4719"/>
    <w:rsid w:val="773504DF"/>
    <w:rsid w:val="77FD6A1D"/>
    <w:rsid w:val="78667688"/>
    <w:rsid w:val="79B62264"/>
    <w:rsid w:val="7A192AA7"/>
    <w:rsid w:val="7B395E66"/>
    <w:rsid w:val="7C0B3B0A"/>
    <w:rsid w:val="7C4831AB"/>
    <w:rsid w:val="7CA6287C"/>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1"/>
    <w:pPr>
      <w:autoSpaceDE w:val="0"/>
      <w:autoSpaceDN w:val="0"/>
      <w:jc w:val="left"/>
    </w:pPr>
    <w:rPr>
      <w:rFonts w:ascii="宋体" w:hAnsi="宋体" w:eastAsia="宋体" w:cs="宋体"/>
      <w:kern w:val="0"/>
      <w:sz w:val="17"/>
      <w:szCs w:val="17"/>
      <w:lang w:val="zh-CN" w:bidi="zh-CN"/>
    </w:rPr>
  </w:style>
  <w:style w:type="paragraph" w:styleId="3">
    <w:name w:val="Body Text First Indent"/>
    <w:basedOn w:val="1"/>
    <w:autoRedefine/>
    <w:qFormat/>
    <w:uiPriority w:val="0"/>
    <w:pPr>
      <w:ind w:firstLine="420"/>
    </w:pPr>
    <w:rPr>
      <w:rFonts w:ascii="Calibri" w:hAnsi="Calibri" w:eastAsia="宋体" w:cs="Times New Roman"/>
    </w:rPr>
  </w:style>
  <w:style w:type="paragraph" w:styleId="6">
    <w:name w:val="Plain Text"/>
    <w:basedOn w:val="1"/>
    <w:autoRedefine/>
    <w:qFormat/>
    <w:uiPriority w:val="0"/>
    <w:rPr>
      <w:rFonts w:ascii="宋体" w:hAnsi="Courier New" w:cs="Courier New"/>
      <w:szCs w:val="21"/>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table" w:styleId="12">
    <w:name w:val="Table Grid"/>
    <w:basedOn w:val="11"/>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rPr>
  </w:style>
  <w:style w:type="character" w:styleId="15">
    <w:name w:val="Emphasis"/>
    <w:autoRedefine/>
    <w:qFormat/>
    <w:uiPriority w:val="20"/>
    <w:rPr>
      <w:i/>
      <w:iCs/>
    </w:rPr>
  </w:style>
  <w:style w:type="character" w:customStyle="1" w:styleId="16">
    <w:name w:val="页眉 Char"/>
    <w:basedOn w:val="13"/>
    <w:link w:val="8"/>
    <w:autoRedefine/>
    <w:qFormat/>
    <w:uiPriority w:val="99"/>
    <w:rPr>
      <w:sz w:val="18"/>
      <w:szCs w:val="18"/>
    </w:rPr>
  </w:style>
  <w:style w:type="character" w:customStyle="1" w:styleId="17">
    <w:name w:val="页脚 Char"/>
    <w:basedOn w:val="13"/>
    <w:link w:val="7"/>
    <w:qFormat/>
    <w:uiPriority w:val="99"/>
    <w:rPr>
      <w:sz w:val="18"/>
      <w:szCs w:val="18"/>
    </w:rPr>
  </w:style>
  <w:style w:type="paragraph" w:customStyle="1" w:styleId="18">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19">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0">
    <w:name w:val="NormalCharacter"/>
    <w:autoRedefine/>
    <w:semiHidden/>
    <w:qFormat/>
    <w:uiPriority w:val="0"/>
  </w:style>
  <w:style w:type="character" w:customStyle="1" w:styleId="21">
    <w:name w:val="font31"/>
    <w:basedOn w:val="13"/>
    <w:autoRedefine/>
    <w:qFormat/>
    <w:uiPriority w:val="0"/>
    <w:rPr>
      <w:rFonts w:hint="eastAsia" w:ascii="宋体" w:hAnsi="宋体" w:eastAsia="宋体" w:cs="宋体"/>
      <w:color w:val="000000"/>
      <w:sz w:val="24"/>
      <w:szCs w:val="24"/>
      <w:u w:val="none"/>
    </w:rPr>
  </w:style>
  <w:style w:type="character" w:customStyle="1" w:styleId="22">
    <w:name w:val="font11"/>
    <w:basedOn w:val="13"/>
    <w:autoRedefine/>
    <w:qFormat/>
    <w:uiPriority w:val="0"/>
    <w:rPr>
      <w:rFonts w:hint="eastAsia" w:ascii="宋体" w:hAnsi="宋体" w:eastAsia="宋体" w:cs="宋体"/>
      <w:color w:val="000000"/>
      <w:sz w:val="24"/>
      <w:szCs w:val="24"/>
      <w:u w:val="none"/>
    </w:rPr>
  </w:style>
  <w:style w:type="character" w:customStyle="1" w:styleId="23">
    <w:name w:val="font41"/>
    <w:basedOn w:val="13"/>
    <w:autoRedefine/>
    <w:qFormat/>
    <w:uiPriority w:val="0"/>
    <w:rPr>
      <w:rFonts w:hint="eastAsia" w:ascii="宋体" w:hAnsi="宋体" w:eastAsia="宋体" w:cs="宋体"/>
      <w:b/>
      <w:bCs/>
      <w:color w:val="000000"/>
      <w:sz w:val="24"/>
      <w:szCs w:val="24"/>
      <w:u w:val="none"/>
    </w:rPr>
  </w:style>
  <w:style w:type="character" w:customStyle="1" w:styleId="24">
    <w:name w:val="Anrede1IhrZeichen"/>
    <w:autoRedefine/>
    <w:qFormat/>
    <w:uiPriority w:val="0"/>
    <w:rPr>
      <w:rFonts w:hint="default" w:ascii="Arial" w:hAnsi="Arial"/>
      <w:sz w:val="20"/>
    </w:rPr>
  </w:style>
  <w:style w:type="paragraph" w:customStyle="1" w:styleId="25">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26">
    <w:name w:val="Plain Text1"/>
    <w:basedOn w:val="27"/>
    <w:autoRedefine/>
    <w:qFormat/>
    <w:uiPriority w:val="0"/>
    <w:pPr>
      <w:widowControl/>
      <w:jc w:val="left"/>
    </w:pPr>
    <w:rPr>
      <w:rFonts w:ascii="宋体" w:hAnsi="Courier New"/>
    </w:rPr>
  </w:style>
  <w:style w:type="paragraph" w:customStyle="1" w:styleId="27">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8">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12</Pages>
  <Words>6607</Words>
  <Characters>6852</Characters>
  <Lines>6</Lines>
  <Paragraphs>1</Paragraphs>
  <TotalTime>1</TotalTime>
  <ScaleCrop>false</ScaleCrop>
  <LinksUpToDate>false</LinksUpToDate>
  <CharactersWithSpaces>7239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咔咔</cp:lastModifiedBy>
  <dcterms:modified xsi:type="dcterms:W3CDTF">2024-05-21T06:42:53Z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2052-12.1.0.16729</vt:lpwstr>
  </property>
  <property fmtid="{D5CDD505-2E9C-101B-9397-08002B2CF9AE}" pid="4" name="ICV">
    <vt:lpwstr>99012001CC8449E1B44B4987A03F7E88</vt:lpwstr>
  </property>
</Properties>
</file>