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300" w:lineRule="exact"/>
        <w:jc w:val="center"/>
        <w:rPr>
          <w:rFonts w:hint="eastAsia"/>
          <w:b/>
          <w:bCs/>
          <w:sz w:val="32"/>
          <w:szCs w:val="32"/>
        </w:rPr>
      </w:pPr>
      <w:bookmarkStart w:id="0" w:name="_Toc451522337"/>
      <w:r>
        <w:rPr>
          <w:rFonts w:hint="eastAsia" w:ascii="宋体" w:hAnsi="宋体" w:eastAsia="宋体" w:cs="宋体"/>
          <w:color w:val="000000"/>
          <w:sz w:val="32"/>
          <w:szCs w:val="32"/>
        </w:rPr>
        <w:t>温州市中医院</w:t>
      </w:r>
      <w:r>
        <w:rPr>
          <w:rFonts w:hint="eastAsia" w:hAnsi="宋体" w:cs="宋体"/>
          <w:color w:val="000000"/>
          <w:sz w:val="32"/>
          <w:szCs w:val="32"/>
          <w:lang w:val="en-US" w:eastAsia="zh-CN"/>
        </w:rPr>
        <w:t>一批腹腔镜器械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采购</w:t>
      </w:r>
      <w:bookmarkEnd w:id="0"/>
      <w:r>
        <w:rPr>
          <w:rFonts w:hint="eastAsia" w:hAnsi="宋体" w:cs="宋体"/>
          <w:color w:val="000000"/>
          <w:sz w:val="32"/>
          <w:szCs w:val="32"/>
          <w:lang w:val="en-US" w:eastAsia="zh-CN"/>
        </w:rPr>
        <w:t>项目遴选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温州市中医院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一批腹腔镜器械采购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采购方式：公开遴选（非政府采购）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预算金额：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47000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元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项目内容及要求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腹腔镜器械</w:t>
      </w:r>
    </w:p>
    <w:tbl>
      <w:tblPr>
        <w:tblStyle w:val="18"/>
        <w:tblW w:w="15180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55"/>
        <w:gridCol w:w="1440"/>
        <w:gridCol w:w="1485"/>
        <w:gridCol w:w="2085"/>
        <w:gridCol w:w="4755"/>
        <w:gridCol w:w="1050"/>
        <w:gridCol w:w="99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产品名称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型号规格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编号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4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产品要求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建议品牌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持针钳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O型 Φ5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101.022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直头，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合金钳头Φ5×330</w:t>
            </w:r>
          </w:p>
        </w:tc>
        <w:tc>
          <w:tcPr>
            <w:tcW w:w="47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1.持针钳夹持性能：φ5mm外径的钳子夹持力不小于20N。钳头采用ASTM F899-09种的630号钢制造，杆部与患者接触材料采用YY/T0294.1-2016中M号钢制造。硬度为300HV0.2-600HV0.2（或29.8HRC-55.2HRC）。器械进入人体部分表面粗糙度：抛光表面Ra参数值的最大值为0.2μm，亚光表面Ra参数值的最大值为0.8μm，其余部分的最大值为1.6μm。耐腐蚀性能不低于YY/T0149-2006中5.4b级的规定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2、规格有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5，工作长度330mm。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手柄为V型，钳头为直头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康基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O型 Φ5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101.022A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弯头，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合金钳头Φ5×330</w:t>
            </w:r>
          </w:p>
        </w:tc>
        <w:tc>
          <w:tcPr>
            <w:tcW w:w="47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1、持针钳夹持性能：φ5mm外径的钳子夹持力不小于20N。钳头采用ASTM F899-09种的630号钢制造，杆部与患者接触材料采用YY/T0294.1-2016中M号钢制造。硬度为300HV0.2-600HV0.2（或29.8HRC-55.2HRC）。器械进入人体部分表面粗糙度：抛光表面Ra参数值的最大值为0.2μm，亚光表面Ra参数值的最大值为0.8μm，其余部分的最大值为1.6μm。耐腐蚀性能不低于YY/T0149-2006中5.4b级的规定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2、规格有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5，工作长度330mm。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3、手柄为V型，钳头为弯头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康基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钛夹钳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Φ10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101.001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中大3#</w:t>
            </w:r>
          </w:p>
        </w:tc>
        <w:tc>
          <w:tcPr>
            <w:tcW w:w="4755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钛夹钳夹持性能：φ10mm外径钳子夹持力不小于40N。头部采用ASTM F899-09种的630号钢制造，杆部与患者接触的材料采用YY/T0294.1-2016中M号钢制造。钛夹钳硬度为300HV0.2-600HV0.2（或29.8HRC-55.2HRC）。器械进入人体部分表面粗糙度：抛光表面Ra参数值的最大值为0.2μm，亚光表面Ra参数值的最大值为0.8μm，其余部分的最大值为1.6μm。耐腐蚀性能不低于YY/T0149-2006中5.4b级的规定。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规格有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10，工作长度330mm，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可360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旋转，满足腔镜手术的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各种角度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需要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头部微弯曲设计，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可以保证良好的手术视野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康基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>医用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拉钩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肝脏拉钩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I型 Φ10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101.237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可弯Φ10×350</w:t>
            </w:r>
          </w:p>
        </w:tc>
        <w:tc>
          <w:tcPr>
            <w:tcW w:w="4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1、肝脏拉钩采用YY/T0294.1-2016中M号钢制造。器械进入人体部分表面粗糙度：抛光表面Ra参数值的最大值为0.2μm，表面Ra参数值的最大值为0.8μm，其余部分的最大值为1.6μm。器械的耐腐蚀性能不低于YY/T0149-2006 中 5.4b 级的规定。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2、规格Φ10，工作长度350mm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康基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单极分离钳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DJ-FL05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101.041A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直角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Φ10×330,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90°</w:t>
            </w:r>
          </w:p>
        </w:tc>
        <w:tc>
          <w:tcPr>
            <w:tcW w:w="4755" w:type="dxa"/>
            <w:vMerge w:val="restart"/>
            <w:noWrap w:val="0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分离钳夹持性能：φ10mm外径钳子夹持力不小于40N。钳头采用ASTM F899-09种的630号钢制造，杆部与患者接触材料采用YY/T0294.1-2016中M号钢制造。硬度为300HV0.2-600HV0.2（或29.8HRC-55.2HRC）。器械进入人体部分表面粗糙度：抛光表面Ra参数值的最大值为0.2μm，亚光表面Ra参数值的最大值为0.8μm，其余部分的最大值为1.6μm。耐腐蚀性能不低于YY/T0149-2006中5.4b级的规定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2、规格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10，工作长度330mm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康基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单极分离钳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DJ-FL05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101.041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Φ10×330,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60°</w:t>
            </w:r>
          </w:p>
        </w:tc>
        <w:tc>
          <w:tcPr>
            <w:tcW w:w="4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康基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单极分离钳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DJ-FL05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/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Φ10×330,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75°</w:t>
            </w:r>
          </w:p>
        </w:tc>
        <w:tc>
          <w:tcPr>
            <w:tcW w:w="47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康基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扇形钳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五叶扇形钳Φ10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101.074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直柄Φ10×350</w:t>
            </w:r>
          </w:p>
        </w:tc>
        <w:tc>
          <w:tcPr>
            <w:tcW w:w="47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1、扇形钳夹持性能：φ10mm外径钳子夹持力不小于40N。钳头采用ASTM F899-09种的630号钢制造，杆部与患者接触材料采用YY/T0294.1-2016中M号钢制造。硬度为200HV0.2-400HV0.2。器械进入人体部分表面粗糙度：抛光表面Ra参数值的最大值为0.2μm，亚光表面Ra参数值的最大值为0.8μm，其余部分的最大值为1.6μm。耐腐蚀性能不低于YY/T0149-2006中5.4b级的规定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2、头部可承受不小于10N的托举力，关节调节过程轻松顺利。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3、规格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10，工作长度350mm。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4、钳头为五叶扇形可弯曲，适合腹腔内各组织的提、挡、托、举等动作。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康基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left"/>
        <w:textAlignment w:val="auto"/>
        <w:rPr>
          <w:rFonts w:hint="default" w:ascii="宋体" w:hAnsi="宋体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注：1、投标人需自行选择其中一个品牌进行投标，</w:t>
      </w:r>
      <w:r>
        <w:rPr>
          <w:rFonts w:hint="eastAsia" w:ascii="宋体" w:hAnsi="宋体" w:eastAsia="宋体" w:cs="宋体"/>
          <w:color w:val="FF0000"/>
          <w:sz w:val="22"/>
          <w:szCs w:val="22"/>
        </w:rPr>
        <w:t>在满足产品要求的前提下，</w:t>
      </w:r>
      <w:r>
        <w:rPr>
          <w:rFonts w:hint="eastAsia" w:ascii="宋体" w:hAnsi="宋体" w:eastAsia="宋体" w:cs="宋体"/>
          <w:b/>
          <w:bCs/>
          <w:color w:val="FF0000"/>
          <w:sz w:val="22"/>
          <w:szCs w:val="22"/>
          <w:u w:val="single"/>
        </w:rPr>
        <w:t>投标不仅限于上方表格中的建议品牌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p>
      <w:pPr>
        <w:spacing w:line="360" w:lineRule="auto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三、主要商务要求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、付款方式：合同中所有产品到货验收合格后，投标商开具单张发票，采购人在收到发票后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3个月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 xml:space="preserve">内一次性支付合同款项。   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 xml:space="preserve">、发货时间：接到采购人发货通知后5个工作日内到达指定地点。          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、到货地点：温州市中医院指定地点。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、质保期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.1中标人对提交的所有产品免费质保期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≥1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年，质保期从每批次货物验收合格交付使用之日起算。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.2质保期内，由于产品自身原因出现问题，由中标人免费更换，并达到合同约定的质量要求，中标人应该在收到院方更换通知24小时内解决处理。</w:t>
      </w:r>
    </w:p>
    <w:p>
      <w:pPr>
        <w:spacing w:line="360" w:lineRule="auto"/>
        <w:ind w:firstLine="420" w:firstLineChars="200"/>
        <w:rPr>
          <w:rFonts w:hint="eastAsia" w:ascii="宋体" w:hAnsi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、发货前，中标供应商须提供该批次产品的检测合格报告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或合格证书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。</w:t>
      </w:r>
    </w:p>
    <w:p>
      <w:pPr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Style w:val="20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1、商务技术分（0-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7"/>
        <w:tblW w:w="130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2639"/>
        <w:gridCol w:w="997"/>
        <w:gridCol w:w="79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评定项目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7925" w:type="dxa"/>
            <w:noWrap w:val="0"/>
            <w:vAlign w:val="center"/>
          </w:tcPr>
          <w:p>
            <w:pPr>
              <w:ind w:left="105" w:leftChars="50" w:right="10" w:rightChars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对应于招标文件设备技术规格及配置的偏离度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7925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与招标文件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技术规格及配置、商务要求对比，一项指标负偏离扣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分，扣完为止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的档次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925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投标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在产品系列中属高档产品的，得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8-11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分；属中等档次产品的，得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4-7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分；属低档产品的，得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0-3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保修服务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25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产品质保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期超过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遴选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文件要求的，每增加1年加1分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增加部分不足1年的不计分。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投标产品总体质量性能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925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投标产品在临床上的使用情况、稳定性、故障率等总体质量性能综合评价。</w:t>
            </w:r>
          </w:p>
          <w:p>
            <w:pPr>
              <w:ind w:left="105" w:leftChars="50" w:right="10" w:rightChars="5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A档：6-8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B档：3-5分；C档：0-2分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市场占有率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25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温州市或浙江省内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年1月1日起至今与最终用户签订的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同类项目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合同复印件，每份有效合同得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分，最多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分。（与同一采购人签订的多份合同或协议视为一个业绩）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制造商或代理商的售后服务和维修能力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925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制造商或代理商的售后服务和维修能力，服务响应速度、服务人员水平、备品备件配置等综合评价。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0-3分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</w:tr>
    </w:tbl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价格分（0-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价格分采用低价优先法计算，即满足招标文件要求且投标报价最低的投标报价为评标基准价，其得分为满分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分。其他投标人的价格分按照下列公式计算：</w:t>
      </w:r>
    </w:p>
    <w:p>
      <w:pPr>
        <w:spacing w:line="360" w:lineRule="auto"/>
        <w:ind w:firstLine="420" w:firstLineChars="200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sz w:val="21"/>
          <w:szCs w:val="21"/>
        </w:rPr>
        <w:t>价格分=（评标基准价/投标报价）×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%×100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（1）报价一览表</w:t>
      </w:r>
    </w:p>
    <w:p>
      <w:pPr>
        <w:autoSpaceDE w:val="0"/>
        <w:autoSpaceDN w:val="0"/>
        <w:spacing w:line="360" w:lineRule="auto"/>
        <w:ind w:right="893" w:firstLine="220" w:firstLineChars="100"/>
        <w:textAlignment w:val="bottom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温州市中医院一批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腹腔镜器械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采购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                              </w:t>
      </w:r>
    </w:p>
    <w:tbl>
      <w:tblPr>
        <w:tblStyle w:val="17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604"/>
        <w:gridCol w:w="1147"/>
        <w:gridCol w:w="3229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报价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人民币元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2604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一批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腹腔镜器械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采购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一批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2604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3229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</w:tbl>
    <w:p>
      <w:pPr>
        <w:spacing w:line="450" w:lineRule="exact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说明：不提供此表格将被视为没有实质性响应</w:t>
      </w: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遴选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pStyle w:val="7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/>
        <w:keepLines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outlineLvl w:val="3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分项报价表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3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温州市中医院一批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腹腔镜器械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采购</w:t>
      </w:r>
    </w:p>
    <w:tbl>
      <w:tblPr>
        <w:tblStyle w:val="18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877"/>
        <w:gridCol w:w="855"/>
        <w:gridCol w:w="840"/>
        <w:gridCol w:w="1305"/>
        <w:gridCol w:w="1230"/>
        <w:gridCol w:w="124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产品名称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投标品牌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投标型号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持针钳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弯）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持针钳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直）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钛夹钳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医用拉钩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单极分离钳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>90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单极分离钳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75°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单极分离钳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</w:t>
            </w:r>
            <w:bookmarkStart w:id="1" w:name="_GoBack"/>
            <w:bookmarkEnd w:id="1"/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扇形钳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78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报价合计（元）：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pStyle w:val="1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>投标人</w:t>
      </w:r>
      <w:r>
        <w:rPr>
          <w:rFonts w:hint="eastAsia"/>
        </w:rPr>
        <w:t>全称（盖章）：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>投标人</w:t>
      </w:r>
      <w:r>
        <w:rPr>
          <w:rFonts w:hint="eastAsia"/>
        </w:rPr>
        <w:t>代表（签字）：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日   期：  </w:t>
      </w: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spacing w:line="380" w:lineRule="exact"/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236" w:right="850" w:bottom="1236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ACCD5B"/>
    <w:multiLevelType w:val="singleLevel"/>
    <w:tmpl w:val="A8ACC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D70B8C"/>
    <w:multiLevelType w:val="singleLevel"/>
    <w:tmpl w:val="D7D70B8C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EE4C11E3"/>
    <w:multiLevelType w:val="singleLevel"/>
    <w:tmpl w:val="EE4C11E3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280596BD"/>
    <w:multiLevelType w:val="singleLevel"/>
    <w:tmpl w:val="280596B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E0ABC9C"/>
    <w:multiLevelType w:val="singleLevel"/>
    <w:tmpl w:val="4E0ABC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16E4912"/>
    <w:rsid w:val="02DC2E18"/>
    <w:rsid w:val="03BC4EA5"/>
    <w:rsid w:val="03C84B20"/>
    <w:rsid w:val="04B15D87"/>
    <w:rsid w:val="061E2864"/>
    <w:rsid w:val="076646E5"/>
    <w:rsid w:val="084B5379"/>
    <w:rsid w:val="09CB578A"/>
    <w:rsid w:val="0AF67B2D"/>
    <w:rsid w:val="0F427144"/>
    <w:rsid w:val="0F9C6A6C"/>
    <w:rsid w:val="1124087B"/>
    <w:rsid w:val="11BD13A5"/>
    <w:rsid w:val="11C444E1"/>
    <w:rsid w:val="130D1F16"/>
    <w:rsid w:val="15F0193F"/>
    <w:rsid w:val="164F0BE8"/>
    <w:rsid w:val="16586A57"/>
    <w:rsid w:val="16EF2001"/>
    <w:rsid w:val="1781499D"/>
    <w:rsid w:val="17B96491"/>
    <w:rsid w:val="1A9B5FFB"/>
    <w:rsid w:val="1B951E05"/>
    <w:rsid w:val="1C424981"/>
    <w:rsid w:val="1DE81558"/>
    <w:rsid w:val="1F156741"/>
    <w:rsid w:val="203F5CE6"/>
    <w:rsid w:val="20AE3318"/>
    <w:rsid w:val="21DA38AD"/>
    <w:rsid w:val="25270BB7"/>
    <w:rsid w:val="252A6495"/>
    <w:rsid w:val="263537A8"/>
    <w:rsid w:val="26614AE7"/>
    <w:rsid w:val="26A36964"/>
    <w:rsid w:val="28A76821"/>
    <w:rsid w:val="2C0B329E"/>
    <w:rsid w:val="2C8B760D"/>
    <w:rsid w:val="2CD05FD9"/>
    <w:rsid w:val="2DCF6290"/>
    <w:rsid w:val="2EE23DA1"/>
    <w:rsid w:val="30AB4D93"/>
    <w:rsid w:val="30C82B42"/>
    <w:rsid w:val="31006A63"/>
    <w:rsid w:val="32080E22"/>
    <w:rsid w:val="32B34230"/>
    <w:rsid w:val="32E87DD1"/>
    <w:rsid w:val="33F15215"/>
    <w:rsid w:val="35584BB1"/>
    <w:rsid w:val="36F20F59"/>
    <w:rsid w:val="36FF0897"/>
    <w:rsid w:val="38620F4A"/>
    <w:rsid w:val="3A06303A"/>
    <w:rsid w:val="3A5C534F"/>
    <w:rsid w:val="3A766411"/>
    <w:rsid w:val="3AA307AA"/>
    <w:rsid w:val="3AD2116E"/>
    <w:rsid w:val="3AF7062E"/>
    <w:rsid w:val="3C990195"/>
    <w:rsid w:val="3D4A148F"/>
    <w:rsid w:val="3D51281E"/>
    <w:rsid w:val="3D766728"/>
    <w:rsid w:val="3F351791"/>
    <w:rsid w:val="42417305"/>
    <w:rsid w:val="43F47C2B"/>
    <w:rsid w:val="442D7AA8"/>
    <w:rsid w:val="45B222C8"/>
    <w:rsid w:val="46AB0BAA"/>
    <w:rsid w:val="47794215"/>
    <w:rsid w:val="486A2A9C"/>
    <w:rsid w:val="4B86017E"/>
    <w:rsid w:val="4BB23021"/>
    <w:rsid w:val="4BB26B7D"/>
    <w:rsid w:val="4E571C5E"/>
    <w:rsid w:val="4F6508FF"/>
    <w:rsid w:val="4F835253"/>
    <w:rsid w:val="4FB149B9"/>
    <w:rsid w:val="50430A48"/>
    <w:rsid w:val="50810E77"/>
    <w:rsid w:val="5211576E"/>
    <w:rsid w:val="522B1438"/>
    <w:rsid w:val="52957526"/>
    <w:rsid w:val="539C47DE"/>
    <w:rsid w:val="57A36574"/>
    <w:rsid w:val="589917F1"/>
    <w:rsid w:val="58D72375"/>
    <w:rsid w:val="5A1D1FAE"/>
    <w:rsid w:val="5A2A3748"/>
    <w:rsid w:val="5CC11316"/>
    <w:rsid w:val="5CEE0127"/>
    <w:rsid w:val="5DA16A52"/>
    <w:rsid w:val="5DAF6DF6"/>
    <w:rsid w:val="5EEC01A1"/>
    <w:rsid w:val="61E865CA"/>
    <w:rsid w:val="63750765"/>
    <w:rsid w:val="64F466B7"/>
    <w:rsid w:val="654C0859"/>
    <w:rsid w:val="65B0017A"/>
    <w:rsid w:val="661D01D6"/>
    <w:rsid w:val="677734BF"/>
    <w:rsid w:val="68F24605"/>
    <w:rsid w:val="6AA45DD3"/>
    <w:rsid w:val="6AD77E43"/>
    <w:rsid w:val="6ED17E61"/>
    <w:rsid w:val="6FA3415F"/>
    <w:rsid w:val="712E3A4E"/>
    <w:rsid w:val="71BA3A22"/>
    <w:rsid w:val="71CD3E62"/>
    <w:rsid w:val="724D0AFE"/>
    <w:rsid w:val="72E83474"/>
    <w:rsid w:val="72F62F44"/>
    <w:rsid w:val="7305227F"/>
    <w:rsid w:val="75A35A24"/>
    <w:rsid w:val="764A3CD3"/>
    <w:rsid w:val="765468FF"/>
    <w:rsid w:val="78362761"/>
    <w:rsid w:val="78B35B5F"/>
    <w:rsid w:val="78BC52C2"/>
    <w:rsid w:val="79F966D5"/>
    <w:rsid w:val="7A376099"/>
    <w:rsid w:val="7B5F1FCE"/>
    <w:rsid w:val="7D531607"/>
    <w:rsid w:val="7DBF4FA6"/>
    <w:rsid w:val="7E036272"/>
    <w:rsid w:val="7E7A2C7B"/>
    <w:rsid w:val="7EEE556E"/>
    <w:rsid w:val="7EFA0DDF"/>
    <w:rsid w:val="7F0817C6"/>
    <w:rsid w:val="7FE128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7"/>
    <w:autoRedefine/>
    <w:qFormat/>
    <w:uiPriority w:val="0"/>
    <w:pPr>
      <w:spacing w:after="120" w:afterLines="0"/>
    </w:pPr>
  </w:style>
  <w:style w:type="paragraph" w:styleId="7">
    <w:name w:val="Body Text First Indent"/>
    <w:basedOn w:val="6"/>
    <w:next w:val="8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8">
    <w:name w:val="toc 6"/>
    <w:basedOn w:val="1"/>
    <w:next w:val="1"/>
    <w:autoRedefine/>
    <w:qFormat/>
    <w:uiPriority w:val="0"/>
    <w:pPr>
      <w:ind w:left="2100" w:leftChars="1000"/>
    </w:pPr>
  </w:style>
  <w:style w:type="paragraph" w:styleId="9">
    <w:name w:val="Body Text Indent"/>
    <w:basedOn w:val="1"/>
    <w:next w:val="10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10">
    <w:name w:val="Body Text First Indent 2"/>
    <w:basedOn w:val="9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11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12">
    <w:name w:val="footer"/>
    <w:basedOn w:val="1"/>
    <w:link w:val="2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table" w:styleId="18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</w:rPr>
  </w:style>
  <w:style w:type="character" w:styleId="21">
    <w:name w:val="page number"/>
    <w:autoRedefine/>
    <w:qFormat/>
    <w:uiPriority w:val="0"/>
  </w:style>
  <w:style w:type="paragraph" w:customStyle="1" w:styleId="22">
    <w:name w:val="BodyText1I"/>
    <w:basedOn w:val="23"/>
    <w:autoRedefine/>
    <w:qFormat/>
    <w:uiPriority w:val="0"/>
    <w:pPr>
      <w:ind w:firstLine="420" w:firstLineChars="100"/>
    </w:pPr>
  </w:style>
  <w:style w:type="paragraph" w:customStyle="1" w:styleId="23">
    <w:name w:val="BodyText"/>
    <w:basedOn w:val="1"/>
    <w:autoRedefine/>
    <w:qFormat/>
    <w:uiPriority w:val="0"/>
    <w:pPr>
      <w:spacing w:after="120"/>
    </w:pPr>
  </w:style>
  <w:style w:type="paragraph" w:customStyle="1" w:styleId="24">
    <w:name w:val="表格文字"/>
    <w:basedOn w:val="1"/>
    <w:next w:val="6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5">
    <w:name w:val="页眉 Char"/>
    <w:basedOn w:val="19"/>
    <w:link w:val="13"/>
    <w:autoRedefine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19"/>
    <w:link w:val="12"/>
    <w:autoRedefine/>
    <w:qFormat/>
    <w:uiPriority w:val="0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2033</Words>
  <Characters>2299</Characters>
  <Lines>17</Lines>
  <Paragraphs>4</Paragraphs>
  <TotalTime>0</TotalTime>
  <ScaleCrop>false</ScaleCrop>
  <LinksUpToDate>false</LinksUpToDate>
  <CharactersWithSpaces>2342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cp:lastPrinted>2024-05-21T02:51:31Z</cp:lastPrinted>
  <dcterms:modified xsi:type="dcterms:W3CDTF">2024-05-21T02:52:15Z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BDC350B777C44DFDACB8FBB696258D1E</vt:lpwstr>
  </property>
</Properties>
</file>