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numPr>
          <w:ilvl w:val="0"/>
          <w:numId w:val="0"/>
        </w:numPr>
        <w:suppressLineNumbers w:val="0"/>
        <w:spacing w:before="255" w:beforeAutospacing="0" w:after="255" w:afterAutospacing="0" w:line="300" w:lineRule="atLeast"/>
        <w:ind w:leftChars="0" w:right="0" w:rightChars="0" w:firstLine="361" w:firstLineChars="100"/>
        <w:jc w:val="center"/>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sz w:val="36"/>
          <w:szCs w:val="36"/>
          <w:lang w:val="en-US" w:eastAsia="zh-CN"/>
        </w:rPr>
        <w:t>显微镜询价要求</w:t>
      </w:r>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cstheme="minorEastAsia"/>
          <w:b/>
          <w:bCs/>
          <w:kern w:val="2"/>
          <w:sz w:val="32"/>
          <w:szCs w:val="32"/>
          <w:lang w:val="en-US" w:eastAsia="zh-CN" w:bidi="ar-SA"/>
        </w:rPr>
        <w:t>项目基本情况：</w:t>
      </w:r>
    </w:p>
    <w:p>
      <w:pPr>
        <w:pStyle w:val="8"/>
        <w:keepNext w:val="0"/>
        <w:keepLines w:val="0"/>
        <w:widowControl/>
        <w:numPr>
          <w:numId w:val="0"/>
        </w:numPr>
        <w:suppressLineNumbers w:val="0"/>
        <w:spacing w:before="255" w:beforeAutospacing="0" w:after="255" w:afterAutospacing="0" w:line="300" w:lineRule="atLeast"/>
        <w:ind w:leftChars="0" w:right="0" w:rightChars="0"/>
        <w:jc w:val="both"/>
        <w:rPr>
          <w:rStyle w:val="14"/>
          <w:rFonts w:hint="eastAsia" w:asciiTheme="minorEastAsia" w:hAnsiTheme="minorEastAsia" w:eastAsiaTheme="minorEastAsia" w:cstheme="minorEastAsia"/>
          <w:b w:val="0"/>
          <w:bCs w:val="0"/>
          <w:kern w:val="2"/>
          <w:sz w:val="24"/>
          <w:szCs w:val="24"/>
          <w:lang w:val="en-US" w:eastAsia="zh-CN" w:bidi="ar-SA"/>
        </w:rPr>
      </w:pPr>
      <w:r>
        <w:rPr>
          <w:rStyle w:val="14"/>
          <w:rFonts w:hint="eastAsia" w:asciiTheme="minorEastAsia" w:hAnsiTheme="minorEastAsia" w:cstheme="minorEastAsia"/>
          <w:b w:val="0"/>
          <w:bCs w:val="0"/>
          <w:kern w:val="2"/>
          <w:sz w:val="24"/>
          <w:szCs w:val="24"/>
          <w:lang w:val="en-US" w:eastAsia="zh-CN" w:bidi="ar-SA"/>
        </w:rPr>
        <w:t>采购显微镜一台，预算3万元。</w:t>
      </w:r>
      <w:bookmarkStart w:id="0" w:name="_GoBack"/>
      <w:bookmarkEnd w:id="0"/>
    </w:p>
    <w:p>
      <w:pPr>
        <w:pStyle w:val="8"/>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4"/>
          <w:rFonts w:hint="eastAsia" w:asciiTheme="minorEastAsia" w:hAnsiTheme="minorEastAsia" w:eastAsiaTheme="minorEastAsia" w:cstheme="minorEastAsia"/>
          <w:b/>
          <w:bCs/>
          <w:kern w:val="2"/>
          <w:sz w:val="32"/>
          <w:szCs w:val="32"/>
          <w:lang w:val="en-US" w:eastAsia="zh-CN" w:bidi="ar-SA"/>
        </w:rPr>
      </w:pPr>
      <w:r>
        <w:rPr>
          <w:rStyle w:val="14"/>
          <w:rFonts w:hint="eastAsia" w:asciiTheme="minorEastAsia" w:hAnsiTheme="minorEastAsia" w:eastAsiaTheme="minorEastAsia" w:cstheme="minorEastAsia"/>
          <w:b/>
          <w:bCs/>
          <w:kern w:val="2"/>
          <w:sz w:val="32"/>
          <w:szCs w:val="32"/>
          <w:lang w:val="en-US" w:eastAsia="zh-CN" w:bidi="ar-SA"/>
        </w:rPr>
        <w:t>商务、技术参数偏离表</w:t>
      </w:r>
    </w:p>
    <w:tbl>
      <w:tblPr>
        <w:tblStyle w:val="1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6348"/>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1190" w:type="dxa"/>
            <w:tcBorders>
              <w:top w:val="single" w:color="auto" w:sz="12" w:space="0"/>
              <w:left w:val="single" w:color="auto" w:sz="12" w:space="0"/>
              <w:bottom w:val="single" w:color="auto" w:sz="12"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序号</w:t>
            </w:r>
          </w:p>
        </w:tc>
        <w:tc>
          <w:tcPr>
            <w:tcW w:w="6348" w:type="dxa"/>
            <w:tcBorders>
              <w:top w:val="single" w:color="auto" w:sz="12" w:space="0"/>
              <w:bottom w:val="single" w:color="auto" w:sz="12" w:space="0"/>
            </w:tcBorders>
            <w:noWrap w:val="0"/>
            <w:vAlign w:val="center"/>
          </w:tcPr>
          <w:p>
            <w:pPr>
              <w:widowControl/>
              <w:jc w:val="center"/>
              <w:rPr>
                <w:rFonts w:hint="eastAsia" w:ascii="宋体" w:hAnsi="宋体" w:cs="宋体"/>
                <w:b/>
                <w:bCs/>
                <w:szCs w:val="21"/>
              </w:rPr>
            </w:pPr>
            <w:r>
              <w:rPr>
                <w:rFonts w:hint="eastAsia" w:ascii="宋体" w:hAnsi="宋体" w:cs="宋体"/>
                <w:b/>
                <w:bCs/>
                <w:szCs w:val="21"/>
              </w:rPr>
              <w:t>技术要求</w:t>
            </w:r>
          </w:p>
        </w:tc>
        <w:tc>
          <w:tcPr>
            <w:tcW w:w="1492" w:type="dxa"/>
            <w:tcBorders>
              <w:top w:val="single" w:color="auto" w:sz="12" w:space="0"/>
              <w:bottom w:val="single" w:color="auto" w:sz="12" w:space="0"/>
              <w:right w:val="single" w:color="auto" w:sz="12" w:space="0"/>
            </w:tcBorders>
            <w:noWrap w:val="0"/>
            <w:vAlign w:val="center"/>
          </w:tcPr>
          <w:p>
            <w:pPr>
              <w:widowControl/>
              <w:ind w:left="843" w:hanging="843" w:hangingChars="400"/>
              <w:jc w:val="center"/>
              <w:rPr>
                <w:rFonts w:hint="eastAsia" w:ascii="宋体" w:hAnsi="宋体" w:cs="宋体"/>
                <w:b/>
                <w:bCs/>
                <w:szCs w:val="21"/>
              </w:rPr>
            </w:pPr>
            <w:r>
              <w:rPr>
                <w:rFonts w:hint="eastAsia" w:ascii="宋体" w:hAnsi="宋体" w:cs="宋体"/>
                <w:b/>
                <w:bCs/>
                <w:szCs w:val="21"/>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top w:val="single" w:color="auto" w:sz="12" w:space="0"/>
              <w:left w:val="single" w:color="auto" w:sz="12" w:space="0"/>
            </w:tcBorders>
            <w:noWrap w:val="0"/>
            <w:vAlign w:val="center"/>
          </w:tcPr>
          <w:p>
            <w:pPr>
              <w:jc w:val="center"/>
              <w:rPr>
                <w:rFonts w:hint="eastAsia" w:ascii="宋体" w:hAnsi="宋体" w:cs="宋体"/>
                <w:b/>
                <w:szCs w:val="21"/>
              </w:rPr>
            </w:pPr>
            <w:r>
              <w:rPr>
                <w:rFonts w:hint="eastAsia" w:ascii="宋体" w:hAnsi="宋体" w:cs="宋体"/>
                <w:b/>
                <w:szCs w:val="21"/>
              </w:rPr>
              <w:t>一</w:t>
            </w:r>
          </w:p>
        </w:tc>
        <w:tc>
          <w:tcPr>
            <w:tcW w:w="6348" w:type="dxa"/>
            <w:tcBorders>
              <w:top w:val="single" w:color="auto" w:sz="12" w:space="0"/>
            </w:tcBorders>
            <w:noWrap w:val="0"/>
            <w:vAlign w:val="center"/>
          </w:tcPr>
          <w:p>
            <w:pPr>
              <w:rPr>
                <w:rFonts w:hint="default" w:ascii="宋体" w:hAnsi="宋体" w:cs="宋体" w:eastAsiaTheme="minorEastAsia"/>
                <w:b/>
                <w:szCs w:val="21"/>
                <w:lang w:val="en-US" w:eastAsia="zh-CN"/>
              </w:rPr>
            </w:pPr>
            <w:r>
              <w:rPr>
                <w:rFonts w:hint="eastAsia" w:ascii="宋体" w:hAnsi="宋体" w:cs="宋体"/>
                <w:b/>
                <w:szCs w:val="21"/>
              </w:rPr>
              <w:t>总体要求：</w:t>
            </w:r>
            <w:r>
              <w:rPr>
                <w:rFonts w:hint="eastAsia" w:ascii="宋体" w:hAnsi="宋体" w:cs="宋体"/>
                <w:szCs w:val="21"/>
              </w:rPr>
              <w:t>显微镜 1台</w:t>
            </w:r>
          </w:p>
        </w:tc>
        <w:tc>
          <w:tcPr>
            <w:tcW w:w="1492" w:type="dxa"/>
            <w:tcBorders>
              <w:top w:val="single" w:color="auto" w:sz="12" w:space="0"/>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1.1.</w:t>
            </w:r>
          </w:p>
        </w:tc>
        <w:tc>
          <w:tcPr>
            <w:tcW w:w="6348" w:type="dxa"/>
            <w:noWrap w:val="0"/>
            <w:vAlign w:val="center"/>
          </w:tcPr>
          <w:p>
            <w:pPr>
              <w:rPr>
                <w:rFonts w:hint="eastAsia" w:ascii="宋体" w:hAnsi="宋体" w:cs="宋体"/>
                <w:szCs w:val="21"/>
              </w:rPr>
            </w:pPr>
            <w:r>
              <w:rPr>
                <w:rFonts w:hint="eastAsia" w:ascii="宋体" w:hAnsi="宋体" w:cs="宋体"/>
                <w:szCs w:val="21"/>
              </w:rPr>
              <w:t>该产品由显微镜主机一个、摄像头一个、软件一套等组成。</w:t>
            </w:r>
          </w:p>
        </w:tc>
        <w:tc>
          <w:tcPr>
            <w:tcW w:w="1492" w:type="dxa"/>
            <w:tcBorders>
              <w:right w:val="single" w:color="auto" w:sz="12" w:space="0"/>
            </w:tcBorders>
            <w:noWrap w:val="0"/>
            <w:vAlign w:val="center"/>
          </w:tcPr>
          <w:p>
            <w:pPr>
              <w:widowControl/>
              <w:spacing w:line="360" w:lineRule="exact"/>
              <w:ind w:left="843" w:hanging="843" w:hangingChars="400"/>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1.2.</w:t>
            </w:r>
          </w:p>
        </w:tc>
        <w:tc>
          <w:tcPr>
            <w:tcW w:w="6348" w:type="dxa"/>
            <w:noWrap w:val="0"/>
            <w:vAlign w:val="center"/>
          </w:tcPr>
          <w:p>
            <w:pPr>
              <w:rPr>
                <w:rFonts w:ascii="宋体" w:hAnsi="宋体" w:cs="宋体"/>
                <w:szCs w:val="21"/>
              </w:rPr>
            </w:pPr>
            <w:r>
              <w:rPr>
                <w:rFonts w:hint="eastAsia" w:ascii="宋体" w:hAnsi="宋体" w:cs="宋体"/>
                <w:szCs w:val="21"/>
              </w:rPr>
              <w:t>产品适用范围：可用于中药所显微鉴别。</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b/>
                <w:bCs/>
                <w:color w:val="000000"/>
                <w:szCs w:val="21"/>
              </w:rPr>
              <w:t>二</w:t>
            </w:r>
          </w:p>
        </w:tc>
        <w:tc>
          <w:tcPr>
            <w:tcW w:w="6348" w:type="dxa"/>
            <w:noWrap w:val="0"/>
            <w:vAlign w:val="center"/>
          </w:tcPr>
          <w:p>
            <w:pPr>
              <w:rPr>
                <w:rFonts w:hint="eastAsia" w:ascii="宋体" w:hAnsi="宋体" w:cs="宋体"/>
                <w:szCs w:val="21"/>
              </w:rPr>
            </w:pPr>
            <w:r>
              <w:rPr>
                <w:rFonts w:hint="eastAsia" w:ascii="宋体" w:hAnsi="宋体" w:cs="宋体"/>
                <w:szCs w:val="21"/>
              </w:rPr>
              <w:t>功能要求及技术参数：</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widowControl/>
              <w:jc w:val="center"/>
              <w:rPr>
                <w:rFonts w:hint="eastAsia" w:ascii="宋体" w:hAnsi="宋体" w:cs="宋体"/>
                <w:b/>
                <w:szCs w:val="21"/>
              </w:rPr>
            </w:pPr>
            <w:r>
              <w:rPr>
                <w:rFonts w:hint="eastAsia" w:ascii="宋体" w:hAnsi="宋体" w:cs="宋体"/>
                <w:color w:val="000000"/>
                <w:szCs w:val="21"/>
              </w:rPr>
              <w:t>2.1.</w:t>
            </w:r>
          </w:p>
        </w:tc>
        <w:tc>
          <w:tcPr>
            <w:tcW w:w="6348" w:type="dxa"/>
            <w:noWrap w:val="0"/>
            <w:vAlign w:val="center"/>
          </w:tcPr>
          <w:p>
            <w:pPr>
              <w:rPr>
                <w:rFonts w:hint="eastAsia" w:ascii="宋体" w:hAnsi="宋体" w:cs="宋体"/>
                <w:szCs w:val="21"/>
              </w:rPr>
            </w:pPr>
            <w:r>
              <w:rPr>
                <w:rFonts w:hint="eastAsia" w:ascii="宋体" w:hAnsi="宋体" w:cs="宋体"/>
                <w:szCs w:val="21"/>
              </w:rPr>
              <w:t>光学系统： NIS45无限远光学系统；可实现明场、暗场、相衬、荧光、简易偏光等观察方式；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2.2.</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放大倍数：40X-1000X</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2.3.</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照明系统：1W LED临界照明，提供50000小时的长寿命，耗电较少。同时减少蓝光，保留了样品的生动颜色。内置式非球面聚光透镜可以使图像在整个视场内获得明亮、均匀的照明。提供国家专利证书；</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2.4.</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调焦系统：低手位粗微同轴调焦机构，粗调张力环可根据个人喜好随意调节；载物台设有上限位装置，锁定后即可避免物镜与标本的意外碰触，从而防止损伤标本和物镜；</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2.5.</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目镜筒：内置一体化数码铰链式镜筒、内置500万像素，分辨率2592X1944，USB2.0输出，带正版ScopeImage9.0图像软件，提供国家版权局出具的软件著作权登记证书，曝光/白平衡/对比度等调节，图像拍照、录像、测量；镜筒倾角30º，360º可旋转，超大瞳距47-78mm，超大瞳距调节范围47-78mm，镜筒前部可向上旋转180度以提升眼点水平高度，适合不同瞳距宽度的用户都能舒适使用。</w:t>
            </w:r>
          </w:p>
        </w:tc>
        <w:tc>
          <w:tcPr>
            <w:tcW w:w="1492" w:type="dxa"/>
            <w:tcBorders>
              <w:right w:val="single" w:color="auto" w:sz="12" w:space="0"/>
            </w:tcBorders>
            <w:noWrap w:val="0"/>
            <w:vAlign w:val="center"/>
          </w:tcPr>
          <w:p>
            <w:pPr>
              <w:widowControl/>
              <w:spacing w:line="360" w:lineRule="exact"/>
              <w:ind w:firstLine="843" w:firstLineChars="40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2.6.</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超大视野目镜：高眼点目镜，10X/22mm，GREEN显微镜在10X目镜 下实现22mm的宽视场范围，观察内容更全面，样本观察更快速。目镜采用无畸变设计，杜绝视场边缘发虚，出现杂色光圈等现象；操作者可戴眼镜直接操作，避免摘取眼镜的繁琐；接口Φ30mm.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2.7.</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聚光镜：插入式阿贝聚光镜，NA1.25，GREEN提供适用于明场、暗场、相衬的通用聚光镜，通过暗场插板和相衬插板实现观察方式快速切换。相衬和暗场插板4X-100X通用，使用简单、快捷。数值孔径：1.25（孔径光阑位置标识对应物镜放大倍率相应的数值），便于得到高分辨率、高对比度的图像。</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2.8.</w:t>
            </w:r>
          </w:p>
        </w:tc>
        <w:tc>
          <w:tcPr>
            <w:tcW w:w="6348" w:type="dxa"/>
            <w:noWrap w:val="0"/>
            <w:vAlign w:val="center"/>
          </w:tcPr>
          <w:p>
            <w:pPr>
              <w:rPr>
                <w:rFonts w:hint="eastAsia" w:ascii="宋体" w:hAnsi="宋体" w:cs="宋体"/>
                <w:color w:val="000000"/>
                <w:szCs w:val="21"/>
              </w:rPr>
            </w:pPr>
            <w:r>
              <w:rPr>
                <w:rFonts w:hint="eastAsia" w:ascii="宋体" w:hAnsi="宋体" w:cs="宋体"/>
                <w:color w:val="000000"/>
                <w:szCs w:val="21"/>
              </w:rPr>
              <w:t>物镜转换器：内向式五孔转换器，带有机械定位，旋转机构内带有多重滚珠轴承，转换器周圈橡皮带有凸楞。</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2.9.</w:t>
            </w:r>
          </w:p>
        </w:tc>
        <w:tc>
          <w:tcPr>
            <w:tcW w:w="6348" w:type="dxa"/>
            <w:noWrap w:val="0"/>
            <w:vAlign w:val="center"/>
          </w:tcPr>
          <w:p>
            <w:pPr>
              <w:pStyle w:val="5"/>
              <w:spacing w:line="360" w:lineRule="auto"/>
              <w:rPr>
                <w:rFonts w:hAnsi="宋体" w:cs="宋体"/>
                <w:color w:val="000000"/>
                <w:szCs w:val="21"/>
              </w:rPr>
            </w:pPr>
            <w:r>
              <w:rPr>
                <w:rFonts w:hint="eastAsia" w:hAnsi="宋体" w:cs="宋体"/>
                <w:color w:val="000000"/>
                <w:szCs w:val="21"/>
              </w:rPr>
              <w:t>无限远平场消色差物镜：物镜均防霉处理，</w:t>
            </w:r>
          </w:p>
          <w:p>
            <w:pPr>
              <w:pStyle w:val="5"/>
              <w:spacing w:line="360" w:lineRule="auto"/>
              <w:rPr>
                <w:rFonts w:hAnsi="宋体" w:cs="宋体"/>
                <w:color w:val="000000"/>
                <w:szCs w:val="21"/>
              </w:rPr>
            </w:pPr>
            <w:r>
              <w:rPr>
                <w:rFonts w:hint="eastAsia" w:hAnsi="宋体" w:cs="宋体"/>
                <w:color w:val="000000"/>
                <w:szCs w:val="21"/>
              </w:rPr>
              <w:t>（1）4X平场消色差物镜，数值孔径为0.10，工作距离：20.6mm；</w:t>
            </w:r>
          </w:p>
          <w:p>
            <w:pPr>
              <w:pStyle w:val="5"/>
              <w:spacing w:line="360" w:lineRule="auto"/>
              <w:rPr>
                <w:rFonts w:hAnsi="宋体" w:cs="宋体"/>
                <w:color w:val="000000"/>
                <w:szCs w:val="21"/>
              </w:rPr>
            </w:pPr>
            <w:r>
              <w:rPr>
                <w:rFonts w:hint="eastAsia" w:hAnsi="宋体" w:cs="宋体"/>
                <w:color w:val="000000"/>
                <w:szCs w:val="21"/>
              </w:rPr>
              <w:t>（2）10X平场消色差物镜，数值孔径为0.25，工作距离：18mm；</w:t>
            </w:r>
          </w:p>
          <w:p>
            <w:pPr>
              <w:pStyle w:val="5"/>
              <w:spacing w:line="360" w:lineRule="auto"/>
              <w:rPr>
                <w:rFonts w:hAnsi="宋体" w:cs="宋体"/>
                <w:color w:val="000000"/>
                <w:szCs w:val="21"/>
              </w:rPr>
            </w:pPr>
            <w:r>
              <w:rPr>
                <w:rFonts w:hint="eastAsia" w:hAnsi="宋体" w:cs="宋体"/>
                <w:color w:val="000000"/>
                <w:szCs w:val="21"/>
              </w:rPr>
              <w:t>（3）长工作距离40X平场消色差物镜，数值孔径为0.65，工作距离达到：1.5mm，当100X物镜转换时，避免残余的香柏油和水对40X物镜的侵蚀（能解决实际使用操作中的很大日常损耗）；</w:t>
            </w:r>
          </w:p>
          <w:p>
            <w:pPr>
              <w:rPr>
                <w:rFonts w:hint="eastAsia" w:ascii="宋体" w:hAnsi="宋体" w:cs="宋体"/>
                <w:color w:val="000000"/>
                <w:szCs w:val="21"/>
              </w:rPr>
            </w:pPr>
            <w:r>
              <w:rPr>
                <w:rFonts w:hint="eastAsia" w:ascii="宋体" w:hAnsi="宋体" w:cs="宋体"/>
                <w:color w:val="000000"/>
                <w:szCs w:val="21"/>
              </w:rPr>
              <w:t>（4）100X平场消色差物镜，数值孔径为1.25，工作距离：0.2mm；</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color w:val="000000"/>
                <w:szCs w:val="21"/>
              </w:rPr>
              <w:t>2.10.</w:t>
            </w:r>
          </w:p>
        </w:tc>
        <w:tc>
          <w:tcPr>
            <w:tcW w:w="6348" w:type="dxa"/>
            <w:noWrap w:val="0"/>
            <w:vAlign w:val="center"/>
          </w:tcPr>
          <w:p>
            <w:pPr>
              <w:pStyle w:val="5"/>
              <w:spacing w:line="360" w:lineRule="auto"/>
              <w:rPr>
                <w:rFonts w:hAnsi="宋体" w:cs="宋体"/>
                <w:color w:val="000000"/>
                <w:szCs w:val="21"/>
              </w:rPr>
            </w:pPr>
            <w:r>
              <w:rPr>
                <w:rFonts w:hint="eastAsia" w:hAnsi="宋体" w:cs="宋体"/>
                <w:color w:val="000000"/>
                <w:szCs w:val="21"/>
              </w:rPr>
              <w:t>机械载物台：机械载物台：硬质氧化耐磨载物台，不会产生划痕，双层矩形机械工作平台；超大面积：230mm×150mm，移动范围达到</w:t>
            </w:r>
          </w:p>
          <w:p>
            <w:pPr>
              <w:rPr>
                <w:rFonts w:hint="eastAsia" w:ascii="宋体" w:hAnsi="宋体" w:cs="宋体"/>
                <w:color w:val="000000"/>
                <w:szCs w:val="21"/>
              </w:rPr>
            </w:pPr>
            <w:r>
              <w:rPr>
                <w:rFonts w:hint="eastAsia" w:ascii="宋体" w:hAnsi="宋体" w:cs="宋体"/>
                <w:color w:val="000000"/>
                <w:szCs w:val="21"/>
              </w:rPr>
              <w:t>78X54mm；，双切片夹，同步带设计，没有齿条的伸出，防止划伤手。</w:t>
            </w:r>
          </w:p>
        </w:tc>
        <w:tc>
          <w:tcPr>
            <w:tcW w:w="1492" w:type="dxa"/>
            <w:tcBorders>
              <w:right w:val="single" w:color="auto" w:sz="12" w:space="0"/>
            </w:tcBorders>
            <w:noWrap w:val="0"/>
            <w:vAlign w:val="center"/>
          </w:tcPr>
          <w:p>
            <w:pPr>
              <w:widowControl/>
              <w:spacing w:line="360" w:lineRule="exact"/>
              <w:ind w:left="840" w:hanging="840" w:hangingChars="400"/>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b/>
                <w:szCs w:val="21"/>
              </w:rPr>
            </w:pPr>
            <w:r>
              <w:rPr>
                <w:rFonts w:hint="eastAsia" w:ascii="宋体" w:hAnsi="宋体" w:cs="宋体"/>
                <w:b/>
                <w:bCs/>
                <w:color w:val="000000"/>
                <w:kern w:val="0"/>
                <w:szCs w:val="21"/>
                <w:lang w:bidi="ar"/>
              </w:rPr>
              <w:t>三</w:t>
            </w:r>
          </w:p>
        </w:tc>
        <w:tc>
          <w:tcPr>
            <w:tcW w:w="6348" w:type="dxa"/>
            <w:noWrap w:val="0"/>
            <w:vAlign w:val="top"/>
          </w:tcPr>
          <w:p>
            <w:pPr>
              <w:widowControl/>
              <w:textAlignment w:val="top"/>
              <w:rPr>
                <w:rFonts w:hint="eastAsia" w:ascii="宋体" w:hAnsi="宋体" w:cs="宋体"/>
                <w:b/>
                <w:szCs w:val="21"/>
              </w:rPr>
            </w:pPr>
            <w:r>
              <w:rPr>
                <w:rFonts w:hint="eastAsia" w:ascii="宋体" w:hAnsi="宋体" w:cs="宋体"/>
                <w:b/>
                <w:bCs/>
                <w:color w:val="000000"/>
                <w:kern w:val="0"/>
                <w:szCs w:val="21"/>
                <w:lang w:bidi="ar"/>
              </w:rPr>
              <w:t>安装验收</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3.1</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安装地点：医院指定科室；</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3.2</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安装完成时间：合同签订后1个月内交货，接买方通知后3天内完成安装；</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3.3</w:t>
            </w:r>
          </w:p>
        </w:tc>
        <w:tc>
          <w:tcPr>
            <w:tcW w:w="6348" w:type="dxa"/>
            <w:tcBorders>
              <w:bottom w:val="single" w:color="auto" w:sz="4" w:space="0"/>
            </w:tcBorders>
            <w:noWrap w:val="0"/>
            <w:vAlign w:val="center"/>
          </w:tcPr>
          <w:p>
            <w:pPr>
              <w:widowControl/>
              <w:textAlignment w:val="center"/>
              <w:rPr>
                <w:rFonts w:hint="eastAsia" w:ascii="宋体" w:hAnsi="宋体" w:cs="宋体"/>
                <w:b/>
                <w:szCs w:val="21"/>
              </w:rPr>
            </w:pPr>
            <w:r>
              <w:rPr>
                <w:rFonts w:hint="eastAsia" w:ascii="宋体" w:hAnsi="宋体" w:cs="宋体"/>
                <w:color w:val="000000"/>
                <w:kern w:val="0"/>
                <w:szCs w:val="21"/>
                <w:lang w:bidi="ar"/>
              </w:rPr>
              <w:t>安装标准：符合我国国家有关技术规范和技术标准；</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3.4</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验收标准：符合我国国家有关技术规范和技术标准。</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color w:val="000000"/>
                <w:kern w:val="0"/>
                <w:szCs w:val="21"/>
                <w:lang w:bidi="ar"/>
              </w:rPr>
              <w:t>3.5</w:t>
            </w:r>
          </w:p>
        </w:tc>
        <w:tc>
          <w:tcPr>
            <w:tcW w:w="6348" w:type="dxa"/>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安装、验收合格前所产生的一切费用（包括卸货、搬运、必要时的安全性能检测费等）由供方负责提供。</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tcBorders>
            <w:noWrap w:val="0"/>
            <w:vAlign w:val="top"/>
          </w:tcPr>
          <w:p>
            <w:pPr>
              <w:widowControl/>
              <w:jc w:val="center"/>
              <w:textAlignment w:val="top"/>
              <w:rPr>
                <w:rFonts w:hint="eastAsia" w:ascii="宋体" w:hAnsi="宋体" w:cs="宋体"/>
                <w:szCs w:val="21"/>
              </w:rPr>
            </w:pPr>
            <w:r>
              <w:rPr>
                <w:rFonts w:hint="eastAsia" w:ascii="宋体" w:hAnsi="宋体" w:cs="宋体"/>
                <w:b/>
                <w:bCs/>
                <w:color w:val="000000"/>
                <w:kern w:val="0"/>
                <w:szCs w:val="21"/>
                <w:lang w:bidi="ar"/>
              </w:rPr>
              <w:t>四</w:t>
            </w:r>
          </w:p>
        </w:tc>
        <w:tc>
          <w:tcPr>
            <w:tcW w:w="6348" w:type="dxa"/>
            <w:noWrap w:val="0"/>
            <w:vAlign w:val="top"/>
          </w:tcPr>
          <w:p>
            <w:pPr>
              <w:widowControl/>
              <w:textAlignment w:val="top"/>
              <w:rPr>
                <w:rFonts w:hint="eastAsia" w:ascii="宋体" w:hAnsi="宋体" w:cs="宋体"/>
                <w:szCs w:val="21"/>
              </w:rPr>
            </w:pPr>
            <w:r>
              <w:rPr>
                <w:rFonts w:hint="eastAsia" w:ascii="宋体" w:hAnsi="宋体" w:cs="宋体"/>
                <w:b/>
                <w:bCs/>
                <w:color w:val="000000"/>
                <w:kern w:val="0"/>
                <w:szCs w:val="21"/>
                <w:lang w:bidi="ar"/>
              </w:rPr>
              <w:t>售后服务</w:t>
            </w:r>
          </w:p>
        </w:tc>
        <w:tc>
          <w:tcPr>
            <w:tcW w:w="1492" w:type="dxa"/>
            <w:tcBorders>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4.1</w:t>
            </w:r>
          </w:p>
        </w:tc>
        <w:tc>
          <w:tcPr>
            <w:tcW w:w="6348" w:type="dxa"/>
            <w:tcBorders>
              <w:bottom w:val="single" w:color="auto" w:sz="4" w:space="0"/>
            </w:tcBorders>
            <w:noWrap w:val="0"/>
            <w:vAlign w:val="center"/>
          </w:tcPr>
          <w:p>
            <w:pPr>
              <w:widowControl/>
              <w:textAlignment w:val="center"/>
              <w:rPr>
                <w:rFonts w:hint="eastAsia" w:ascii="宋体" w:hAnsi="宋体" w:cs="宋体"/>
                <w:szCs w:val="21"/>
              </w:rPr>
            </w:pPr>
            <w:r>
              <w:rPr>
                <w:rFonts w:hint="eastAsia" w:ascii="宋体" w:hAnsi="宋体" w:cs="宋体"/>
                <w:color w:val="000000"/>
                <w:kern w:val="0"/>
                <w:szCs w:val="21"/>
                <w:lang w:bidi="ar"/>
              </w:rPr>
              <w:t>免费保修：设备验收合格后保修≥2年，期间免一切维修费用；</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b/>
                <w:bCs/>
                <w:color w:val="000000"/>
                <w:kern w:val="0"/>
                <w:szCs w:val="21"/>
                <w:lang w:bidi="ar"/>
              </w:rPr>
              <w:t>五</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b/>
                <w:bCs/>
                <w:color w:val="000000"/>
                <w:kern w:val="0"/>
                <w:szCs w:val="21"/>
                <w:lang w:bidi="ar"/>
              </w:rPr>
              <w:t>其他要求</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5.1</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属于医疗器械管理范围的产品必须提供医疗器械注册证及注册登记表</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5.2</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厂家承诺提供设备免费保修期（含消耗品、易损品、维修配件、人工服务等）</w:t>
            </w:r>
            <w:r>
              <w:rPr>
                <w:rFonts w:hint="eastAsia" w:ascii="宋体" w:hAnsi="宋体" w:cs="宋体"/>
                <w:color w:val="FF0000"/>
                <w:kern w:val="0"/>
                <w:szCs w:val="21"/>
                <w:lang w:bidi="ar"/>
              </w:rPr>
              <w:t>≥ 2年</w:t>
            </w:r>
            <w:r>
              <w:rPr>
                <w:rFonts w:hint="eastAsia" w:ascii="宋体" w:hAnsi="宋体" w:cs="宋体"/>
                <w:color w:val="000000"/>
                <w:kern w:val="0"/>
                <w:szCs w:val="21"/>
                <w:lang w:bidi="ar"/>
              </w:rPr>
              <w:t>。提供过保后年保价格，</w:t>
            </w:r>
          </w:p>
        </w:tc>
        <w:tc>
          <w:tcPr>
            <w:tcW w:w="1492" w:type="dxa"/>
            <w:tcBorders>
              <w:bottom w:val="single" w:color="auto" w:sz="4" w:space="0"/>
              <w:right w:val="single" w:color="auto" w:sz="12" w:space="0"/>
            </w:tcBorders>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5.3</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操作手册、维修手册：提供操作手册、维修手册各一套</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5.4</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培训：提供临床应用操作培训,并提供临床资料(培训ppt、考核试题)</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5.5</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软件终身免费升级</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5.6</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付款方式:验收合格后90工作日内付款，投标商开具单张发票限额必须大于投标单台设备价格</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dxa"/>
            <w:tcBorders>
              <w:left w:val="single" w:color="auto" w:sz="12" w:space="0"/>
              <w:bottom w:val="single" w:color="auto" w:sz="4" w:space="0"/>
            </w:tcBorders>
            <w:noWrap w:val="0"/>
            <w:vAlign w:val="top"/>
          </w:tcPr>
          <w:p>
            <w:pPr>
              <w:widowControl/>
              <w:jc w:val="center"/>
              <w:textAlignment w:val="top"/>
              <w:rPr>
                <w:rFonts w:hint="eastAsia" w:ascii="宋体" w:hAnsi="宋体" w:cs="宋体"/>
                <w:b/>
                <w:szCs w:val="21"/>
              </w:rPr>
            </w:pPr>
            <w:r>
              <w:rPr>
                <w:rFonts w:hint="eastAsia" w:ascii="宋体" w:hAnsi="宋体" w:cs="宋体"/>
                <w:color w:val="000000"/>
                <w:kern w:val="0"/>
                <w:szCs w:val="21"/>
                <w:lang w:bidi="ar"/>
              </w:rPr>
              <w:t>5.7</w:t>
            </w:r>
          </w:p>
        </w:tc>
        <w:tc>
          <w:tcPr>
            <w:tcW w:w="6348" w:type="dxa"/>
            <w:tcBorders>
              <w:bottom w:val="single" w:color="auto" w:sz="4" w:space="0"/>
            </w:tcBorders>
            <w:noWrap w:val="0"/>
            <w:vAlign w:val="top"/>
          </w:tcPr>
          <w:p>
            <w:pPr>
              <w:widowControl/>
              <w:textAlignment w:val="top"/>
              <w:rPr>
                <w:rFonts w:hint="eastAsia" w:ascii="宋体" w:hAnsi="宋体" w:cs="宋体"/>
                <w:b/>
                <w:szCs w:val="21"/>
              </w:rPr>
            </w:pPr>
            <w:r>
              <w:rPr>
                <w:rFonts w:hint="eastAsia" w:ascii="宋体" w:hAnsi="宋体" w:cs="宋体"/>
                <w:color w:val="000000"/>
                <w:kern w:val="0"/>
                <w:szCs w:val="21"/>
                <w:lang w:bidi="ar"/>
              </w:rPr>
              <w:t>投标商提供的设备必须在距投标当日10个月内生产</w:t>
            </w:r>
          </w:p>
        </w:tc>
        <w:tc>
          <w:tcPr>
            <w:tcW w:w="1492" w:type="dxa"/>
            <w:tcBorders>
              <w:bottom w:val="single" w:color="auto" w:sz="4" w:space="0"/>
              <w:right w:val="single" w:color="auto" w:sz="12" w:space="0"/>
            </w:tcBorders>
            <w:noWrap w:val="0"/>
            <w:vAlign w:val="top"/>
          </w:tcPr>
          <w:p>
            <w:pPr>
              <w:jc w:val="center"/>
              <w:rPr>
                <w:rFonts w:hint="eastAsia" w:ascii="宋体" w:hAnsi="宋体" w:cs="宋体"/>
                <w:szCs w:val="21"/>
              </w:rPr>
            </w:pPr>
          </w:p>
        </w:tc>
      </w:tr>
    </w:tbl>
    <w:p>
      <w:pPr>
        <w:snapToGrid w:val="0"/>
        <w:spacing w:line="360" w:lineRule="auto"/>
        <w:jc w:val="left"/>
        <w:rPr>
          <w:rFonts w:hint="eastAsia" w:asciiTheme="minorEastAsia" w:hAnsiTheme="minorEastAsia" w:eastAsiaTheme="minorEastAsia" w:cstheme="minorEastAsia"/>
          <w:sz w:val="24"/>
          <w:szCs w:val="24"/>
          <w:lang w:eastAsia="zh-CN"/>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9"/>
        <w:rPr>
          <w:rFonts w:hint="eastAsia"/>
          <w:sz w:val="30"/>
          <w:szCs w:val="30"/>
        </w:rPr>
      </w:pP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7761DC"/>
    <w:rsid w:val="037819C8"/>
    <w:rsid w:val="03D1093C"/>
    <w:rsid w:val="04165086"/>
    <w:rsid w:val="079468F0"/>
    <w:rsid w:val="084038F0"/>
    <w:rsid w:val="088815A9"/>
    <w:rsid w:val="0A277157"/>
    <w:rsid w:val="0A323667"/>
    <w:rsid w:val="0A964758"/>
    <w:rsid w:val="0B691EBF"/>
    <w:rsid w:val="0BDB7828"/>
    <w:rsid w:val="0D3C3F90"/>
    <w:rsid w:val="0D6B27A0"/>
    <w:rsid w:val="0D737863"/>
    <w:rsid w:val="0F9D510C"/>
    <w:rsid w:val="0FA00F0B"/>
    <w:rsid w:val="10827943"/>
    <w:rsid w:val="11D15B1C"/>
    <w:rsid w:val="11D56F8A"/>
    <w:rsid w:val="12531874"/>
    <w:rsid w:val="129A029D"/>
    <w:rsid w:val="12C9410A"/>
    <w:rsid w:val="14C02644"/>
    <w:rsid w:val="157B401A"/>
    <w:rsid w:val="165B3C1A"/>
    <w:rsid w:val="17453125"/>
    <w:rsid w:val="184F31D7"/>
    <w:rsid w:val="19915A12"/>
    <w:rsid w:val="1A2E6DE6"/>
    <w:rsid w:val="1D4821A9"/>
    <w:rsid w:val="202B56B1"/>
    <w:rsid w:val="22723315"/>
    <w:rsid w:val="22CF7097"/>
    <w:rsid w:val="232E51F6"/>
    <w:rsid w:val="23705E06"/>
    <w:rsid w:val="23884864"/>
    <w:rsid w:val="24C52651"/>
    <w:rsid w:val="278D3808"/>
    <w:rsid w:val="27E45486"/>
    <w:rsid w:val="28DD687E"/>
    <w:rsid w:val="2B057E38"/>
    <w:rsid w:val="2BA52826"/>
    <w:rsid w:val="2D7F5632"/>
    <w:rsid w:val="2E46068D"/>
    <w:rsid w:val="2EB05F76"/>
    <w:rsid w:val="2F1A3DC2"/>
    <w:rsid w:val="2F3C6CF1"/>
    <w:rsid w:val="2FBD42B3"/>
    <w:rsid w:val="30D412A1"/>
    <w:rsid w:val="30E84F1F"/>
    <w:rsid w:val="316641F0"/>
    <w:rsid w:val="31BF6098"/>
    <w:rsid w:val="31F8416E"/>
    <w:rsid w:val="32CE7A3F"/>
    <w:rsid w:val="33951D5C"/>
    <w:rsid w:val="34117E05"/>
    <w:rsid w:val="351B0D6F"/>
    <w:rsid w:val="35633FD8"/>
    <w:rsid w:val="37C66C9B"/>
    <w:rsid w:val="39BD6D12"/>
    <w:rsid w:val="3B660234"/>
    <w:rsid w:val="3BB420F5"/>
    <w:rsid w:val="3DB75172"/>
    <w:rsid w:val="3F1B3C4A"/>
    <w:rsid w:val="402E62DF"/>
    <w:rsid w:val="402F4957"/>
    <w:rsid w:val="405108FA"/>
    <w:rsid w:val="4136403A"/>
    <w:rsid w:val="41EF774F"/>
    <w:rsid w:val="42660058"/>
    <w:rsid w:val="43824C1A"/>
    <w:rsid w:val="43A157C9"/>
    <w:rsid w:val="449C5243"/>
    <w:rsid w:val="449E2D2B"/>
    <w:rsid w:val="458A740C"/>
    <w:rsid w:val="46094A05"/>
    <w:rsid w:val="460A3EB2"/>
    <w:rsid w:val="477517FF"/>
    <w:rsid w:val="479F5F87"/>
    <w:rsid w:val="497E50E4"/>
    <w:rsid w:val="49CC2349"/>
    <w:rsid w:val="4A254910"/>
    <w:rsid w:val="4AA864D5"/>
    <w:rsid w:val="4B956476"/>
    <w:rsid w:val="4CBE1552"/>
    <w:rsid w:val="4D3D3121"/>
    <w:rsid w:val="4DCB17F7"/>
    <w:rsid w:val="4ED83989"/>
    <w:rsid w:val="529E0326"/>
    <w:rsid w:val="53423D16"/>
    <w:rsid w:val="534B0A6F"/>
    <w:rsid w:val="539D45B7"/>
    <w:rsid w:val="53CA557A"/>
    <w:rsid w:val="545A32FC"/>
    <w:rsid w:val="547D6E0D"/>
    <w:rsid w:val="55382DBA"/>
    <w:rsid w:val="55596194"/>
    <w:rsid w:val="56A54B82"/>
    <w:rsid w:val="584110E8"/>
    <w:rsid w:val="587C329C"/>
    <w:rsid w:val="595B205E"/>
    <w:rsid w:val="5A4777C5"/>
    <w:rsid w:val="5A6E001E"/>
    <w:rsid w:val="5AE71C9E"/>
    <w:rsid w:val="5CD36D91"/>
    <w:rsid w:val="5CF76AE6"/>
    <w:rsid w:val="5DEC7787"/>
    <w:rsid w:val="5DFE7766"/>
    <w:rsid w:val="60F93F09"/>
    <w:rsid w:val="651F41E7"/>
    <w:rsid w:val="65D31C24"/>
    <w:rsid w:val="6634293C"/>
    <w:rsid w:val="669F4579"/>
    <w:rsid w:val="680678AC"/>
    <w:rsid w:val="683E0693"/>
    <w:rsid w:val="685E7C65"/>
    <w:rsid w:val="68AB5C34"/>
    <w:rsid w:val="694279A9"/>
    <w:rsid w:val="698F00A6"/>
    <w:rsid w:val="69D24A7C"/>
    <w:rsid w:val="6A670A41"/>
    <w:rsid w:val="6A800692"/>
    <w:rsid w:val="6BF3478F"/>
    <w:rsid w:val="6D370E4B"/>
    <w:rsid w:val="6DE10695"/>
    <w:rsid w:val="6E0B49D4"/>
    <w:rsid w:val="6E6658CD"/>
    <w:rsid w:val="6E7E61B3"/>
    <w:rsid w:val="6F1A55B9"/>
    <w:rsid w:val="6F9841D5"/>
    <w:rsid w:val="711B411C"/>
    <w:rsid w:val="7392213F"/>
    <w:rsid w:val="73991A3A"/>
    <w:rsid w:val="739F5CC0"/>
    <w:rsid w:val="73F75A9D"/>
    <w:rsid w:val="748F3673"/>
    <w:rsid w:val="755C54CB"/>
    <w:rsid w:val="772F4719"/>
    <w:rsid w:val="773504DF"/>
    <w:rsid w:val="78667688"/>
    <w:rsid w:val="7A192AA7"/>
    <w:rsid w:val="7AE904D6"/>
    <w:rsid w:val="7B2E453E"/>
    <w:rsid w:val="7B395E66"/>
    <w:rsid w:val="7C0B3B0A"/>
    <w:rsid w:val="7C4831AB"/>
    <w:rsid w:val="7CA6287C"/>
    <w:rsid w:val="7E4702F4"/>
    <w:rsid w:val="7E677C6B"/>
    <w:rsid w:val="7F241B4E"/>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eastAsia="宋体" w:cs="宋体"/>
      <w:kern w:val="0"/>
      <w:sz w:val="17"/>
      <w:szCs w:val="17"/>
      <w:lang w:val="zh-CN" w:bidi="zh-CN"/>
    </w:rPr>
  </w:style>
  <w:style w:type="paragraph" w:styleId="5">
    <w:name w:val="Plain Text"/>
    <w:basedOn w:val="1"/>
    <w:qFormat/>
    <w:uiPriority w:val="0"/>
    <w:rPr>
      <w:rFonts w:ascii="宋体" w:hAnsi="Courier New" w:cs="Courier New"/>
      <w:szCs w:val="21"/>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10">
    <w:name w:val="Body Text First Indent"/>
    <w:basedOn w:val="2"/>
    <w:qFormat/>
    <w:uiPriority w:val="0"/>
    <w:pPr>
      <w:ind w:firstLine="420"/>
    </w:pPr>
    <w:rPr>
      <w:rFonts w:ascii="Calibri" w:hAnsi="Calibri" w:eastAsia="宋体" w:cs="Times New Roman"/>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Emphasis"/>
    <w:qFormat/>
    <w:uiPriority w:val="20"/>
    <w:rPr>
      <w:i/>
      <w:iCs/>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customStyle="1" w:styleId="18">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9">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0">
    <w:name w:val="NormalCharacter"/>
    <w:semiHidden/>
    <w:qFormat/>
    <w:uiPriority w:val="0"/>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11"/>
    <w:basedOn w:val="13"/>
    <w:qFormat/>
    <w:uiPriority w:val="0"/>
    <w:rPr>
      <w:rFonts w:hint="eastAsia" w:ascii="宋体" w:hAnsi="宋体" w:eastAsia="宋体" w:cs="宋体"/>
      <w:color w:val="000000"/>
      <w:sz w:val="24"/>
      <w:szCs w:val="24"/>
      <w:u w:val="none"/>
    </w:rPr>
  </w:style>
  <w:style w:type="character" w:customStyle="1" w:styleId="23">
    <w:name w:val="font41"/>
    <w:basedOn w:val="13"/>
    <w:qFormat/>
    <w:uiPriority w:val="0"/>
    <w:rPr>
      <w:rFonts w:hint="eastAsia" w:ascii="宋体" w:hAnsi="宋体" w:eastAsia="宋体" w:cs="宋体"/>
      <w:b/>
      <w:bCs/>
      <w:color w:val="000000"/>
      <w:sz w:val="24"/>
      <w:szCs w:val="24"/>
      <w:u w:val="none"/>
    </w:rPr>
  </w:style>
  <w:style w:type="character" w:customStyle="1" w:styleId="24">
    <w:name w:val="Anrede1IhrZeichen"/>
    <w:qFormat/>
    <w:uiPriority w:val="0"/>
    <w:rPr>
      <w:rFonts w:hint="default" w:ascii="Arial" w:hAnsi="Arial"/>
      <w:sz w:val="20"/>
    </w:rPr>
  </w:style>
  <w:style w:type="paragraph" w:customStyle="1" w:styleId="25">
    <w:name w:val="AbsatzTableFormat"/>
    <w:basedOn w:val="1"/>
    <w:qFormat/>
    <w:uiPriority w:val="0"/>
    <w:pPr>
      <w:widowControl/>
      <w:jc w:val="left"/>
    </w:pPr>
    <w:rPr>
      <w:rFonts w:ascii="Arial Narrow" w:hAnsi="Arial Narrow"/>
      <w:bCs/>
      <w:kern w:val="0"/>
      <w:sz w:val="22"/>
      <w:szCs w:val="21"/>
      <w:lang w:val="de-DE"/>
    </w:rPr>
  </w:style>
  <w:style w:type="paragraph" w:customStyle="1" w:styleId="26">
    <w:name w:val="Plain Text1"/>
    <w:basedOn w:val="27"/>
    <w:qFormat/>
    <w:uiPriority w:val="0"/>
    <w:pPr>
      <w:widowControl/>
      <w:jc w:val="left"/>
    </w:pPr>
    <w:rPr>
      <w:rFonts w:ascii="宋体" w:hAnsi="Courier New"/>
    </w:rPr>
  </w:style>
  <w:style w:type="paragraph" w:customStyle="1" w:styleId="27">
    <w:name w:val="Normal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2</Pages>
  <Words>1401</Words>
  <Characters>1627</Characters>
  <Lines>6</Lines>
  <Paragraphs>1</Paragraphs>
  <TotalTime>10</TotalTime>
  <ScaleCrop>false</ScaleCrop>
  <LinksUpToDate>false</LinksUpToDate>
  <CharactersWithSpaces>1632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2022-11-23T01:13:39Z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2052-11.1.0.12763</vt:lpwstr>
  </property>
  <property fmtid="{D5CDD505-2E9C-101B-9397-08002B2CF9AE}" pid="4" name="ICV">
    <vt:lpwstr>99012001CC8449E1B44B4987A03F7E88</vt:lpwstr>
  </property>
</Properties>
</file>