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温州市中医院关于监护仪压力检测模块项目的招标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2022-sb-cg-064</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w:t>
            </w:r>
            <w:r>
              <w:rPr>
                <w:rFonts w:hint="eastAsia" w:ascii="宋体" w:hAnsi="宋体" w:eastAsia="宋体" w:cs="宋体"/>
                <w:b w:val="0"/>
                <w:bCs w:val="0"/>
                <w:color w:val="auto"/>
                <w:sz w:val="24"/>
                <w:szCs w:val="24"/>
                <w:lang w:eastAsia="zh-CN"/>
              </w:rPr>
              <w:t>监护仪</w:t>
            </w:r>
            <w:r>
              <w:rPr>
                <w:rFonts w:hint="eastAsia" w:ascii="宋体" w:hAnsi="宋体" w:eastAsia="宋体" w:cs="宋体"/>
                <w:b w:val="0"/>
                <w:bCs w:val="0"/>
                <w:color w:val="auto"/>
                <w:sz w:val="24"/>
                <w:szCs w:val="24"/>
              </w:rPr>
              <w:t>压力检测模块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数量：4个</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eastAsia="宋体" w:cs="宋体"/>
                <w:color w:val="auto"/>
                <w:sz w:val="24"/>
                <w:szCs w:val="24"/>
                <w:lang w:val="en-US" w:eastAsia="zh-CN"/>
              </w:rPr>
              <w:t>测量病人的有创血压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允许进口</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bookmarkStart w:id="0" w:name="_GoBack"/>
      <w:bookmarkEnd w:id="0"/>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一</w:t>
            </w:r>
          </w:p>
        </w:tc>
        <w:tc>
          <w:tcPr>
            <w:tcW w:w="6348" w:type="dxa"/>
            <w:tcBorders>
              <w:top w:val="single" w:color="auto" w:sz="12" w:space="0"/>
            </w:tcBorders>
            <w:noWrap w:val="0"/>
            <w:vAlign w:val="center"/>
          </w:tcPr>
          <w:p>
            <w:pPr>
              <w:rPr>
                <w:rFonts w:hint="eastAsia" w:ascii="宋体" w:hAnsi="宋体" w:eastAsia="宋体" w:cs="宋体"/>
                <w:color w:val="000000"/>
                <w:sz w:val="21"/>
                <w:szCs w:val="21"/>
              </w:rPr>
            </w:pPr>
            <w:r>
              <w:rPr>
                <w:rFonts w:hint="eastAsia" w:ascii="宋体" w:hAnsi="宋体" w:eastAsia="宋体" w:cs="宋体"/>
                <w:b/>
                <w:bCs/>
                <w:color w:val="000000"/>
                <w:sz w:val="21"/>
                <w:szCs w:val="21"/>
              </w:rPr>
              <w:t>总体要求：</w:t>
            </w:r>
            <w:r>
              <w:rPr>
                <w:rFonts w:hint="eastAsia" w:ascii="宋体" w:hAnsi="宋体" w:eastAsia="宋体" w:cs="宋体"/>
                <w:b w:val="0"/>
                <w:bCs w:val="0"/>
                <w:color w:val="000000"/>
                <w:sz w:val="21"/>
                <w:szCs w:val="21"/>
                <w:lang w:eastAsia="zh-CN"/>
              </w:rPr>
              <w:t>监护仪</w:t>
            </w:r>
            <w:r>
              <w:rPr>
                <w:rFonts w:hint="eastAsia" w:ascii="宋体" w:hAnsi="宋体" w:eastAsia="宋体" w:cs="宋体"/>
                <w:color w:val="000000"/>
                <w:sz w:val="21"/>
                <w:szCs w:val="21"/>
                <w:lang w:val="en-US" w:eastAsia="zh-CN"/>
              </w:rPr>
              <w:t>压力检测模块4个</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该产品由</w:t>
            </w:r>
            <w:r>
              <w:rPr>
                <w:rFonts w:hint="eastAsia" w:ascii="宋体" w:hAnsi="宋体" w:eastAsia="宋体" w:cs="宋体"/>
                <w:color w:val="000000"/>
                <w:sz w:val="21"/>
                <w:szCs w:val="21"/>
                <w:lang w:val="en-US" w:eastAsia="zh-CN"/>
              </w:rPr>
              <w:t>有创测量功能</w:t>
            </w:r>
            <w:r>
              <w:rPr>
                <w:rFonts w:hint="eastAsia" w:ascii="宋体" w:hAnsi="宋体" w:eastAsia="宋体" w:cs="宋体"/>
                <w:color w:val="000000"/>
                <w:sz w:val="21"/>
                <w:szCs w:val="21"/>
              </w:rPr>
              <w:t>组成</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6348" w:type="dxa"/>
            <w:noWrap w:val="0"/>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产品适用范围：</w:t>
            </w:r>
            <w:r>
              <w:rPr>
                <w:rFonts w:hint="eastAsia" w:ascii="宋体" w:hAnsi="宋体" w:eastAsia="宋体" w:cs="宋体"/>
                <w:color w:val="000000"/>
                <w:sz w:val="21"/>
                <w:szCs w:val="21"/>
                <w:lang w:val="en-US" w:eastAsia="zh-CN"/>
              </w:rPr>
              <w:t>测量病人的有创血压</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default" w:ascii="宋体" w:hAnsi="宋体" w:eastAsia="宋体" w:cs="宋体"/>
                <w:color w:val="000000"/>
                <w:sz w:val="21"/>
                <w:szCs w:val="21"/>
                <w:lang w:val="en-US" w:eastAsia="zh-CN"/>
              </w:rPr>
            </w:pPr>
            <w:r>
              <w:rPr>
                <w:rFonts w:hint="eastAsia" w:ascii="宋体" w:hAnsi="宋体" w:cs="宋体"/>
                <w:color w:val="000000"/>
                <w:szCs w:val="21"/>
              </w:rPr>
              <w:t>★</w:t>
            </w:r>
            <w:r>
              <w:rPr>
                <w:rFonts w:hint="eastAsia" w:ascii="宋体" w:hAnsi="宋体" w:eastAsia="宋体" w:cs="宋体"/>
                <w:color w:val="000000"/>
                <w:sz w:val="21"/>
                <w:szCs w:val="21"/>
                <w:lang w:val="en-US" w:eastAsia="zh-CN"/>
              </w:rPr>
              <w:t>1.3</w:t>
            </w:r>
          </w:p>
        </w:tc>
        <w:tc>
          <w:tcPr>
            <w:tcW w:w="6348" w:type="dxa"/>
            <w:noWrap w:val="0"/>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与我院在用飞利浦</w:t>
            </w:r>
            <w:r>
              <w:rPr>
                <w:rFonts w:hint="eastAsia" w:ascii="宋体" w:hAnsi="宋体" w:eastAsia="宋体" w:cs="宋体"/>
                <w:color w:val="000000"/>
                <w:sz w:val="21"/>
                <w:szCs w:val="21"/>
                <w:lang w:val="en-US" w:eastAsia="zh-CN"/>
              </w:rPr>
              <w:t>M8001A型号监护仪兼容，如不兼容另行提供监护仪主机。</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b/>
                <w:bCs/>
                <w:color w:val="000000"/>
                <w:sz w:val="21"/>
                <w:szCs w:val="21"/>
              </w:rPr>
              <w:t>二</w:t>
            </w:r>
          </w:p>
        </w:tc>
        <w:tc>
          <w:tcPr>
            <w:tcW w:w="6348" w:type="dxa"/>
            <w:noWrap w:val="0"/>
            <w:vAlign w:val="center"/>
          </w:tcPr>
          <w:p>
            <w:pPr>
              <w:rPr>
                <w:rFonts w:hint="eastAsia" w:ascii="宋体" w:hAnsi="宋体" w:eastAsia="宋体" w:cs="宋体"/>
                <w:sz w:val="21"/>
                <w:szCs w:val="21"/>
              </w:rPr>
            </w:pPr>
            <w:r>
              <w:rPr>
                <w:rFonts w:hint="eastAsia" w:ascii="宋体" w:hAnsi="宋体" w:eastAsia="宋体" w:cs="宋体"/>
                <w:b/>
                <w:color w:val="000000"/>
                <w:sz w:val="21"/>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b/>
                <w:sz w:val="21"/>
                <w:szCs w:val="21"/>
              </w:rPr>
            </w:pPr>
            <w:r>
              <w:rPr>
                <w:rFonts w:hint="eastAsia" w:ascii="宋体" w:hAnsi="宋体" w:cs="宋体"/>
                <w:color w:val="000000"/>
                <w:szCs w:val="21"/>
              </w:rPr>
              <w:t>★</w:t>
            </w:r>
            <w:r>
              <w:rPr>
                <w:rFonts w:hint="eastAsia" w:ascii="宋体" w:hAnsi="宋体" w:eastAsia="宋体" w:cs="宋体"/>
                <w:color w:val="000000"/>
                <w:sz w:val="21"/>
                <w:szCs w:val="21"/>
              </w:rPr>
              <w:t>2.1.</w:t>
            </w:r>
          </w:p>
        </w:tc>
        <w:tc>
          <w:tcPr>
            <w:tcW w:w="6348" w:type="dxa"/>
            <w:noWrap w:val="0"/>
            <w:vAlign w:val="center"/>
          </w:tcPr>
          <w:p>
            <w:pPr>
              <w:rPr>
                <w:rFonts w:hint="default" w:ascii="宋体" w:hAnsi="宋体" w:eastAsia="宋体" w:cs="宋体"/>
                <w:b/>
                <w:sz w:val="21"/>
                <w:szCs w:val="21"/>
                <w:lang w:val="en-US" w:eastAsia="zh-CN"/>
              </w:rPr>
            </w:pPr>
            <w:r>
              <w:rPr>
                <w:rFonts w:hint="eastAsia" w:ascii="宋体" w:hAnsi="宋体" w:cs="宋体"/>
                <w:b w:val="0"/>
                <w:bCs/>
                <w:sz w:val="21"/>
                <w:szCs w:val="21"/>
                <w:lang w:eastAsia="zh-CN"/>
              </w:rPr>
              <w:t>测量范围</w:t>
            </w:r>
            <w:r>
              <w:rPr>
                <w:rFonts w:hint="eastAsia" w:ascii="宋体" w:hAnsi="宋体" w:cs="宋体"/>
                <w:b w:val="0"/>
                <w:bCs/>
                <w:sz w:val="21"/>
                <w:szCs w:val="21"/>
                <w:lang w:val="en-US" w:eastAsia="zh-CN"/>
              </w:rPr>
              <w:t>-40到360mmHg</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2.2.</w:t>
            </w:r>
          </w:p>
        </w:tc>
        <w:tc>
          <w:tcPr>
            <w:tcW w:w="6348" w:type="dxa"/>
            <w:noWrap w:val="0"/>
            <w:vAlign w:val="center"/>
          </w:tcPr>
          <w:p>
            <w:pP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同时可检测两个有创血压，支持更改压力标名</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2.3.</w:t>
            </w:r>
          </w:p>
        </w:tc>
        <w:tc>
          <w:tcPr>
            <w:tcW w:w="6348" w:type="dxa"/>
            <w:noWrap w:val="0"/>
            <w:vAlign w:val="center"/>
          </w:tcPr>
          <w:p>
            <w:pP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模块支持热插拔，与现有监护仪可以连接</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2.4.</w:t>
            </w:r>
          </w:p>
        </w:tc>
        <w:tc>
          <w:tcPr>
            <w:tcW w:w="6348" w:type="dxa"/>
            <w:noWrap w:val="0"/>
            <w:vAlign w:val="center"/>
          </w:tcPr>
          <w:p>
            <w:pP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支持多种有创压力传感器，方便使用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免费保修：设备验收合格后保修≥2年，期间免一切维修费用；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厂家承诺提供设备免费保修期（含消耗品、易损品、维修配件、人工服务等）</w:t>
            </w:r>
            <w:r>
              <w:rPr>
                <w:rFonts w:hint="eastAsia" w:ascii="宋体" w:hAnsi="宋体" w:eastAsia="宋体" w:cs="宋体"/>
                <w:i w:val="0"/>
                <w:iCs w:val="0"/>
                <w:color w:val="FF0000"/>
                <w:kern w:val="0"/>
                <w:sz w:val="21"/>
                <w:szCs w:val="21"/>
                <w:u w:val="none"/>
                <w:lang w:val="en-US" w:eastAsia="zh-CN" w:bidi="ar"/>
              </w:rPr>
              <w:t>≥ 2年</w:t>
            </w:r>
            <w:r>
              <w:rPr>
                <w:rFonts w:hint="eastAsia" w:ascii="宋体" w:hAnsi="宋体" w:eastAsia="宋体" w:cs="宋体"/>
                <w:i w:val="0"/>
                <w:iCs w:val="0"/>
                <w:color w:val="000000"/>
                <w:kern w:val="0"/>
                <w:sz w:val="21"/>
                <w:szCs w:val="21"/>
                <w:u w:val="none"/>
                <w:lang w:val="en-US" w:eastAsia="zh-CN" w:bidi="ar"/>
              </w:rPr>
              <w:t>。提供过保后年保价格，</w:t>
            </w:r>
          </w:p>
        </w:tc>
        <w:tc>
          <w:tcPr>
            <w:tcW w:w="1492" w:type="dxa"/>
            <w:tcBorders>
              <w:bottom w:val="single" w:color="auto" w:sz="4" w:space="0"/>
              <w:right w:val="single" w:color="auto" w:sz="12" w:space="0"/>
            </w:tcBorders>
            <w:noWrap w:val="0"/>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both"/>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lang w:eastAsia="zh-CN"/>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4"/>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4"/>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4"/>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2"/>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2"/>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2"/>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4"/>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4"/>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4"/>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3D1093C"/>
    <w:rsid w:val="04165086"/>
    <w:rsid w:val="079468F0"/>
    <w:rsid w:val="088815A9"/>
    <w:rsid w:val="0A277157"/>
    <w:rsid w:val="0A323667"/>
    <w:rsid w:val="0A964758"/>
    <w:rsid w:val="0B691EBF"/>
    <w:rsid w:val="0BDB7828"/>
    <w:rsid w:val="0D3C3F90"/>
    <w:rsid w:val="0D6B27A0"/>
    <w:rsid w:val="0D737863"/>
    <w:rsid w:val="0F9D510C"/>
    <w:rsid w:val="0FA00F0B"/>
    <w:rsid w:val="10827943"/>
    <w:rsid w:val="11D15B1C"/>
    <w:rsid w:val="11D56F8A"/>
    <w:rsid w:val="12531874"/>
    <w:rsid w:val="129A029D"/>
    <w:rsid w:val="12C9410A"/>
    <w:rsid w:val="14C02644"/>
    <w:rsid w:val="157B401A"/>
    <w:rsid w:val="165B3C1A"/>
    <w:rsid w:val="17453125"/>
    <w:rsid w:val="184F31D7"/>
    <w:rsid w:val="19915A12"/>
    <w:rsid w:val="199506FC"/>
    <w:rsid w:val="1A2E6DE6"/>
    <w:rsid w:val="1D4821A9"/>
    <w:rsid w:val="202B56B1"/>
    <w:rsid w:val="22723315"/>
    <w:rsid w:val="22CF7097"/>
    <w:rsid w:val="232E51F6"/>
    <w:rsid w:val="23705E06"/>
    <w:rsid w:val="23884864"/>
    <w:rsid w:val="24C52651"/>
    <w:rsid w:val="27E45486"/>
    <w:rsid w:val="28DD687E"/>
    <w:rsid w:val="2B057E38"/>
    <w:rsid w:val="2BA52826"/>
    <w:rsid w:val="2CDA5934"/>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660234"/>
    <w:rsid w:val="3BB420F5"/>
    <w:rsid w:val="3DB75172"/>
    <w:rsid w:val="3F1B3C4A"/>
    <w:rsid w:val="402E62DF"/>
    <w:rsid w:val="402F4957"/>
    <w:rsid w:val="405108FA"/>
    <w:rsid w:val="4136403A"/>
    <w:rsid w:val="41EF774F"/>
    <w:rsid w:val="42660058"/>
    <w:rsid w:val="43824C1A"/>
    <w:rsid w:val="43A157C9"/>
    <w:rsid w:val="449C5243"/>
    <w:rsid w:val="449E2D2B"/>
    <w:rsid w:val="458A740C"/>
    <w:rsid w:val="46094A05"/>
    <w:rsid w:val="460A3EB2"/>
    <w:rsid w:val="46687627"/>
    <w:rsid w:val="477517FF"/>
    <w:rsid w:val="479F5F87"/>
    <w:rsid w:val="497E50E4"/>
    <w:rsid w:val="49CC2349"/>
    <w:rsid w:val="4A254910"/>
    <w:rsid w:val="4AA864D5"/>
    <w:rsid w:val="4B956476"/>
    <w:rsid w:val="4CBE1552"/>
    <w:rsid w:val="4D3D3121"/>
    <w:rsid w:val="4DCB17F7"/>
    <w:rsid w:val="4ED83989"/>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AE71C9E"/>
    <w:rsid w:val="5CD36D91"/>
    <w:rsid w:val="5DEC7787"/>
    <w:rsid w:val="5DFE7766"/>
    <w:rsid w:val="60F93F09"/>
    <w:rsid w:val="65D31C24"/>
    <w:rsid w:val="6634293C"/>
    <w:rsid w:val="669F4579"/>
    <w:rsid w:val="67DB319B"/>
    <w:rsid w:val="680678AC"/>
    <w:rsid w:val="683E0693"/>
    <w:rsid w:val="685E7C65"/>
    <w:rsid w:val="68AB5C34"/>
    <w:rsid w:val="694279A9"/>
    <w:rsid w:val="698F00A6"/>
    <w:rsid w:val="69D24A7C"/>
    <w:rsid w:val="6A670A41"/>
    <w:rsid w:val="6A800692"/>
    <w:rsid w:val="6B900978"/>
    <w:rsid w:val="6BF3478F"/>
    <w:rsid w:val="6D370E4B"/>
    <w:rsid w:val="6DE10695"/>
    <w:rsid w:val="6E0B49D4"/>
    <w:rsid w:val="6E6658CD"/>
    <w:rsid w:val="6E7E61B3"/>
    <w:rsid w:val="6F1A55B9"/>
    <w:rsid w:val="6F9841D5"/>
    <w:rsid w:val="711B411C"/>
    <w:rsid w:val="7392213F"/>
    <w:rsid w:val="73991A3A"/>
    <w:rsid w:val="739F5CC0"/>
    <w:rsid w:val="73F75A9D"/>
    <w:rsid w:val="748F3673"/>
    <w:rsid w:val="755C54CB"/>
    <w:rsid w:val="772F4719"/>
    <w:rsid w:val="773504DF"/>
    <w:rsid w:val="78667688"/>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2"/>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6242</Words>
  <Characters>6411</Characters>
  <Lines>6</Lines>
  <Paragraphs>1</Paragraphs>
  <TotalTime>0</TotalTime>
  <ScaleCrop>false</ScaleCrop>
  <LinksUpToDate>false</LinksUpToDate>
  <CharactersWithSpaces>6795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2022-11-11T03:03:38Z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2052-11.1.0.12763</vt:lpwstr>
  </property>
  <property fmtid="{D5CDD505-2E9C-101B-9397-08002B2CF9AE}" pid="4" name="ICV">
    <vt:lpwstr>99012001CC8449E1B44B4987A03F7E88</vt:lpwstr>
  </property>
</Properties>
</file>