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4"/>
          <w:rFonts w:hint="eastAsia" w:asciiTheme="minorEastAsia" w:hAnsiTheme="minorEastAsia" w:eastAsiaTheme="minorEastAsia" w:cstheme="minorEastAsia"/>
          <w:b/>
          <w:bCs/>
          <w:sz w:val="32"/>
          <w:szCs w:val="32"/>
          <w:lang w:val="en-US" w:eastAsia="zh-CN"/>
        </w:rPr>
      </w:pPr>
      <w:r>
        <w:rPr>
          <w:rStyle w:val="14"/>
          <w:rFonts w:hint="eastAsia" w:asciiTheme="minorEastAsia" w:hAnsiTheme="minorEastAsia" w:eastAsiaTheme="minorEastAsia" w:cstheme="minorEastAsia"/>
          <w:b/>
          <w:bCs/>
          <w:sz w:val="36"/>
          <w:szCs w:val="36"/>
          <w:lang w:val="en-US" w:eastAsia="zh-CN"/>
        </w:rPr>
        <w:t>温州市中医院关于心肺复苏模型（半身、带电子反馈）项目的招标</w:t>
      </w:r>
    </w:p>
    <w:p>
      <w:pPr>
        <w:numPr>
          <w:ilvl w:val="0"/>
          <w:numId w:val="1"/>
        </w:numPr>
        <w:jc w:val="both"/>
        <w:rPr>
          <w:rStyle w:val="14"/>
          <w:rFonts w:hint="eastAsia" w:asciiTheme="minorEastAsia" w:hAnsiTheme="minorEastAsia" w:eastAsiaTheme="minorEastAsia" w:cstheme="minorEastAsia"/>
          <w:b/>
          <w:bCs/>
          <w:sz w:val="32"/>
          <w:szCs w:val="32"/>
        </w:rPr>
      </w:pPr>
      <w:r>
        <w:rPr>
          <w:rStyle w:val="14"/>
          <w:rFonts w:hint="eastAsia" w:asciiTheme="minorEastAsia" w:hAnsiTheme="minorEastAsia" w:eastAsiaTheme="minorEastAsia" w:cstheme="minorEastAsia"/>
          <w:b/>
          <w:bCs/>
          <w:sz w:val="32"/>
          <w:szCs w:val="32"/>
        </w:rPr>
        <w:t>项目基本情况</w:t>
      </w:r>
    </w:p>
    <w:tbl>
      <w:tblPr>
        <w:tblStyle w:val="11"/>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777"/>
        <w:gridCol w:w="1376"/>
        <w:gridCol w:w="2936"/>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357"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sz w:val="22"/>
                <w:szCs w:val="22"/>
              </w:rPr>
            </w:pPr>
            <w:r>
              <w:rPr>
                <w:rFonts w:ascii="Times New Roman" w:hAnsi="Times New Roman"/>
                <w:kern w:val="0"/>
                <w:sz w:val="22"/>
                <w:szCs w:val="22"/>
              </w:rPr>
              <w:t>项目内容</w:t>
            </w:r>
          </w:p>
        </w:tc>
        <w:tc>
          <w:tcPr>
            <w:tcW w:w="777"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sz w:val="22"/>
                <w:szCs w:val="22"/>
              </w:rPr>
            </w:pPr>
            <w:r>
              <w:rPr>
                <w:rFonts w:ascii="Times New Roman" w:hAnsi="Times New Roman"/>
                <w:kern w:val="0"/>
                <w:sz w:val="22"/>
                <w:szCs w:val="22"/>
              </w:rPr>
              <w:t>数量</w:t>
            </w:r>
          </w:p>
        </w:tc>
        <w:tc>
          <w:tcPr>
            <w:tcW w:w="137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Times New Roman" w:hAnsi="Times New Roman" w:eastAsiaTheme="minorEastAsia"/>
                <w:sz w:val="22"/>
                <w:szCs w:val="22"/>
                <w:lang w:eastAsia="zh-CN"/>
              </w:rPr>
            </w:pPr>
            <w:r>
              <w:rPr>
                <w:rFonts w:ascii="Times New Roman" w:hAnsi="Times New Roman"/>
                <w:kern w:val="0"/>
                <w:sz w:val="22"/>
                <w:szCs w:val="22"/>
              </w:rPr>
              <w:t>预算金额</w:t>
            </w:r>
            <w:r>
              <w:rPr>
                <w:rFonts w:hint="eastAsia" w:ascii="Times New Roman" w:hAnsi="Times New Roman"/>
                <w:kern w:val="0"/>
                <w:sz w:val="22"/>
                <w:szCs w:val="22"/>
                <w:lang w:eastAsia="zh-CN"/>
              </w:rPr>
              <w:t>（万元）</w:t>
            </w:r>
          </w:p>
        </w:tc>
        <w:tc>
          <w:tcPr>
            <w:tcW w:w="293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sz w:val="22"/>
                <w:szCs w:val="22"/>
              </w:rPr>
            </w:pPr>
            <w:r>
              <w:rPr>
                <w:rFonts w:ascii="Times New Roman" w:hAnsi="Times New Roman"/>
                <w:kern w:val="0"/>
                <w:sz w:val="22"/>
                <w:szCs w:val="22"/>
              </w:rPr>
              <w:t>简要技术要求、用途</w:t>
            </w:r>
          </w:p>
        </w:tc>
        <w:tc>
          <w:tcPr>
            <w:tcW w:w="1438"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kern w:val="0"/>
                <w:sz w:val="22"/>
                <w:szCs w:val="22"/>
              </w:rPr>
            </w:pPr>
            <w:r>
              <w:rPr>
                <w:rFonts w:ascii="Times New Roman" w:hAnsi="Times New Roman"/>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57"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Times New Roman" w:hAnsi="Times New Roman"/>
                <w:sz w:val="22"/>
                <w:szCs w:val="22"/>
              </w:rPr>
            </w:pPr>
            <w:r>
              <w:rPr>
                <w:rFonts w:hint="eastAsia" w:ascii="Times New Roman" w:hAnsi="宋体" w:eastAsia="宋体" w:cs="Times New Roman"/>
                <w:b w:val="0"/>
                <w:bCs/>
                <w:sz w:val="24"/>
                <w:lang w:val="en-US" w:eastAsia="zh-CN"/>
              </w:rPr>
              <w:t>心肺复苏模型（半身、带电子反馈）</w:t>
            </w:r>
            <w:r>
              <w:rPr>
                <w:rFonts w:hint="eastAsia" w:ascii="Times New Roman" w:hAnsi="宋体" w:eastAsia="宋体" w:cs="Times New Roman"/>
                <w:b/>
                <w:bCs w:val="0"/>
                <w:sz w:val="24"/>
                <w:lang w:val="en-US" w:eastAsia="zh-CN"/>
              </w:rPr>
              <w:t xml:space="preserve"> </w:t>
            </w:r>
          </w:p>
        </w:tc>
        <w:tc>
          <w:tcPr>
            <w:tcW w:w="777"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eastAsia" w:ascii="Times New Roman" w:hAnsi="Times New Roman" w:eastAsiaTheme="minorEastAsia"/>
                <w:sz w:val="22"/>
                <w:szCs w:val="22"/>
                <w:lang w:eastAsia="zh-CN"/>
              </w:rPr>
            </w:pPr>
            <w:r>
              <w:rPr>
                <w:rFonts w:hint="eastAsia" w:ascii="Times New Roman" w:hAnsi="Times New Roman"/>
                <w:kern w:val="0"/>
                <w:sz w:val="22"/>
                <w:szCs w:val="22"/>
                <w:lang w:val="en-US" w:eastAsia="zh-CN"/>
              </w:rPr>
              <w:t>2</w:t>
            </w:r>
          </w:p>
        </w:tc>
        <w:tc>
          <w:tcPr>
            <w:tcW w:w="1376"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hint="default" w:ascii="Times New Roman" w:hAnsi="Times New Roman" w:eastAsiaTheme="minorEastAsia"/>
                <w:b/>
                <w:bCs/>
                <w:sz w:val="22"/>
                <w:szCs w:val="22"/>
                <w:lang w:val="en-US" w:eastAsia="zh-CN"/>
              </w:rPr>
            </w:pPr>
            <w:r>
              <w:rPr>
                <w:rFonts w:hint="eastAsia" w:ascii="Times New Roman" w:hAnsi="Times New Roman"/>
                <w:sz w:val="22"/>
                <w:highlight w:val="none"/>
                <w:lang w:val="en-US" w:eastAsia="zh-CN"/>
              </w:rPr>
              <w:t>10</w:t>
            </w:r>
          </w:p>
        </w:tc>
        <w:tc>
          <w:tcPr>
            <w:tcW w:w="2936" w:type="dxa"/>
            <w:tcBorders>
              <w:top w:val="single" w:color="auto" w:sz="4" w:space="0"/>
              <w:left w:val="single" w:color="auto" w:sz="4" w:space="0"/>
            </w:tcBorders>
            <w:vAlign w:val="center"/>
          </w:tcPr>
          <w:p>
            <w:pPr>
              <w:widowControl/>
              <w:snapToGrid w:val="0"/>
              <w:spacing w:line="460" w:lineRule="exact"/>
              <w:jc w:val="center"/>
              <w:rPr>
                <w:rFonts w:ascii="Times New Roman" w:hAnsi="Times New Roman"/>
                <w:sz w:val="22"/>
                <w:szCs w:val="22"/>
              </w:rPr>
            </w:pPr>
            <w:r>
              <w:rPr>
                <w:rFonts w:ascii="Times New Roman" w:hAnsi="Times New Roman"/>
                <w:sz w:val="22"/>
                <w:szCs w:val="22"/>
              </w:rPr>
              <w:t>详见招标文件项目</w:t>
            </w:r>
            <w:r>
              <w:rPr>
                <w:rFonts w:hint="eastAsia" w:ascii="Times New Roman" w:hAnsi="Times New Roman"/>
                <w:sz w:val="22"/>
                <w:szCs w:val="22"/>
                <w:lang w:eastAsia="zh-CN"/>
              </w:rPr>
              <w:t>商务、</w:t>
            </w:r>
            <w:r>
              <w:rPr>
                <w:rFonts w:ascii="Times New Roman" w:hAnsi="Times New Roman"/>
                <w:sz w:val="22"/>
                <w:szCs w:val="22"/>
              </w:rPr>
              <w:t>技术要求</w:t>
            </w:r>
          </w:p>
        </w:tc>
        <w:tc>
          <w:tcPr>
            <w:tcW w:w="1438" w:type="dxa"/>
            <w:tcBorders>
              <w:top w:val="single" w:color="auto" w:sz="4" w:space="0"/>
              <w:left w:val="single" w:color="auto" w:sz="4" w:space="0"/>
            </w:tcBorders>
            <w:vAlign w:val="center"/>
          </w:tcPr>
          <w:p>
            <w:pPr>
              <w:widowControl/>
              <w:snapToGrid w:val="0"/>
              <w:spacing w:line="460" w:lineRule="exact"/>
              <w:jc w:val="center"/>
              <w:rPr>
                <w:rFonts w:ascii="Times New Roman" w:hAnsi="Times New Roman"/>
                <w:sz w:val="22"/>
                <w:szCs w:val="22"/>
              </w:rPr>
            </w:pPr>
            <w:r>
              <w:rPr>
                <w:rFonts w:hint="eastAsia" w:ascii="Times New Roman" w:hAnsi="Times New Roman"/>
                <w:sz w:val="22"/>
                <w:szCs w:val="22"/>
              </w:rPr>
              <w:t>允许进口</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4"/>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w:t>
      </w:r>
      <w:bookmarkStart w:id="0" w:name="_GoBack"/>
      <w:bookmarkEnd w:id="0"/>
      <w:r>
        <w:rPr>
          <w:rFonts w:hint="eastAsia" w:asciiTheme="minorEastAsia" w:hAnsiTheme="minorEastAsia" w:eastAsiaTheme="minorEastAsia" w:cstheme="minorEastAsia"/>
          <w:sz w:val="24"/>
          <w:szCs w:val="24"/>
        </w:rPr>
        <w:t>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093"/>
        <w:gridCol w:w="6941"/>
        <w:gridCol w:w="11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jc w:val="center"/>
        </w:trPr>
        <w:tc>
          <w:tcPr>
            <w:tcW w:w="593" w:type="pct"/>
            <w:shd w:val="clear" w:color="auto" w:fill="CCCCCC"/>
            <w:noWrap w:val="0"/>
            <w:vAlign w:val="center"/>
          </w:tcPr>
          <w:p>
            <w:pPr>
              <w:pStyle w:val="25"/>
              <w:jc w:val="center"/>
              <w:rPr>
                <w:rStyle w:val="24"/>
                <w:rFonts w:ascii="Times New Roman" w:hAnsi="Times New Roman"/>
                <w:bCs w:val="0"/>
                <w:sz w:val="24"/>
                <w:szCs w:val="24"/>
              </w:rPr>
            </w:pPr>
            <w:r>
              <w:rPr>
                <w:rStyle w:val="24"/>
                <w:rFonts w:ascii="Times New Roman" w:hAnsi="宋体"/>
                <w:bCs w:val="0"/>
                <w:sz w:val="24"/>
                <w:szCs w:val="24"/>
              </w:rPr>
              <w:t>序号</w:t>
            </w:r>
          </w:p>
        </w:tc>
        <w:tc>
          <w:tcPr>
            <w:tcW w:w="3766" w:type="pct"/>
            <w:shd w:val="clear" w:color="auto" w:fill="CCCCCC"/>
            <w:noWrap w:val="0"/>
            <w:vAlign w:val="center"/>
          </w:tcPr>
          <w:p>
            <w:pPr>
              <w:pStyle w:val="25"/>
              <w:jc w:val="center"/>
              <w:rPr>
                <w:rStyle w:val="24"/>
                <w:rFonts w:ascii="Times New Roman" w:hAnsi="Times New Roman"/>
                <w:bCs w:val="0"/>
                <w:sz w:val="24"/>
                <w:szCs w:val="24"/>
              </w:rPr>
            </w:pPr>
            <w:r>
              <w:rPr>
                <w:rStyle w:val="24"/>
                <w:rFonts w:ascii="Times New Roman" w:hAnsi="宋体"/>
                <w:bCs w:val="0"/>
                <w:sz w:val="24"/>
                <w:szCs w:val="24"/>
              </w:rPr>
              <w:t>招标要求</w:t>
            </w:r>
          </w:p>
        </w:tc>
        <w:tc>
          <w:tcPr>
            <w:tcW w:w="639" w:type="pct"/>
            <w:shd w:val="clear" w:color="auto" w:fill="CCCCCC"/>
            <w:noWrap w:val="0"/>
            <w:vAlign w:val="center"/>
          </w:tcPr>
          <w:p>
            <w:pPr>
              <w:pStyle w:val="25"/>
              <w:jc w:val="center"/>
              <w:rPr>
                <w:rStyle w:val="24"/>
                <w:rFonts w:ascii="Times New Roman" w:hAnsi="Times New Roman"/>
                <w:bCs w:val="0"/>
                <w:sz w:val="24"/>
                <w:szCs w:val="24"/>
              </w:rPr>
            </w:pPr>
            <w:r>
              <w:rPr>
                <w:rStyle w:val="24"/>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left"/>
              <w:rPr>
                <w:rFonts w:hint="eastAsia" w:ascii="Times New Roman" w:hAnsi="宋体" w:eastAsia="宋体" w:cs="Times New Roman"/>
                <w:b/>
                <w:bCs w:val="0"/>
                <w:sz w:val="24"/>
                <w:lang w:val="en-US" w:eastAsia="zh-CN"/>
              </w:rPr>
            </w:pPr>
            <w:r>
              <w:rPr>
                <w:rFonts w:hint="eastAsia" w:ascii="Times New Roman" w:hAnsi="宋体" w:eastAsia="宋体" w:cs="Times New Roman"/>
                <w:b/>
                <w:bCs w:val="0"/>
                <w:sz w:val="24"/>
                <w:lang w:val="en-US" w:eastAsia="zh-CN"/>
              </w:rPr>
              <w:t>一</w:t>
            </w:r>
          </w:p>
        </w:tc>
        <w:tc>
          <w:tcPr>
            <w:tcW w:w="3766" w:type="pct"/>
            <w:noWrap w:val="0"/>
            <w:vAlign w:val="top"/>
          </w:tcPr>
          <w:p>
            <w:pPr>
              <w:jc w:val="left"/>
              <w:rPr>
                <w:rFonts w:hint="eastAsia" w:ascii="Times New Roman" w:hAnsi="宋体" w:eastAsia="宋体" w:cs="Times New Roman"/>
                <w:b/>
                <w:bCs w:val="0"/>
                <w:sz w:val="24"/>
                <w:lang w:val="en-US" w:eastAsia="zh-CN"/>
              </w:rPr>
            </w:pPr>
            <w:r>
              <w:rPr>
                <w:rFonts w:hint="eastAsia" w:ascii="Times New Roman" w:hAnsi="宋体" w:eastAsia="宋体" w:cs="Times New Roman"/>
                <w:b/>
                <w:bCs w:val="0"/>
                <w:sz w:val="24"/>
                <w:lang w:val="en-US" w:eastAsia="zh-CN"/>
              </w:rPr>
              <w:t>心肺复苏模型（半身、带电子反馈）  2套</w:t>
            </w:r>
          </w:p>
        </w:tc>
        <w:tc>
          <w:tcPr>
            <w:tcW w:w="639"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sz w:val="24"/>
              </w:rPr>
              <w:t>1</w:t>
            </w:r>
          </w:p>
        </w:tc>
        <w:tc>
          <w:tcPr>
            <w:tcW w:w="3766" w:type="pct"/>
            <w:noWrap w:val="0"/>
            <w:vAlign w:val="top"/>
          </w:tcPr>
          <w:p>
            <w:pPr>
              <w:jc w:val="left"/>
              <w:rPr>
                <w:rFonts w:hint="eastAsia" w:ascii="Times New Roman" w:hAnsi="宋体" w:cs="Times New Roman"/>
                <w:bCs/>
                <w:sz w:val="24"/>
                <w:lang w:val="en-US" w:eastAsia="zh-CN"/>
              </w:rPr>
            </w:pPr>
            <w:r>
              <w:rPr>
                <w:rFonts w:hint="eastAsia" w:ascii="宋体" w:hAnsi="宋体" w:eastAsia="宋体" w:cs="宋体"/>
              </w:rPr>
              <w:t>符合申请美国心脏协会（AHA）BLS基础生命支持课程培训中心验收评估要求</w:t>
            </w:r>
          </w:p>
        </w:tc>
        <w:tc>
          <w:tcPr>
            <w:tcW w:w="639"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sz w:val="24"/>
              </w:rPr>
              <w:t>2</w:t>
            </w:r>
          </w:p>
        </w:tc>
        <w:tc>
          <w:tcPr>
            <w:tcW w:w="3766" w:type="pct"/>
            <w:noWrap w:val="0"/>
            <w:vAlign w:val="top"/>
          </w:tcPr>
          <w:p>
            <w:pPr>
              <w:jc w:val="left"/>
              <w:rPr>
                <w:rFonts w:hint="eastAsia" w:ascii="Times New Roman" w:hAnsi="宋体" w:cs="Times New Roman"/>
                <w:bCs/>
                <w:sz w:val="24"/>
                <w:lang w:val="en-US" w:eastAsia="zh-CN"/>
              </w:rPr>
            </w:pPr>
            <w:r>
              <w:rPr>
                <w:rFonts w:hint="eastAsia" w:ascii="宋体" w:hAnsi="宋体" w:eastAsia="宋体" w:cs="宋体"/>
              </w:rPr>
              <w:t>符合20</w:t>
            </w:r>
            <w:r>
              <w:rPr>
                <w:rFonts w:hint="eastAsia" w:ascii="宋体" w:hAnsi="宋体" w:cs="宋体"/>
                <w:lang w:val="en-US" w:eastAsia="zh-CN"/>
              </w:rPr>
              <w:t>20</w:t>
            </w:r>
            <w:r>
              <w:rPr>
                <w:rFonts w:hint="eastAsia" w:ascii="宋体" w:hAnsi="宋体" w:eastAsia="宋体" w:cs="宋体"/>
              </w:rPr>
              <w:t>版国际复苏指南对QCPR高质量心肺复苏设定的新标准</w:t>
            </w:r>
          </w:p>
        </w:tc>
        <w:tc>
          <w:tcPr>
            <w:tcW w:w="639"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rFonts w:hAnsi="宋体"/>
                <w:bCs/>
                <w:sz w:val="24"/>
              </w:rPr>
              <w:t>3</w:t>
            </w:r>
          </w:p>
        </w:tc>
        <w:tc>
          <w:tcPr>
            <w:tcW w:w="3766" w:type="pct"/>
            <w:noWrap w:val="0"/>
            <w:vAlign w:val="top"/>
          </w:tcPr>
          <w:p>
            <w:pPr>
              <w:bidi w:val="0"/>
              <w:rPr>
                <w:rFonts w:hint="eastAsia" w:ascii="Times New Roman" w:hAnsi="宋体" w:cs="Times New Roman"/>
                <w:bCs/>
                <w:sz w:val="24"/>
                <w:lang w:val="en-US" w:eastAsia="zh-CN"/>
              </w:rPr>
            </w:pPr>
            <w:r>
              <w:rPr>
                <w:rFonts w:hint="eastAsia" w:ascii="宋体" w:hAnsi="宋体" w:eastAsia="宋体" w:cs="宋体"/>
              </w:rPr>
              <w:t>液晶显示反馈装置同步提供的QCPR操作反馈包含：按压位置、按压频率数据、按压力度、按压后胸廓回复完整性、给气肺部充盈度、胃胀气提示、以及CPR过程中按压时间的百分比，并可通过总结反馈来客观评估学生的操作表现。</w:t>
            </w:r>
          </w:p>
        </w:tc>
        <w:tc>
          <w:tcPr>
            <w:tcW w:w="639"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rFonts w:hAnsi="宋体"/>
                <w:bCs/>
                <w:sz w:val="24"/>
              </w:rPr>
              <w:t>4</w:t>
            </w:r>
          </w:p>
        </w:tc>
        <w:tc>
          <w:tcPr>
            <w:tcW w:w="3766" w:type="pct"/>
            <w:noWrap w:val="0"/>
            <w:vAlign w:val="top"/>
          </w:tcPr>
          <w:p>
            <w:pPr>
              <w:jc w:val="left"/>
              <w:rPr>
                <w:rFonts w:hint="eastAsia" w:ascii="Times New Roman" w:hAnsi="宋体" w:cs="Times New Roman"/>
                <w:bCs/>
                <w:sz w:val="24"/>
                <w:lang w:val="en-US" w:eastAsia="zh-CN"/>
              </w:rPr>
            </w:pPr>
            <w:r>
              <w:rPr>
                <w:rFonts w:hint="eastAsia" w:ascii="宋体" w:hAnsi="宋体" w:eastAsia="宋体" w:cs="宋体"/>
              </w:rPr>
              <w:t>模型可真实模仿人体功能和解剖标志，精确解剖标记便于按压点的识别；</w:t>
            </w:r>
          </w:p>
        </w:tc>
        <w:tc>
          <w:tcPr>
            <w:tcW w:w="639"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rFonts w:hAnsi="宋体"/>
                <w:bCs/>
                <w:sz w:val="24"/>
              </w:rPr>
              <w:t>5</w:t>
            </w:r>
          </w:p>
        </w:tc>
        <w:tc>
          <w:tcPr>
            <w:tcW w:w="3766" w:type="pct"/>
            <w:noWrap w:val="0"/>
            <w:vAlign w:val="top"/>
          </w:tcPr>
          <w:p>
            <w:pPr>
              <w:jc w:val="left"/>
              <w:rPr>
                <w:rFonts w:hint="eastAsia" w:ascii="Times New Roman" w:hAnsi="宋体" w:cs="Times New Roman"/>
                <w:bCs/>
                <w:sz w:val="24"/>
                <w:lang w:val="en-US" w:eastAsia="zh-CN"/>
              </w:rPr>
            </w:pPr>
            <w:r>
              <w:rPr>
                <w:rFonts w:hint="eastAsia" w:ascii="宋体" w:hAnsi="宋体" w:eastAsia="宋体" w:cs="宋体"/>
              </w:rPr>
              <w:t>正常体位时气道自然关闭、正确的头后仰/压额抬下颌动作才可打开气管；</w:t>
            </w:r>
          </w:p>
        </w:tc>
        <w:tc>
          <w:tcPr>
            <w:tcW w:w="639"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rFonts w:hAnsi="宋体"/>
                <w:bCs/>
                <w:sz w:val="24"/>
              </w:rPr>
              <w:t>6</w:t>
            </w:r>
          </w:p>
        </w:tc>
        <w:tc>
          <w:tcPr>
            <w:tcW w:w="3766" w:type="pct"/>
            <w:noWrap w:val="0"/>
            <w:vAlign w:val="top"/>
          </w:tcPr>
          <w:p>
            <w:pPr>
              <w:bidi w:val="0"/>
              <w:rPr>
                <w:rFonts w:hint="eastAsia" w:ascii="Times New Roman" w:hAnsi="宋体" w:cs="Times New Roman"/>
                <w:bCs/>
                <w:sz w:val="24"/>
                <w:lang w:val="en-US" w:eastAsia="zh-CN"/>
              </w:rPr>
            </w:pPr>
            <w:r>
              <w:rPr>
                <w:rFonts w:hint="eastAsia" w:ascii="宋体" w:hAnsi="宋体" w:eastAsia="宋体" w:cs="宋体"/>
              </w:rPr>
              <w:t>声效提示通气是充足</w:t>
            </w:r>
            <w:r>
              <w:rPr>
                <w:rFonts w:hint="eastAsia" w:ascii="宋体" w:hAnsi="宋体" w:eastAsia="宋体" w:cs="宋体"/>
                <w:lang w:val="en-US" w:eastAsia="zh-CN"/>
              </w:rPr>
              <w:t>/</w:t>
            </w:r>
            <w:r>
              <w:rPr>
                <w:rFonts w:hint="eastAsia" w:ascii="宋体" w:hAnsi="宋体" w:eastAsia="宋体" w:cs="宋体"/>
              </w:rPr>
              <w:t>不足</w:t>
            </w:r>
            <w:r>
              <w:rPr>
                <w:rFonts w:hint="eastAsia" w:ascii="宋体" w:hAnsi="宋体" w:eastAsia="宋体" w:cs="宋体"/>
                <w:lang w:val="en-US" w:eastAsia="zh-CN"/>
              </w:rPr>
              <w:t>/</w:t>
            </w:r>
            <w:r>
              <w:rPr>
                <w:rFonts w:hint="eastAsia" w:ascii="宋体" w:hAnsi="宋体" w:eastAsia="宋体" w:cs="宋体"/>
              </w:rPr>
              <w:t>过量；可真实模拟颈动脉搏动，人工呼吸时胸部起伏。</w:t>
            </w:r>
          </w:p>
        </w:tc>
        <w:tc>
          <w:tcPr>
            <w:tcW w:w="639"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rFonts w:hAnsi="宋体"/>
                <w:bCs/>
                <w:sz w:val="24"/>
              </w:rPr>
              <w:t>7</w:t>
            </w:r>
          </w:p>
        </w:tc>
        <w:tc>
          <w:tcPr>
            <w:tcW w:w="3766" w:type="pct"/>
            <w:noWrap w:val="0"/>
            <w:vAlign w:val="top"/>
          </w:tcPr>
          <w:p>
            <w:pPr>
              <w:bidi w:val="0"/>
              <w:rPr>
                <w:rFonts w:hint="eastAsia" w:ascii="Times New Roman" w:hAnsi="宋体" w:cs="Times New Roman"/>
                <w:bCs/>
                <w:sz w:val="24"/>
                <w:lang w:val="en-US" w:eastAsia="zh-CN"/>
              </w:rPr>
            </w:pPr>
            <w:r>
              <w:rPr>
                <w:rFonts w:hint="eastAsia" w:ascii="宋体" w:hAnsi="宋体" w:eastAsia="宋体" w:cs="宋体"/>
              </w:rPr>
              <w:t>模型胸部配备了三种可更换的按压弹簧用以模拟三种不同体重的病人，让操作者感受施加25kg、40kg、和60kg的不同按压力度在瘦小、标准、和肥胖病人身上达到胸廓下沉5厘米的要求。</w:t>
            </w:r>
          </w:p>
        </w:tc>
        <w:tc>
          <w:tcPr>
            <w:tcW w:w="639"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rFonts w:hAnsi="宋体"/>
                <w:bCs/>
                <w:sz w:val="24"/>
              </w:rPr>
              <w:t>8</w:t>
            </w:r>
          </w:p>
        </w:tc>
        <w:tc>
          <w:tcPr>
            <w:tcW w:w="3766" w:type="pct"/>
            <w:noWrap w:val="0"/>
            <w:vAlign w:val="top"/>
          </w:tcPr>
          <w:p>
            <w:pPr>
              <w:bidi w:val="0"/>
              <w:rPr>
                <w:rFonts w:hint="eastAsia" w:ascii="宋体" w:hAnsi="宋体" w:eastAsia="宋体" w:cs="宋体"/>
              </w:rPr>
            </w:pPr>
            <w:r>
              <w:rPr>
                <w:rFonts w:hint="eastAsia" w:ascii="宋体" w:hAnsi="宋体" w:eastAsia="宋体" w:cs="宋体"/>
              </w:rPr>
              <w:t>QCPR是为下面目的而建立：</w:t>
            </w:r>
          </w:p>
          <w:p>
            <w:pPr>
              <w:bidi w:val="0"/>
              <w:rPr>
                <w:rFonts w:hint="eastAsia" w:ascii="Times New Roman" w:hAnsi="宋体" w:cs="Times New Roman"/>
                <w:bCs/>
                <w:sz w:val="24"/>
                <w:lang w:val="en-US" w:eastAsia="zh-CN"/>
              </w:rPr>
            </w:pPr>
            <w:r>
              <w:rPr>
                <w:rFonts w:hint="eastAsia" w:ascii="宋体" w:hAnsi="宋体" w:eastAsia="宋体" w:cs="宋体"/>
              </w:rPr>
              <w:t>测量CPR表现、评估表现结果、向教师提供良好的反馈信息</w:t>
            </w:r>
          </w:p>
        </w:tc>
        <w:tc>
          <w:tcPr>
            <w:tcW w:w="639"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rFonts w:hint="eastAsia" w:ascii="宋体" w:hAnsi="宋体" w:eastAsia="宋体"/>
                <w:b/>
                <w:szCs w:val="21"/>
              </w:rPr>
              <w:t>★</w:t>
            </w:r>
            <w:r>
              <w:rPr>
                <w:rFonts w:hAnsi="宋体"/>
                <w:bCs/>
                <w:sz w:val="24"/>
              </w:rPr>
              <w:t>9</w:t>
            </w:r>
          </w:p>
        </w:tc>
        <w:tc>
          <w:tcPr>
            <w:tcW w:w="3766" w:type="pct"/>
            <w:noWrap w:val="0"/>
            <w:vAlign w:val="top"/>
          </w:tcPr>
          <w:p>
            <w:pPr>
              <w:bidi w:val="0"/>
              <w:rPr>
                <w:rFonts w:hint="eastAsia" w:ascii="Times New Roman" w:hAnsi="宋体" w:cs="Times New Roman"/>
                <w:bCs/>
                <w:sz w:val="24"/>
                <w:lang w:val="en-US" w:eastAsia="zh-CN"/>
              </w:rPr>
            </w:pPr>
            <w:r>
              <w:rPr>
                <w:rFonts w:hint="eastAsia" w:ascii="宋体" w:hAnsi="宋体" w:eastAsia="宋体" w:cs="宋体"/>
                <w:lang w:val="en-US" w:eastAsia="zh-CN"/>
              </w:rPr>
              <w:t>导师App应用于iOs平板电脑上，导师App可选择“仅按压”和“30：2”两种模式，计时器可设置为1-10分钟，或无限长。</w:t>
            </w:r>
          </w:p>
        </w:tc>
        <w:tc>
          <w:tcPr>
            <w:tcW w:w="639"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65" w:hRule="atLeast"/>
          <w:jc w:val="center"/>
        </w:trPr>
        <w:tc>
          <w:tcPr>
            <w:tcW w:w="593" w:type="pct"/>
            <w:noWrap w:val="0"/>
            <w:vAlign w:val="top"/>
          </w:tcPr>
          <w:p>
            <w:pPr>
              <w:jc w:val="center"/>
              <w:rPr>
                <w:color w:val="000000"/>
                <w:sz w:val="24"/>
              </w:rPr>
            </w:pPr>
            <w:r>
              <w:rPr>
                <w:rFonts w:hint="eastAsia" w:hAnsi="宋体"/>
                <w:bCs/>
                <w:sz w:val="24"/>
                <w:lang w:val="en-US" w:eastAsia="zh-CN"/>
              </w:rPr>
              <w:t>10</w:t>
            </w:r>
          </w:p>
        </w:tc>
        <w:tc>
          <w:tcPr>
            <w:tcW w:w="3766" w:type="pct"/>
            <w:noWrap w:val="0"/>
            <w:vAlign w:val="top"/>
          </w:tcPr>
          <w:p>
            <w:pPr>
              <w:jc w:val="left"/>
              <w:rPr>
                <w:rFonts w:hint="eastAsia" w:ascii="Times New Roman" w:hAnsi="宋体" w:cs="Times New Roman"/>
                <w:bCs/>
                <w:sz w:val="24"/>
                <w:lang w:val="en-US" w:eastAsia="zh-CN"/>
              </w:rPr>
            </w:pPr>
            <w:r>
              <w:rPr>
                <w:rFonts w:hint="eastAsia" w:ascii="宋体" w:hAnsi="宋体" w:eastAsia="宋体" w:cs="宋体"/>
                <w:lang w:val="en-US" w:eastAsia="zh-CN"/>
              </w:rPr>
              <w:t>导师可对模型编号重新编辑。</w:t>
            </w:r>
          </w:p>
        </w:tc>
        <w:tc>
          <w:tcPr>
            <w:tcW w:w="639"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rFonts w:hint="eastAsia" w:ascii="宋体" w:hAnsi="宋体" w:eastAsia="宋体"/>
                <w:b/>
                <w:szCs w:val="21"/>
              </w:rPr>
              <w:t>★</w:t>
            </w:r>
            <w:r>
              <w:rPr>
                <w:rFonts w:hAnsi="宋体"/>
                <w:bCs/>
                <w:sz w:val="24"/>
              </w:rPr>
              <w:t>1</w:t>
            </w:r>
            <w:r>
              <w:rPr>
                <w:rFonts w:hint="eastAsia" w:hAnsi="宋体"/>
                <w:bCs/>
                <w:sz w:val="24"/>
                <w:lang w:val="en-US" w:eastAsia="zh-CN"/>
              </w:rPr>
              <w:t>1</w:t>
            </w:r>
          </w:p>
        </w:tc>
        <w:tc>
          <w:tcPr>
            <w:tcW w:w="3766" w:type="pct"/>
            <w:noWrap w:val="0"/>
            <w:vAlign w:val="top"/>
          </w:tcPr>
          <w:p>
            <w:pPr>
              <w:bidi w:val="0"/>
              <w:rPr>
                <w:rFonts w:hint="eastAsia" w:ascii="Times New Roman" w:hAnsi="宋体" w:cs="Times New Roman"/>
                <w:bCs/>
                <w:sz w:val="24"/>
                <w:lang w:val="en-US" w:eastAsia="zh-CN"/>
              </w:rPr>
            </w:pPr>
            <w:r>
              <w:rPr>
                <w:rFonts w:hint="eastAsia" w:ascii="宋体" w:hAnsi="宋体" w:eastAsia="宋体" w:cs="宋体"/>
                <w:lang w:val="en-US" w:eastAsia="zh-CN"/>
              </w:rPr>
              <w:t>导师App可以同时连接1到6台模型，可同时对6个模型的CPR表现进行反馈。</w:t>
            </w:r>
          </w:p>
        </w:tc>
        <w:tc>
          <w:tcPr>
            <w:tcW w:w="639"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rFonts w:hint="default" w:eastAsia="宋体"/>
                <w:color w:val="000000"/>
                <w:sz w:val="24"/>
                <w:lang w:val="en-US" w:eastAsia="zh-CN"/>
              </w:rPr>
            </w:pPr>
            <w:r>
              <w:rPr>
                <w:rFonts w:hint="eastAsia" w:ascii="宋体" w:hAnsi="宋体" w:eastAsia="宋体"/>
                <w:b/>
                <w:szCs w:val="21"/>
              </w:rPr>
              <w:t>★</w:t>
            </w:r>
            <w:r>
              <w:rPr>
                <w:rFonts w:hint="eastAsia"/>
                <w:color w:val="000000"/>
                <w:sz w:val="24"/>
                <w:lang w:val="en-US" w:eastAsia="zh-CN"/>
              </w:rPr>
              <w:t>12</w:t>
            </w:r>
          </w:p>
        </w:tc>
        <w:tc>
          <w:tcPr>
            <w:tcW w:w="3766" w:type="pct"/>
            <w:noWrap w:val="0"/>
            <w:vAlign w:val="top"/>
          </w:tcPr>
          <w:p>
            <w:pPr>
              <w:bidi w:val="0"/>
              <w:rPr>
                <w:rFonts w:hint="eastAsia" w:ascii="Times New Roman" w:hAnsi="宋体" w:cs="Times New Roman"/>
                <w:bCs/>
                <w:sz w:val="24"/>
                <w:lang w:val="en-US" w:eastAsia="zh-CN"/>
              </w:rPr>
            </w:pPr>
            <w:r>
              <w:rPr>
                <w:rFonts w:hint="eastAsia" w:ascii="宋体" w:hAnsi="宋体" w:eastAsia="宋体" w:cs="宋体"/>
                <w:lang w:val="en-US" w:eastAsia="zh-CN"/>
              </w:rPr>
              <w:t>学员App 可用于iOs系统平板或手机上，学员App可选择“仅按压”和“30：2”两种模式，计时器可设置为1-10分钟，或无限长。</w:t>
            </w:r>
          </w:p>
        </w:tc>
        <w:tc>
          <w:tcPr>
            <w:tcW w:w="639"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rFonts w:hint="default" w:eastAsia="宋体"/>
                <w:color w:val="000000"/>
                <w:sz w:val="24"/>
                <w:lang w:val="en-US" w:eastAsia="zh-CN"/>
              </w:rPr>
            </w:pPr>
            <w:r>
              <w:rPr>
                <w:rFonts w:hint="eastAsia" w:hAnsi="宋体"/>
                <w:bCs/>
                <w:sz w:val="24"/>
                <w:lang w:val="en-US" w:eastAsia="zh-CN"/>
              </w:rPr>
              <w:t>13</w:t>
            </w:r>
          </w:p>
        </w:tc>
        <w:tc>
          <w:tcPr>
            <w:tcW w:w="3766" w:type="pct"/>
            <w:noWrap w:val="0"/>
            <w:vAlign w:val="top"/>
          </w:tcPr>
          <w:p>
            <w:pPr>
              <w:jc w:val="left"/>
              <w:rPr>
                <w:rFonts w:hint="eastAsia" w:ascii="Times New Roman" w:hAnsi="宋体" w:cs="Times New Roman"/>
                <w:bCs/>
                <w:sz w:val="24"/>
                <w:lang w:val="en-US" w:eastAsia="zh-CN"/>
              </w:rPr>
            </w:pPr>
            <w:r>
              <w:rPr>
                <w:rFonts w:hint="eastAsia" w:ascii="宋体" w:hAnsi="宋体" w:eastAsia="宋体" w:cs="宋体"/>
                <w:lang w:val="en-US" w:eastAsia="zh-CN"/>
              </w:rPr>
              <w:t>学员App只能连接1台模型。</w:t>
            </w:r>
          </w:p>
        </w:tc>
        <w:tc>
          <w:tcPr>
            <w:tcW w:w="639" w:type="pct"/>
            <w:noWrap w:val="0"/>
            <w:vAlign w:val="center"/>
          </w:tcPr>
          <w:p>
            <w:pPr>
              <w:rPr>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rFonts w:hint="eastAsia" w:eastAsia="宋体"/>
                <w:color w:val="000000"/>
                <w:sz w:val="24"/>
                <w:lang w:val="en-US" w:eastAsia="zh-CN"/>
              </w:rPr>
            </w:pPr>
            <w:r>
              <w:rPr>
                <w:rFonts w:hAnsi="宋体"/>
                <w:bCs/>
                <w:sz w:val="24"/>
              </w:rPr>
              <w:t>1</w:t>
            </w:r>
            <w:r>
              <w:rPr>
                <w:rFonts w:hint="eastAsia" w:hAnsi="宋体"/>
                <w:bCs/>
                <w:sz w:val="24"/>
                <w:lang w:val="en-US" w:eastAsia="zh-CN"/>
              </w:rPr>
              <w:t>4</w:t>
            </w:r>
          </w:p>
        </w:tc>
        <w:tc>
          <w:tcPr>
            <w:tcW w:w="3766" w:type="pct"/>
            <w:noWrap w:val="0"/>
            <w:vAlign w:val="top"/>
          </w:tcPr>
          <w:p>
            <w:pPr>
              <w:bidi w:val="0"/>
              <w:rPr>
                <w:rFonts w:hint="eastAsia" w:ascii="Times New Roman" w:hAnsi="宋体" w:cs="Times New Roman"/>
                <w:bCs/>
                <w:sz w:val="24"/>
                <w:lang w:val="en-US" w:eastAsia="zh-CN"/>
              </w:rPr>
            </w:pPr>
            <w:r>
              <w:rPr>
                <w:rFonts w:hint="eastAsia" w:ascii="宋体" w:hAnsi="宋体" w:eastAsia="宋体" w:cs="宋体"/>
                <w:lang w:val="en-US" w:eastAsia="zh-CN"/>
              </w:rPr>
              <w:t>CPR表现操作结果可以保存和事后回看。</w:t>
            </w:r>
          </w:p>
        </w:tc>
        <w:tc>
          <w:tcPr>
            <w:tcW w:w="639"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rFonts w:hint="eastAsia" w:hAnsi="宋体"/>
                <w:bCs/>
                <w:sz w:val="24"/>
                <w:lang w:val="en-US" w:eastAsia="zh-CN"/>
              </w:rPr>
              <w:t>15</w:t>
            </w:r>
          </w:p>
        </w:tc>
        <w:tc>
          <w:tcPr>
            <w:tcW w:w="3766" w:type="pct"/>
            <w:noWrap w:val="0"/>
            <w:vAlign w:val="top"/>
          </w:tcPr>
          <w:p>
            <w:pPr>
              <w:jc w:val="left"/>
              <w:rPr>
                <w:rFonts w:hint="eastAsia" w:ascii="Times New Roman" w:hAnsi="宋体" w:cs="Times New Roman"/>
                <w:bCs/>
                <w:sz w:val="24"/>
                <w:lang w:val="en-US" w:eastAsia="zh-CN"/>
              </w:rPr>
            </w:pPr>
            <w:r>
              <w:rPr>
                <w:rFonts w:hint="eastAsia" w:ascii="宋体" w:hAnsi="宋体" w:eastAsia="宋体" w:cs="宋体"/>
                <w:lang w:val="en-US" w:eastAsia="zh-CN"/>
              </w:rPr>
              <w:t>可选配VGA和HDMI两款苹果设备转接头，可以连接投影/电视/显示器等大屏幕。</w:t>
            </w:r>
          </w:p>
        </w:tc>
        <w:tc>
          <w:tcPr>
            <w:tcW w:w="639"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top"/>
          </w:tcPr>
          <w:p>
            <w:pPr>
              <w:jc w:val="center"/>
              <w:rPr>
                <w:color w:val="000000"/>
                <w:sz w:val="24"/>
              </w:rPr>
            </w:pPr>
            <w:r>
              <w:rPr>
                <w:rFonts w:hint="eastAsia" w:hAnsi="宋体"/>
                <w:bCs/>
                <w:sz w:val="24"/>
                <w:lang w:val="en-US" w:eastAsia="zh-CN"/>
              </w:rPr>
              <w:t>16</w:t>
            </w:r>
          </w:p>
        </w:tc>
        <w:tc>
          <w:tcPr>
            <w:tcW w:w="3766" w:type="pct"/>
            <w:noWrap w:val="0"/>
            <w:vAlign w:val="top"/>
          </w:tcPr>
          <w:p>
            <w:pPr>
              <w:bidi w:val="0"/>
              <w:rPr>
                <w:rFonts w:hint="eastAsia" w:ascii="Times New Roman" w:hAnsi="宋体" w:cs="Times New Roman"/>
                <w:bCs/>
                <w:sz w:val="24"/>
                <w:lang w:val="en-US" w:eastAsia="zh-CN"/>
              </w:rPr>
            </w:pPr>
            <w:r>
              <w:rPr>
                <w:rFonts w:hint="eastAsia" w:ascii="宋体" w:hAnsi="宋体" w:eastAsia="宋体" w:cs="宋体"/>
                <w:lang w:val="en-US" w:eastAsia="zh-CN"/>
              </w:rPr>
              <w:t>当连接平板电脑和手机时，可以对以下内容进行反馈：按压深度、按压回弹、按压速度、CPR章节总时间、按压次数、按压分数、可显示实时和事后CPR表现、通气量、通气次数、CPR章节总分、章节结束提供改进建议。</w:t>
            </w:r>
          </w:p>
        </w:tc>
        <w:tc>
          <w:tcPr>
            <w:tcW w:w="639" w:type="pct"/>
            <w:noWrap w:val="0"/>
            <w:vAlign w:val="center"/>
          </w:tcPr>
          <w:p>
            <w:pPr>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rFonts w:hint="default" w:hAnsi="宋体"/>
                <w:color w:val="000000"/>
                <w:sz w:val="24"/>
                <w:lang w:val="en-US" w:eastAsia="zh-CN"/>
              </w:rPr>
            </w:pPr>
            <w:r>
              <w:rPr>
                <w:rFonts w:hint="eastAsia" w:hAnsi="宋体"/>
                <w:color w:val="000000"/>
                <w:sz w:val="24"/>
                <w:lang w:val="en-US" w:eastAsia="zh-CN"/>
              </w:rPr>
              <w:t>17</w:t>
            </w:r>
          </w:p>
        </w:tc>
        <w:tc>
          <w:tcPr>
            <w:tcW w:w="3766" w:type="pct"/>
            <w:noWrap w:val="0"/>
            <w:vAlign w:val="center"/>
          </w:tcPr>
          <w:p>
            <w:pPr>
              <w:bidi w:val="0"/>
              <w:rPr>
                <w:rFonts w:hAnsi="宋体"/>
                <w:color w:val="000000"/>
                <w:sz w:val="24"/>
              </w:rPr>
            </w:pPr>
            <w:r>
              <w:rPr>
                <w:rFonts w:hint="eastAsia" w:ascii="宋体" w:hAnsi="宋体" w:eastAsia="宋体" w:cs="宋体"/>
                <w:lang w:val="en-US" w:eastAsia="zh-CN"/>
              </w:rPr>
              <w:t>当连接电子显示器时，提供3种反馈模式：实时反馈，总结性反馈，考核模式（隐藏反馈）。</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rFonts w:hint="default" w:hAnsi="宋体"/>
                <w:color w:val="000000"/>
                <w:sz w:val="24"/>
                <w:lang w:val="en-US" w:eastAsia="zh-CN"/>
              </w:rPr>
            </w:pPr>
            <w:r>
              <w:rPr>
                <w:rFonts w:hint="eastAsia" w:hAnsi="宋体"/>
                <w:color w:val="000000"/>
                <w:sz w:val="24"/>
                <w:lang w:val="en-US" w:eastAsia="zh-CN"/>
              </w:rPr>
              <w:t>18</w:t>
            </w:r>
          </w:p>
        </w:tc>
        <w:tc>
          <w:tcPr>
            <w:tcW w:w="3766" w:type="pct"/>
            <w:noWrap w:val="0"/>
            <w:vAlign w:val="center"/>
          </w:tcPr>
          <w:p>
            <w:pPr>
              <w:rPr>
                <w:rFonts w:hAnsi="宋体"/>
                <w:color w:val="000000"/>
                <w:sz w:val="24"/>
              </w:rPr>
            </w:pPr>
            <w:r>
              <w:rPr>
                <w:rFonts w:hint="eastAsia" w:ascii="宋体" w:hAnsi="宋体" w:eastAsia="宋体" w:cs="宋体"/>
                <w:lang w:val="en-US" w:eastAsia="zh-CN"/>
              </w:rPr>
              <w:t>实时反馈内容包括：按压深度、按压速度、不完全回弹、通气量、按压和通气计数。</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rFonts w:hint="default" w:hAnsi="宋体"/>
                <w:color w:val="000000"/>
                <w:sz w:val="24"/>
                <w:lang w:val="en-US" w:eastAsia="zh-CN"/>
              </w:rPr>
            </w:pPr>
            <w:r>
              <w:rPr>
                <w:rFonts w:hint="eastAsia" w:ascii="宋体" w:hAnsi="宋体" w:eastAsia="宋体"/>
                <w:b/>
                <w:szCs w:val="21"/>
              </w:rPr>
              <w:t>★</w:t>
            </w:r>
            <w:r>
              <w:rPr>
                <w:rFonts w:hint="eastAsia" w:hAnsi="宋体"/>
                <w:color w:val="000000"/>
                <w:sz w:val="24"/>
                <w:lang w:val="en-US" w:eastAsia="zh-CN"/>
              </w:rPr>
              <w:t>19</w:t>
            </w:r>
          </w:p>
        </w:tc>
        <w:tc>
          <w:tcPr>
            <w:tcW w:w="3766" w:type="pct"/>
            <w:noWrap w:val="0"/>
            <w:vAlign w:val="center"/>
          </w:tcPr>
          <w:p>
            <w:pPr>
              <w:bidi w:val="0"/>
              <w:rPr>
                <w:rFonts w:hAnsi="宋体"/>
                <w:color w:val="000000"/>
                <w:sz w:val="24"/>
              </w:rPr>
            </w:pPr>
            <w:r>
              <w:rPr>
                <w:rFonts w:hint="eastAsia" w:ascii="宋体" w:hAnsi="宋体" w:eastAsia="宋体" w:cs="宋体"/>
                <w:lang w:val="en-US" w:eastAsia="zh-CN"/>
              </w:rPr>
              <w:t>总结性反馈可显示以下内容：按压分数、通气分数、CPR 持续时间、流量系数</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rFonts w:hint="eastAsia" w:eastAsia="宋体"/>
                <w:color w:val="000000"/>
                <w:sz w:val="24"/>
                <w:lang w:eastAsia="zh-CN"/>
              </w:rPr>
            </w:pPr>
            <w:r>
              <w:rPr>
                <w:rFonts w:hint="eastAsia" w:hAnsi="宋体"/>
                <w:color w:val="000000"/>
                <w:sz w:val="24"/>
                <w:lang w:eastAsia="zh-CN"/>
              </w:rPr>
              <w:t>二</w:t>
            </w:r>
          </w:p>
        </w:tc>
        <w:tc>
          <w:tcPr>
            <w:tcW w:w="3766" w:type="pct"/>
            <w:noWrap w:val="0"/>
            <w:vAlign w:val="center"/>
          </w:tcPr>
          <w:p>
            <w:pPr>
              <w:rPr>
                <w:color w:val="000000"/>
                <w:sz w:val="24"/>
              </w:rPr>
            </w:pPr>
            <w:r>
              <w:rPr>
                <w:rFonts w:hAnsi="宋体"/>
                <w:color w:val="000000"/>
                <w:sz w:val="24"/>
              </w:rPr>
              <w:t>其他</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sz w:val="24"/>
              </w:rPr>
            </w:pPr>
            <w:r>
              <w:rPr>
                <w:sz w:val="24"/>
              </w:rPr>
              <w:t>1</w:t>
            </w:r>
          </w:p>
        </w:tc>
        <w:tc>
          <w:tcPr>
            <w:tcW w:w="3766" w:type="pct"/>
            <w:noWrap w:val="0"/>
            <w:vAlign w:val="center"/>
          </w:tcPr>
          <w:p>
            <w:pPr>
              <w:widowControl/>
              <w:shd w:val="clear" w:color="auto" w:fill="FFFFFF"/>
              <w:jc w:val="left"/>
              <w:rPr>
                <w:color w:val="0000FF"/>
                <w:kern w:val="0"/>
                <w:sz w:val="24"/>
              </w:rPr>
            </w:pPr>
            <w:r>
              <w:rPr>
                <w:rFonts w:hAnsi="宋体"/>
                <w:b/>
                <w:sz w:val="24"/>
              </w:rPr>
              <w:t>投标产品验收合格后保修</w:t>
            </w:r>
            <w:r>
              <w:rPr>
                <w:color w:val="FF0000"/>
                <w:sz w:val="24"/>
              </w:rPr>
              <w:t>≥</w:t>
            </w:r>
            <w:r>
              <w:rPr>
                <w:rFonts w:hint="eastAsia"/>
                <w:color w:val="FF0000"/>
                <w:sz w:val="24"/>
                <w:lang w:val="en-US" w:eastAsia="zh-CN"/>
              </w:rPr>
              <w:t>2</w:t>
            </w:r>
            <w:r>
              <w:rPr>
                <w:rFonts w:hAnsi="宋体"/>
                <w:color w:val="FF0000"/>
                <w:sz w:val="24"/>
              </w:rPr>
              <w:t>年</w:t>
            </w:r>
            <w:r>
              <w:rPr>
                <w:rFonts w:hint="eastAsia" w:ascii="宋体" w:hAnsi="宋体" w:cs="宋体"/>
                <w:sz w:val="24"/>
                <w:szCs w:val="24"/>
                <w:lang w:val="en-US" w:eastAsia="zh-CN"/>
              </w:rPr>
              <w:t>。</w:t>
            </w:r>
            <w:r>
              <w:rPr>
                <w:rFonts w:hAnsi="宋体"/>
                <w:sz w:val="24"/>
              </w:rPr>
              <w:t>投标时</w:t>
            </w:r>
            <w:r>
              <w:rPr>
                <w:rFonts w:hAnsi="宋体"/>
                <w:color w:val="000000"/>
                <w:kern w:val="0"/>
                <w:sz w:val="24"/>
                <w:lang w:bidi="ar"/>
              </w:rPr>
              <w:t>提供制造商原厂保修证明。整机终生免费提供软件功能升级服务</w:t>
            </w:r>
            <w:r>
              <w:rPr>
                <w:rFonts w:hAnsi="宋体"/>
                <w:sz w:val="24"/>
              </w:rPr>
              <w:t>，并及时提供设备新功能和临床应用的资料。零配件在该设备停产后仍需保证</w:t>
            </w:r>
            <w:r>
              <w:rPr>
                <w:sz w:val="24"/>
              </w:rPr>
              <w:t>10</w:t>
            </w:r>
            <w:r>
              <w:rPr>
                <w:rFonts w:hAnsi="宋体"/>
                <w:sz w:val="24"/>
              </w:rPr>
              <w:t>年的供应。。</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sz w:val="24"/>
              </w:rPr>
            </w:pPr>
            <w:r>
              <w:rPr>
                <w:sz w:val="24"/>
              </w:rPr>
              <w:t>2</w:t>
            </w:r>
          </w:p>
        </w:tc>
        <w:tc>
          <w:tcPr>
            <w:tcW w:w="3766" w:type="pct"/>
            <w:noWrap w:val="0"/>
            <w:vAlign w:val="center"/>
          </w:tcPr>
          <w:p>
            <w:pPr>
              <w:widowControl/>
              <w:shd w:val="clear" w:color="auto" w:fill="FFFFFF"/>
              <w:jc w:val="left"/>
              <w:rPr>
                <w:color w:val="0000FF"/>
                <w:kern w:val="0"/>
                <w:sz w:val="24"/>
              </w:rPr>
            </w:pPr>
            <w:r>
              <w:rPr>
                <w:rFonts w:hAnsi="宋体"/>
                <w:bCs/>
                <w:sz w:val="24"/>
              </w:rPr>
              <w:t>报出保后每套设备的年保修价格（允许非连保），不含在投标总价中，</w:t>
            </w:r>
            <w:r>
              <w:rPr>
                <w:rFonts w:hAnsi="宋体"/>
                <w:color w:val="000000"/>
                <w:kern w:val="0"/>
                <w:sz w:val="24"/>
                <w:lang w:bidi="ar"/>
              </w:rPr>
              <w:t>今后医院购买保修，制造商承诺不得高于此价格。</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sz w:val="24"/>
              </w:rPr>
            </w:pPr>
            <w:r>
              <w:rPr>
                <w:sz w:val="24"/>
              </w:rPr>
              <w:t>3</w:t>
            </w:r>
          </w:p>
        </w:tc>
        <w:tc>
          <w:tcPr>
            <w:tcW w:w="3766" w:type="pct"/>
            <w:noWrap w:val="0"/>
            <w:vAlign w:val="center"/>
          </w:tcPr>
          <w:p>
            <w:pPr>
              <w:widowControl/>
              <w:shd w:val="clear" w:color="auto" w:fill="FFFFFF"/>
              <w:jc w:val="left"/>
              <w:rPr>
                <w:color w:val="0000FF"/>
                <w:kern w:val="0"/>
                <w:sz w:val="24"/>
              </w:rPr>
            </w:pPr>
            <w:r>
              <w:rPr>
                <w:rFonts w:hAnsi="宋体"/>
                <w:sz w:val="24"/>
              </w:rPr>
              <w:t>合同签订后</w:t>
            </w:r>
            <w:r>
              <w:rPr>
                <w:sz w:val="24"/>
              </w:rPr>
              <w:t>45</w:t>
            </w:r>
            <w:r>
              <w:rPr>
                <w:rFonts w:hAnsi="宋体"/>
                <w:sz w:val="24"/>
              </w:rPr>
              <w:t>天内到货，货物必须是</w:t>
            </w:r>
            <w:r>
              <w:rPr>
                <w:color w:val="FF0000"/>
                <w:sz w:val="24"/>
              </w:rPr>
              <w:t>202</w:t>
            </w:r>
            <w:r>
              <w:rPr>
                <w:rFonts w:hint="eastAsia"/>
                <w:color w:val="FF0000"/>
                <w:sz w:val="24"/>
                <w:lang w:val="en-US" w:eastAsia="zh-CN"/>
              </w:rPr>
              <w:t>2</w:t>
            </w:r>
            <w:r>
              <w:rPr>
                <w:rFonts w:hAnsi="宋体"/>
                <w:color w:val="FF0000"/>
                <w:sz w:val="24"/>
              </w:rPr>
              <w:t>年</w:t>
            </w:r>
            <w:r>
              <w:rPr>
                <w:color w:val="FF0000"/>
                <w:sz w:val="24"/>
              </w:rPr>
              <w:t>1</w:t>
            </w:r>
            <w:r>
              <w:rPr>
                <w:rFonts w:hAnsi="宋体"/>
                <w:color w:val="FF0000"/>
                <w:sz w:val="24"/>
              </w:rPr>
              <w:t>月</w:t>
            </w:r>
            <w:r>
              <w:rPr>
                <w:color w:val="FF0000"/>
                <w:sz w:val="24"/>
              </w:rPr>
              <w:t>1</w:t>
            </w:r>
            <w:r>
              <w:rPr>
                <w:rFonts w:hAnsi="宋体"/>
                <w:color w:val="FF0000"/>
                <w:sz w:val="24"/>
              </w:rPr>
              <w:t>日</w:t>
            </w:r>
            <w:r>
              <w:rPr>
                <w:rFonts w:hAnsi="宋体"/>
                <w:sz w:val="24"/>
              </w:rPr>
              <w:t>后生产。</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sz w:val="24"/>
              </w:rPr>
            </w:pPr>
            <w:r>
              <w:rPr>
                <w:sz w:val="24"/>
              </w:rPr>
              <w:t>4</w:t>
            </w:r>
          </w:p>
        </w:tc>
        <w:tc>
          <w:tcPr>
            <w:tcW w:w="3766" w:type="pct"/>
            <w:noWrap w:val="0"/>
            <w:vAlign w:val="center"/>
          </w:tcPr>
          <w:p>
            <w:pPr>
              <w:widowControl/>
              <w:shd w:val="clear" w:color="auto" w:fill="FFFFFF"/>
              <w:jc w:val="left"/>
              <w:rPr>
                <w:kern w:val="0"/>
                <w:sz w:val="24"/>
              </w:rPr>
            </w:pPr>
            <w:r>
              <w:rPr>
                <w:rFonts w:hAnsi="宋体"/>
                <w:kern w:val="0"/>
                <w:sz w:val="24"/>
              </w:rPr>
              <w:t>投标产品使用寿命</w:t>
            </w:r>
            <w:r>
              <w:rPr>
                <w:sz w:val="24"/>
              </w:rPr>
              <w:t>≥</w:t>
            </w:r>
            <w:r>
              <w:rPr>
                <w:rFonts w:hint="eastAsia"/>
                <w:sz w:val="24"/>
                <w:lang w:val="en-US" w:eastAsia="zh-CN"/>
              </w:rPr>
              <w:t>5</w:t>
            </w:r>
            <w:r>
              <w:rPr>
                <w:rFonts w:hAnsi="宋体"/>
                <w:sz w:val="24"/>
              </w:rPr>
              <w:t>年，投标时须提供证明材料（依据注册证或说明书或产品铭牌照片）</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sz w:val="24"/>
              </w:rPr>
            </w:pPr>
            <w:r>
              <w:rPr>
                <w:sz w:val="24"/>
              </w:rPr>
              <w:t>5</w:t>
            </w:r>
          </w:p>
        </w:tc>
        <w:tc>
          <w:tcPr>
            <w:tcW w:w="3766" w:type="pct"/>
            <w:noWrap w:val="0"/>
            <w:vAlign w:val="center"/>
          </w:tcPr>
          <w:p>
            <w:pPr>
              <w:widowControl/>
              <w:shd w:val="clear" w:color="auto" w:fill="FFFFFF"/>
              <w:jc w:val="left"/>
              <w:rPr>
                <w:kern w:val="0"/>
                <w:sz w:val="24"/>
              </w:rPr>
            </w:pPr>
            <w:r>
              <w:rPr>
                <w:rFonts w:hAnsi="宋体"/>
                <w:sz w:val="24"/>
              </w:rPr>
              <w:t>保修期内，除一次性耗材，易耗品外其他维修部件全部免费提供，投标时列明一次性耗材、易耗品清单及价格，未列明的视为免费提供。</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sz w:val="24"/>
              </w:rPr>
            </w:pPr>
            <w:r>
              <w:rPr>
                <w:sz w:val="24"/>
              </w:rPr>
              <w:t>6</w:t>
            </w:r>
          </w:p>
        </w:tc>
        <w:tc>
          <w:tcPr>
            <w:tcW w:w="3766" w:type="pct"/>
            <w:noWrap w:val="0"/>
            <w:vAlign w:val="center"/>
          </w:tcPr>
          <w:p>
            <w:pPr>
              <w:widowControl/>
              <w:shd w:val="clear" w:color="auto" w:fill="FFFFFF"/>
              <w:jc w:val="left"/>
              <w:rPr>
                <w:color w:val="0000FF"/>
                <w:kern w:val="0"/>
                <w:sz w:val="24"/>
              </w:rPr>
            </w:pPr>
            <w:r>
              <w:rPr>
                <w:rFonts w:hAnsi="宋体"/>
                <w:spacing w:val="2"/>
                <w:sz w:val="24"/>
              </w:rPr>
              <w:t>设备生命周期内（需满足国家法定要求），因配件无法供应、耗材无法供应、国家法律法规或地方法规、政策原因等等（包括但不限于上述原因的非院方因素）导致设备无法正常使用的，</w:t>
            </w:r>
            <w:r>
              <w:rPr>
                <w:rFonts w:hAnsi="宋体"/>
                <w:sz w:val="24"/>
              </w:rPr>
              <w:t>中标商</w:t>
            </w:r>
            <w:r>
              <w:rPr>
                <w:rFonts w:hAnsi="宋体"/>
                <w:spacing w:val="2"/>
                <w:sz w:val="24"/>
              </w:rPr>
              <w:t>承担设备后续折旧费。设备验收后导致生命周期无法满足国家规定报废最低年限要求的，</w:t>
            </w:r>
            <w:r>
              <w:rPr>
                <w:rFonts w:hAnsi="宋体"/>
                <w:sz w:val="24"/>
              </w:rPr>
              <w:t>中标商</w:t>
            </w:r>
            <w:r>
              <w:rPr>
                <w:rFonts w:hAnsi="宋体"/>
                <w:spacing w:val="2"/>
                <w:sz w:val="24"/>
              </w:rPr>
              <w:t>承担设备不足部分年限折旧费。</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sz w:val="24"/>
              </w:rPr>
            </w:pPr>
            <w:r>
              <w:rPr>
                <w:sz w:val="24"/>
              </w:rPr>
              <w:t>7</w:t>
            </w:r>
          </w:p>
        </w:tc>
        <w:tc>
          <w:tcPr>
            <w:tcW w:w="3766" w:type="pct"/>
            <w:noWrap w:val="0"/>
            <w:vAlign w:val="center"/>
          </w:tcPr>
          <w:p>
            <w:pPr>
              <w:widowControl/>
              <w:shd w:val="clear" w:color="auto" w:fill="FFFFFF"/>
              <w:jc w:val="left"/>
              <w:rPr>
                <w:color w:val="0000FF"/>
                <w:kern w:val="0"/>
                <w:sz w:val="24"/>
              </w:rPr>
            </w:pPr>
            <w:r>
              <w:rPr>
                <w:rFonts w:hAnsi="宋体"/>
                <w:sz w:val="24"/>
              </w:rPr>
              <w:t>投标时标明所有单价</w:t>
            </w:r>
            <w:r>
              <w:rPr>
                <w:sz w:val="24"/>
              </w:rPr>
              <w:t>1000</w:t>
            </w:r>
            <w:r>
              <w:rPr>
                <w:rFonts w:hAnsi="宋体"/>
                <w:sz w:val="24"/>
              </w:rPr>
              <w:t>元以上维修备件的清单和供货价。提供不高于同期温州市其他市级医院相同产品的采购价格的最优惠报价，并承诺</w:t>
            </w:r>
            <w:r>
              <w:rPr>
                <w:sz w:val="24"/>
              </w:rPr>
              <w:t>8</w:t>
            </w:r>
            <w:r>
              <w:rPr>
                <w:rFonts w:hAnsi="宋体"/>
                <w:sz w:val="24"/>
              </w:rPr>
              <w:t>年内售价不得高于此价格。</w:t>
            </w:r>
            <w:r>
              <w:rPr>
                <w:rFonts w:hAnsi="宋体"/>
                <w:b/>
                <w:bCs/>
                <w:sz w:val="24"/>
              </w:rPr>
              <w:t>如未列明，则默认为日后日常使用中免费提供。</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sz w:val="24"/>
              </w:rPr>
            </w:pPr>
            <w:r>
              <w:rPr>
                <w:sz w:val="24"/>
              </w:rPr>
              <w:t>8</w:t>
            </w:r>
          </w:p>
          <w:p>
            <w:pPr>
              <w:jc w:val="center"/>
              <w:rPr>
                <w:sz w:val="24"/>
              </w:rPr>
            </w:pPr>
          </w:p>
        </w:tc>
        <w:tc>
          <w:tcPr>
            <w:tcW w:w="3766" w:type="pct"/>
            <w:noWrap w:val="0"/>
            <w:vAlign w:val="center"/>
          </w:tcPr>
          <w:p>
            <w:pPr>
              <w:ind w:right="-21" w:rightChars="-10"/>
              <w:rPr>
                <w:sz w:val="24"/>
              </w:rPr>
            </w:pPr>
            <w:r>
              <w:rPr>
                <w:rFonts w:hAnsi="宋体"/>
                <w:sz w:val="24"/>
              </w:rPr>
              <w:t>质保期内每年每套设备故障率均不得超过</w:t>
            </w:r>
            <w:r>
              <w:rPr>
                <w:sz w:val="24"/>
              </w:rPr>
              <w:t>14</w:t>
            </w:r>
            <w:r>
              <w:rPr>
                <w:rFonts w:hAnsi="宋体"/>
                <w:sz w:val="24"/>
              </w:rPr>
              <w:t>天，每超过一天该设备质保期相应延长</w:t>
            </w:r>
            <w:r>
              <w:rPr>
                <w:sz w:val="24"/>
              </w:rPr>
              <w:t>10</w:t>
            </w:r>
            <w:r>
              <w:rPr>
                <w:rFonts w:hAnsi="宋体"/>
                <w:sz w:val="24"/>
              </w:rPr>
              <w:t>天。</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jc w:val="center"/>
              <w:rPr>
                <w:sz w:val="24"/>
              </w:rPr>
            </w:pPr>
            <w:r>
              <w:rPr>
                <w:sz w:val="24"/>
              </w:rPr>
              <w:t>9</w:t>
            </w:r>
          </w:p>
        </w:tc>
        <w:tc>
          <w:tcPr>
            <w:tcW w:w="3766" w:type="pct"/>
            <w:noWrap w:val="0"/>
            <w:vAlign w:val="center"/>
          </w:tcPr>
          <w:p>
            <w:pPr>
              <w:ind w:right="-21" w:rightChars="-10"/>
              <w:rPr>
                <w:sz w:val="24"/>
              </w:rPr>
            </w:pPr>
            <w:r>
              <w:rPr>
                <w:rFonts w:hAnsi="宋体"/>
                <w:bCs/>
                <w:kern w:val="0"/>
                <w:sz w:val="24"/>
              </w:rPr>
              <w:t>提供原厂</w:t>
            </w:r>
            <w:r>
              <w:rPr>
                <w:bCs/>
                <w:kern w:val="0"/>
                <w:sz w:val="24"/>
              </w:rPr>
              <w:t>DATASHEET</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b/>
                <w:bCs/>
                <w:sz w:val="24"/>
              </w:rPr>
            </w:pPr>
            <w:r>
              <w:rPr>
                <w:b/>
                <w:bCs/>
                <w:sz w:val="24"/>
              </w:rPr>
              <w:t>10</w:t>
            </w:r>
          </w:p>
        </w:tc>
        <w:tc>
          <w:tcPr>
            <w:tcW w:w="3766" w:type="pct"/>
            <w:noWrap w:val="0"/>
            <w:vAlign w:val="center"/>
          </w:tcPr>
          <w:p>
            <w:pPr>
              <w:ind w:right="-21" w:rightChars="-10"/>
              <w:rPr>
                <w:b/>
                <w:bCs/>
                <w:sz w:val="24"/>
              </w:rPr>
            </w:pPr>
            <w:r>
              <w:rPr>
                <w:rFonts w:hAnsi="宋体"/>
                <w:b/>
                <w:bCs/>
                <w:sz w:val="24"/>
              </w:rPr>
              <w:t>设备安装、调试</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10.1</w:t>
            </w:r>
          </w:p>
        </w:tc>
        <w:tc>
          <w:tcPr>
            <w:tcW w:w="3766" w:type="pct"/>
            <w:noWrap w:val="0"/>
            <w:vAlign w:val="center"/>
          </w:tcPr>
          <w:p>
            <w:pPr>
              <w:ind w:right="-21" w:rightChars="-10"/>
              <w:rPr>
                <w:sz w:val="24"/>
              </w:rPr>
            </w:pPr>
            <w:r>
              <w:rPr>
                <w:rFonts w:hAnsi="宋体"/>
                <w:sz w:val="24"/>
              </w:rPr>
              <w:t>安装地点：采购单位指定位置。</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10.2</w:t>
            </w:r>
          </w:p>
        </w:tc>
        <w:tc>
          <w:tcPr>
            <w:tcW w:w="3766" w:type="pct"/>
            <w:noWrap w:val="0"/>
            <w:vAlign w:val="center"/>
          </w:tcPr>
          <w:p>
            <w:pPr>
              <w:ind w:right="-21" w:rightChars="-10"/>
              <w:rPr>
                <w:sz w:val="24"/>
              </w:rPr>
            </w:pPr>
            <w:r>
              <w:rPr>
                <w:rFonts w:hAnsi="宋体"/>
                <w:sz w:val="24"/>
              </w:rPr>
              <w:t>安装完成时间：投标方应在投标文件中明确正常完成安装调试的时间期限，并提供超出期限情况下投标方对因此给买方造成损失的赔偿计划。</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10.3</w:t>
            </w:r>
          </w:p>
        </w:tc>
        <w:tc>
          <w:tcPr>
            <w:tcW w:w="3766" w:type="pct"/>
            <w:noWrap w:val="0"/>
            <w:vAlign w:val="center"/>
          </w:tcPr>
          <w:p>
            <w:pPr>
              <w:ind w:right="-21" w:rightChars="-10"/>
              <w:rPr>
                <w:sz w:val="24"/>
              </w:rPr>
            </w:pPr>
            <w:r>
              <w:rPr>
                <w:rFonts w:hAnsi="宋体"/>
                <w:sz w:val="24"/>
              </w:rPr>
              <w:t>安装标准：符合中华人民共和国国家有关技术规范要求和技术标准。所有的软件和硬件必须保证同时安装到位。</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10.4</w:t>
            </w:r>
          </w:p>
        </w:tc>
        <w:tc>
          <w:tcPr>
            <w:tcW w:w="3766" w:type="pct"/>
            <w:noWrap w:val="0"/>
            <w:vAlign w:val="center"/>
          </w:tcPr>
          <w:p>
            <w:pPr>
              <w:ind w:right="-21" w:rightChars="-10"/>
              <w:rPr>
                <w:sz w:val="24"/>
              </w:rPr>
            </w:pPr>
            <w:r>
              <w:rPr>
                <w:rFonts w:hAnsi="宋体"/>
                <w:sz w:val="24"/>
              </w:rPr>
              <w:t>安装费用：安装过程中发生的费用</w:t>
            </w:r>
            <w:r>
              <w:rPr>
                <w:rFonts w:hAnsi="宋体"/>
                <w:bCs/>
                <w:kern w:val="0"/>
                <w:sz w:val="24"/>
              </w:rPr>
              <w:t>（含检测、耗材等）</w:t>
            </w:r>
            <w:r>
              <w:rPr>
                <w:rFonts w:hAnsi="宋体"/>
                <w:sz w:val="24"/>
              </w:rPr>
              <w:t>由卖方负责。投标方应在投标文件中提供其安装调试计划和对安装场地和环境的要求。</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10.5</w:t>
            </w:r>
          </w:p>
        </w:tc>
        <w:tc>
          <w:tcPr>
            <w:tcW w:w="3766" w:type="pct"/>
            <w:noWrap w:val="0"/>
            <w:vAlign w:val="center"/>
          </w:tcPr>
          <w:p>
            <w:pPr>
              <w:ind w:right="-21" w:rightChars="-10"/>
              <w:rPr>
                <w:sz w:val="24"/>
              </w:rPr>
            </w:pPr>
            <w:r>
              <w:rPr>
                <w:rFonts w:hAnsi="宋体"/>
                <w:sz w:val="24"/>
              </w:rPr>
              <w:t>安装人员：应由中标方有三台以上（含）同类型设备安装经验的原厂工程师负责安装。</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b/>
                <w:bCs/>
                <w:sz w:val="24"/>
              </w:rPr>
            </w:pPr>
            <w:r>
              <w:rPr>
                <w:b/>
                <w:bCs/>
                <w:sz w:val="24"/>
              </w:rPr>
              <w:t>11</w:t>
            </w:r>
          </w:p>
        </w:tc>
        <w:tc>
          <w:tcPr>
            <w:tcW w:w="3766" w:type="pct"/>
            <w:noWrap w:val="0"/>
            <w:vAlign w:val="center"/>
          </w:tcPr>
          <w:p>
            <w:pPr>
              <w:ind w:right="-21" w:rightChars="-10"/>
              <w:rPr>
                <w:b/>
                <w:bCs/>
                <w:sz w:val="24"/>
              </w:rPr>
            </w:pPr>
            <w:r>
              <w:rPr>
                <w:rFonts w:hAnsi="宋体"/>
                <w:b/>
                <w:bCs/>
                <w:sz w:val="24"/>
              </w:rPr>
              <w:t>培训</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11.1</w:t>
            </w:r>
          </w:p>
        </w:tc>
        <w:tc>
          <w:tcPr>
            <w:tcW w:w="3766" w:type="pct"/>
            <w:noWrap w:val="0"/>
            <w:vAlign w:val="center"/>
          </w:tcPr>
          <w:p>
            <w:pPr>
              <w:ind w:right="-21" w:rightChars="-10"/>
              <w:rPr>
                <w:sz w:val="24"/>
              </w:rPr>
            </w:pPr>
            <w:r>
              <w:rPr>
                <w:rFonts w:hAnsi="宋体"/>
                <w:sz w:val="24"/>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11.2</w:t>
            </w:r>
          </w:p>
        </w:tc>
        <w:tc>
          <w:tcPr>
            <w:tcW w:w="3766" w:type="pct"/>
            <w:noWrap w:val="0"/>
            <w:vAlign w:val="center"/>
          </w:tcPr>
          <w:p>
            <w:pPr>
              <w:ind w:right="-21" w:rightChars="-10"/>
              <w:rPr>
                <w:sz w:val="24"/>
              </w:rPr>
            </w:pPr>
            <w:r>
              <w:rPr>
                <w:rFonts w:hAnsi="宋体"/>
                <w:sz w:val="24"/>
              </w:rPr>
              <w:t>中标方应对买方的操作人员进行培训并承担所有费用。</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11.3</w:t>
            </w:r>
          </w:p>
        </w:tc>
        <w:tc>
          <w:tcPr>
            <w:tcW w:w="3766" w:type="pct"/>
            <w:noWrap w:val="0"/>
            <w:vAlign w:val="center"/>
          </w:tcPr>
          <w:p>
            <w:pPr>
              <w:ind w:right="-21" w:rightChars="-10"/>
              <w:rPr>
                <w:sz w:val="24"/>
              </w:rPr>
            </w:pPr>
            <w:r>
              <w:rPr>
                <w:rFonts w:hAnsi="宋体"/>
                <w:bCs/>
                <w:kern w:val="0"/>
                <w:sz w:val="24"/>
              </w:rPr>
              <w:t>培训完成后，</w:t>
            </w:r>
            <w:r>
              <w:rPr>
                <w:rFonts w:hAnsi="宋体"/>
                <w:sz w:val="24"/>
              </w:rPr>
              <w:t>中标</w:t>
            </w:r>
            <w:r>
              <w:rPr>
                <w:rFonts w:hAnsi="宋体"/>
                <w:bCs/>
                <w:kern w:val="0"/>
                <w:sz w:val="24"/>
              </w:rPr>
              <w:t>方须提供详细培训记录，培训记录应有培训内容、参加人员（签字）、培训地点、培训时间以及操作人员考核情况。</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b/>
                <w:bCs/>
                <w:sz w:val="24"/>
              </w:rPr>
            </w:pPr>
            <w:r>
              <w:rPr>
                <w:b/>
                <w:bCs/>
                <w:sz w:val="24"/>
              </w:rPr>
              <w:t>12</w:t>
            </w:r>
          </w:p>
        </w:tc>
        <w:tc>
          <w:tcPr>
            <w:tcW w:w="3766" w:type="pct"/>
            <w:noWrap w:val="0"/>
            <w:vAlign w:val="center"/>
          </w:tcPr>
          <w:p>
            <w:pPr>
              <w:ind w:right="-21" w:rightChars="-10"/>
              <w:rPr>
                <w:b/>
                <w:bCs/>
                <w:sz w:val="24"/>
              </w:rPr>
            </w:pPr>
            <w:r>
              <w:rPr>
                <w:rFonts w:hAnsi="宋体"/>
                <w:b/>
                <w:bCs/>
                <w:sz w:val="24"/>
              </w:rPr>
              <w:t>验收</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12.1</w:t>
            </w:r>
          </w:p>
        </w:tc>
        <w:tc>
          <w:tcPr>
            <w:tcW w:w="3766" w:type="pct"/>
            <w:noWrap w:val="0"/>
            <w:vAlign w:val="center"/>
          </w:tcPr>
          <w:p>
            <w:pPr>
              <w:ind w:right="-21" w:rightChars="-10"/>
              <w:rPr>
                <w:sz w:val="24"/>
              </w:rPr>
            </w:pPr>
            <w:r>
              <w:rPr>
                <w:rFonts w:hAnsi="宋体"/>
                <w:sz w:val="24"/>
              </w:rPr>
              <w:t>投标方在投标时应提供设备的验收标准、安装技术规范，供买方参考。</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12.2</w:t>
            </w:r>
          </w:p>
        </w:tc>
        <w:tc>
          <w:tcPr>
            <w:tcW w:w="3766" w:type="pct"/>
            <w:noWrap w:val="0"/>
            <w:vAlign w:val="center"/>
          </w:tcPr>
          <w:p>
            <w:pPr>
              <w:ind w:right="-21" w:rightChars="-10"/>
              <w:rPr>
                <w:sz w:val="24"/>
              </w:rPr>
            </w:pPr>
            <w:r>
              <w:rPr>
                <w:rFonts w:hAnsi="宋体"/>
                <w:sz w:val="24"/>
              </w:rPr>
              <w:t>验收依据：按投标文件、招标文件及国家标准验收。</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12.3</w:t>
            </w:r>
          </w:p>
        </w:tc>
        <w:tc>
          <w:tcPr>
            <w:tcW w:w="3766" w:type="pct"/>
            <w:noWrap w:val="0"/>
            <w:vAlign w:val="center"/>
          </w:tcPr>
          <w:p>
            <w:pPr>
              <w:ind w:right="-21" w:rightChars="-10"/>
              <w:rPr>
                <w:sz w:val="24"/>
              </w:rPr>
            </w:pPr>
            <w:r>
              <w:rPr>
                <w:rFonts w:hAnsi="宋体"/>
                <w:sz w:val="24"/>
              </w:rPr>
              <w:t>验收时，投标人提供下列资料：</w:t>
            </w:r>
          </w:p>
          <w:p>
            <w:pPr>
              <w:ind w:right="-21" w:rightChars="-10"/>
              <w:rPr>
                <w:sz w:val="24"/>
              </w:rPr>
            </w:pPr>
            <w:r>
              <w:rPr>
                <w:rFonts w:hAnsi="宋体"/>
                <w:sz w:val="24"/>
              </w:rPr>
              <w:t>提供三证，完整的</w:t>
            </w:r>
            <w:r>
              <w:rPr>
                <w:rFonts w:hAnsi="宋体"/>
                <w:bCs/>
                <w:kern w:val="0"/>
                <w:sz w:val="24"/>
              </w:rPr>
              <w:t>中英文技术资料，包括操作手册</w:t>
            </w:r>
            <w:r>
              <w:rPr>
                <w:rFonts w:hint="eastAsia"/>
                <w:bCs/>
                <w:kern w:val="0"/>
                <w:sz w:val="24"/>
                <w:lang w:val="en-US" w:eastAsia="zh-CN"/>
              </w:rPr>
              <w:t>1</w:t>
            </w:r>
            <w:r>
              <w:rPr>
                <w:rFonts w:hAnsi="宋体"/>
                <w:bCs/>
                <w:kern w:val="0"/>
                <w:sz w:val="24"/>
              </w:rPr>
              <w:t>套、维修手册</w:t>
            </w:r>
            <w:r>
              <w:rPr>
                <w:bCs/>
                <w:kern w:val="0"/>
                <w:sz w:val="24"/>
              </w:rPr>
              <w:t>1</w:t>
            </w:r>
            <w:r>
              <w:rPr>
                <w:rFonts w:hAnsi="宋体"/>
                <w:bCs/>
                <w:kern w:val="0"/>
                <w:sz w:val="24"/>
              </w:rPr>
              <w:t>套及电子版的操作规程等</w:t>
            </w:r>
            <w:r>
              <w:rPr>
                <w:rFonts w:hAnsi="宋体"/>
                <w:sz w:val="24"/>
              </w:rPr>
              <w:t>。同时应提供原厂的出厂配置清单、设备出厂检验报告和质量合格证书等，如系进口产品，还应提供报关证明、</w:t>
            </w:r>
            <w:r>
              <w:rPr>
                <w:rFonts w:hAnsi="宋体"/>
                <w:color w:val="000000"/>
                <w:kern w:val="0"/>
                <w:sz w:val="24"/>
                <w:lang w:bidi="ar"/>
              </w:rPr>
              <w:t>检验检疫合格证明（如需）。如属计量产品还需提供计量检定报告。</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12.4</w:t>
            </w:r>
          </w:p>
        </w:tc>
        <w:tc>
          <w:tcPr>
            <w:tcW w:w="3766" w:type="pct"/>
            <w:noWrap w:val="0"/>
            <w:vAlign w:val="center"/>
          </w:tcPr>
          <w:p>
            <w:pPr>
              <w:ind w:right="-21" w:rightChars="-10"/>
              <w:rPr>
                <w:sz w:val="24"/>
              </w:rPr>
            </w:pPr>
            <w:r>
              <w:rPr>
                <w:rFonts w:hAnsi="宋体"/>
                <w:sz w:val="24"/>
              </w:rPr>
              <w:t>设备到达最终用户后，要求卖方及安装人员会同买方共同参与设备验收。设备安装调试后，卖方负责安装质量，并经验收合格后，买卖双方共同签署设备验收合格证书。</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12.5</w:t>
            </w:r>
          </w:p>
        </w:tc>
        <w:tc>
          <w:tcPr>
            <w:tcW w:w="3766" w:type="pct"/>
            <w:noWrap w:val="0"/>
            <w:vAlign w:val="center"/>
          </w:tcPr>
          <w:p>
            <w:pPr>
              <w:ind w:right="-21" w:rightChars="-10"/>
              <w:rPr>
                <w:sz w:val="24"/>
              </w:rPr>
            </w:pPr>
            <w:r>
              <w:rPr>
                <w:rFonts w:hAnsi="宋体"/>
                <w:kern w:val="0"/>
                <w:sz w:val="24"/>
              </w:rPr>
              <w:t>验收过程中发现货物性能或功能达不到要求，卖方必须更换有关部件，使货物最终达到规定的性能指标和功能要求，但必须在发现问题后</w:t>
            </w:r>
            <w:r>
              <w:rPr>
                <w:kern w:val="0"/>
                <w:sz w:val="24"/>
              </w:rPr>
              <w:t>15</w:t>
            </w:r>
            <w:r>
              <w:rPr>
                <w:rFonts w:hAnsi="宋体"/>
                <w:kern w:val="0"/>
                <w:sz w:val="24"/>
              </w:rPr>
              <w:t>个工作日内完成。</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12.6</w:t>
            </w:r>
          </w:p>
        </w:tc>
        <w:tc>
          <w:tcPr>
            <w:tcW w:w="3766" w:type="pct"/>
            <w:noWrap w:val="0"/>
            <w:vAlign w:val="center"/>
          </w:tcPr>
          <w:p>
            <w:pPr>
              <w:ind w:right="-21" w:rightChars="-10"/>
              <w:rPr>
                <w:sz w:val="24"/>
              </w:rPr>
            </w:pPr>
            <w:r>
              <w:rPr>
                <w:rFonts w:hAnsi="宋体"/>
                <w:sz w:val="24"/>
              </w:rPr>
              <w:t>所有验收相关费用由产品中标方负担</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13</w:t>
            </w:r>
          </w:p>
        </w:tc>
        <w:tc>
          <w:tcPr>
            <w:tcW w:w="3766" w:type="pct"/>
            <w:noWrap w:val="0"/>
            <w:vAlign w:val="center"/>
          </w:tcPr>
          <w:p>
            <w:pPr>
              <w:ind w:right="-21" w:rightChars="-10"/>
              <w:rPr>
                <w:sz w:val="24"/>
              </w:rPr>
            </w:pPr>
            <w:r>
              <w:rPr>
                <w:rFonts w:hAnsi="宋体"/>
                <w:sz w:val="24"/>
              </w:rPr>
              <w:t>付款方式和条件</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13.1</w:t>
            </w:r>
          </w:p>
        </w:tc>
        <w:tc>
          <w:tcPr>
            <w:tcW w:w="3766" w:type="pct"/>
            <w:noWrap w:val="0"/>
            <w:vAlign w:val="center"/>
          </w:tcPr>
          <w:p>
            <w:pPr>
              <w:ind w:right="-21" w:rightChars="-10"/>
              <w:rPr>
                <w:sz w:val="24"/>
              </w:rPr>
            </w:pPr>
            <w:r>
              <w:rPr>
                <w:rFonts w:hAnsi="宋体"/>
                <w:sz w:val="24"/>
              </w:rPr>
              <w:t>付款方式：</w:t>
            </w:r>
            <w:r>
              <w:rPr>
                <w:rFonts w:hAnsi="宋体"/>
                <w:sz w:val="24"/>
                <w:lang w:val="zh-CN"/>
              </w:rPr>
              <w:t>验收合格后卖方开具合同总金额单张发票（若无法开具单张发票，请提供税务额度限制相关证明），买方收到发票后</w:t>
            </w:r>
            <w:r>
              <w:rPr>
                <w:rFonts w:hint="eastAsia"/>
                <w:color w:val="FF0000"/>
                <w:sz w:val="24"/>
                <w:lang w:val="en-US" w:eastAsia="zh-CN"/>
              </w:rPr>
              <w:t>3</w:t>
            </w:r>
            <w:r>
              <w:rPr>
                <w:rFonts w:hAnsi="宋体"/>
                <w:sz w:val="24"/>
                <w:lang w:val="zh-CN"/>
              </w:rPr>
              <w:t>个月内付款</w:t>
            </w:r>
            <w:r>
              <w:rPr>
                <w:rFonts w:hAnsi="宋体"/>
                <w:sz w:val="24"/>
              </w:rPr>
              <w:t>。</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13.2</w:t>
            </w:r>
          </w:p>
        </w:tc>
        <w:tc>
          <w:tcPr>
            <w:tcW w:w="3766" w:type="pct"/>
            <w:noWrap w:val="0"/>
            <w:vAlign w:val="center"/>
          </w:tcPr>
          <w:p>
            <w:pPr>
              <w:ind w:right="-21" w:rightChars="-10"/>
              <w:rPr>
                <w:sz w:val="24"/>
              </w:rPr>
            </w:pPr>
            <w:r>
              <w:rPr>
                <w:rFonts w:hAnsi="宋体"/>
                <w:sz w:val="24"/>
              </w:rPr>
              <w:t>投标商按合同开具多张发票的，额度应大于等于投标单台设备价格，且发票号需连续不中断。</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14</w:t>
            </w:r>
          </w:p>
        </w:tc>
        <w:tc>
          <w:tcPr>
            <w:tcW w:w="3766" w:type="pct"/>
            <w:noWrap w:val="0"/>
            <w:vAlign w:val="center"/>
          </w:tcPr>
          <w:p>
            <w:pPr>
              <w:ind w:right="-21" w:rightChars="-10"/>
              <w:rPr>
                <w:sz w:val="24"/>
              </w:rPr>
            </w:pPr>
            <w:r>
              <w:rPr>
                <w:rFonts w:hAnsi="宋体"/>
                <w:sz w:val="24"/>
              </w:rPr>
              <w:t>延期交货罚款：延期交货每</w:t>
            </w:r>
            <w:r>
              <w:rPr>
                <w:sz w:val="24"/>
              </w:rPr>
              <w:t>7</w:t>
            </w:r>
            <w:r>
              <w:rPr>
                <w:rFonts w:hAnsi="宋体"/>
                <w:sz w:val="24"/>
              </w:rPr>
              <w:t>天，按合同总价的</w:t>
            </w:r>
            <w:r>
              <w:rPr>
                <w:sz w:val="24"/>
              </w:rPr>
              <w:t>0.5%</w:t>
            </w:r>
            <w:r>
              <w:rPr>
                <w:rFonts w:hAnsi="宋体"/>
                <w:sz w:val="24"/>
              </w:rPr>
              <w:t>支付迟交违约金，不足</w:t>
            </w:r>
            <w:r>
              <w:rPr>
                <w:sz w:val="24"/>
              </w:rPr>
              <w:t>7</w:t>
            </w:r>
            <w:r>
              <w:rPr>
                <w:rFonts w:hAnsi="宋体"/>
                <w:sz w:val="24"/>
              </w:rPr>
              <w:t>天按</w:t>
            </w:r>
            <w:r>
              <w:rPr>
                <w:sz w:val="24"/>
              </w:rPr>
              <w:t>7</w:t>
            </w:r>
            <w:r>
              <w:rPr>
                <w:rFonts w:hAnsi="宋体"/>
                <w:sz w:val="24"/>
              </w:rPr>
              <w:t>天计，依次累计，最高罚款为合同总价的</w:t>
            </w:r>
            <w:r>
              <w:rPr>
                <w:sz w:val="24"/>
              </w:rPr>
              <w:t>5%</w:t>
            </w:r>
            <w:r>
              <w:rPr>
                <w:rFonts w:hAnsi="宋体"/>
                <w:sz w:val="24"/>
              </w:rPr>
              <w:t>。</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15</w:t>
            </w:r>
          </w:p>
        </w:tc>
        <w:tc>
          <w:tcPr>
            <w:tcW w:w="3766" w:type="pct"/>
            <w:noWrap w:val="0"/>
            <w:vAlign w:val="center"/>
          </w:tcPr>
          <w:p>
            <w:pPr>
              <w:ind w:right="-21" w:rightChars="-10"/>
              <w:rPr>
                <w:sz w:val="24"/>
              </w:rPr>
            </w:pPr>
            <w:r>
              <w:rPr>
                <w:rFonts w:hAnsi="宋体"/>
                <w:sz w:val="24"/>
              </w:rPr>
              <w:t>保密：招投标及合同中凡涉及买方项目的有关信息，不得透露给第三方。</w:t>
            </w:r>
          </w:p>
        </w:tc>
        <w:tc>
          <w:tcPr>
            <w:tcW w:w="639" w:type="pct"/>
            <w:noWrap w:val="0"/>
            <w:vAlign w:val="center"/>
          </w:tcPr>
          <w:p>
            <w:pPr>
              <w:pStyle w:val="25"/>
              <w:rPr>
                <w:rStyle w:val="24"/>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jc w:val="center"/>
        </w:trPr>
        <w:tc>
          <w:tcPr>
            <w:tcW w:w="593" w:type="pct"/>
            <w:noWrap w:val="0"/>
            <w:vAlign w:val="center"/>
          </w:tcPr>
          <w:p>
            <w:pPr>
              <w:ind w:right="-21" w:rightChars="-10"/>
              <w:jc w:val="center"/>
              <w:rPr>
                <w:sz w:val="24"/>
              </w:rPr>
            </w:pPr>
            <w:r>
              <w:rPr>
                <w:sz w:val="24"/>
              </w:rPr>
              <w:t>16</w:t>
            </w:r>
          </w:p>
        </w:tc>
        <w:tc>
          <w:tcPr>
            <w:tcW w:w="3766" w:type="pct"/>
            <w:noWrap w:val="0"/>
            <w:vAlign w:val="center"/>
          </w:tcPr>
          <w:p>
            <w:pPr>
              <w:ind w:right="-21" w:rightChars="-10"/>
              <w:rPr>
                <w:sz w:val="24"/>
              </w:rPr>
            </w:pPr>
            <w:r>
              <w:rPr>
                <w:rFonts w:hAnsi="宋体"/>
                <w:sz w:val="24"/>
              </w:rPr>
              <w:t>货物购销合同签订的同时，双方须签订廉洁购销合同</w:t>
            </w:r>
          </w:p>
        </w:tc>
        <w:tc>
          <w:tcPr>
            <w:tcW w:w="639" w:type="pct"/>
            <w:noWrap w:val="0"/>
            <w:vAlign w:val="center"/>
          </w:tcPr>
          <w:p>
            <w:pPr>
              <w:pStyle w:val="25"/>
              <w:rPr>
                <w:rStyle w:val="24"/>
                <w:rFonts w:ascii="Times New Roman" w:hAnsi="Times New Roman"/>
                <w:bCs w:val="0"/>
                <w:sz w:val="24"/>
                <w:szCs w:val="24"/>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4"/>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1"/>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8"/>
        <w:keepNext w:val="0"/>
        <w:keepLines w:val="0"/>
        <w:widowControl/>
        <w:numPr>
          <w:ilvl w:val="0"/>
          <w:numId w:val="0"/>
        </w:numPr>
        <w:suppressLineNumbers w:val="0"/>
        <w:spacing w:before="255" w:beforeAutospacing="0" w:after="255" w:afterAutospacing="0" w:line="300" w:lineRule="atLeast"/>
        <w:ind w:leftChars="0" w:right="0" w:rightChars="0"/>
        <w:jc w:val="both"/>
        <w:rPr>
          <w:rStyle w:val="14"/>
          <w:rFonts w:hint="default" w:eastAsia="宋体" w:asciiTheme="minorEastAsia" w:hAnsiTheme="minorEastAsia" w:cstheme="minorEastAsia"/>
          <w:b/>
          <w:bCs/>
          <w:kern w:val="2"/>
          <w:sz w:val="32"/>
          <w:szCs w:val="32"/>
          <w:lang w:val="en-US" w:eastAsia="zh-CN" w:bidi="ar-SA"/>
        </w:rPr>
      </w:pPr>
      <w:r>
        <w:rPr>
          <w:rStyle w:val="14"/>
          <w:rFonts w:hint="eastAsia" w:eastAsia="宋体" w:asciiTheme="minorEastAsia" w:hAnsiTheme="minorEastAsia" w:cstheme="minorEastAsia"/>
          <w:b/>
          <w:bCs/>
          <w:kern w:val="2"/>
          <w:sz w:val="32"/>
          <w:szCs w:val="32"/>
          <w:lang w:val="en-US" w:eastAsia="zh-CN" w:bidi="ar-SA"/>
        </w:rPr>
        <w:t>九、我院正式合同版本</w:t>
      </w:r>
    </w:p>
    <w:p>
      <w:pPr>
        <w:pStyle w:val="9"/>
        <w:rPr>
          <w:rFonts w:hint="eastAsia"/>
          <w:sz w:val="30"/>
          <w:szCs w:val="30"/>
        </w:rPr>
      </w:pPr>
    </w:p>
    <w:p>
      <w:pPr>
        <w:pStyle w:val="9"/>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1"/>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8"/>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8"/>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8"/>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8"/>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8"/>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8"/>
              <w:jc w:val="center"/>
              <w:rPr>
                <w:b/>
                <w:color w:val="000000" w:themeColor="text1"/>
                <w:sz w:val="22"/>
                <w:szCs w:val="22"/>
                <w:lang w:val="en-US"/>
                <w14:textFill>
                  <w14:solidFill>
                    <w14:schemeClr w14:val="tx1"/>
                  </w14:solidFill>
                </w14:textFill>
              </w:rPr>
            </w:pPr>
          </w:p>
        </w:tc>
        <w:tc>
          <w:tcPr>
            <w:tcW w:w="1418" w:type="dxa"/>
            <w:vAlign w:val="center"/>
          </w:tcPr>
          <w:p>
            <w:pPr>
              <w:pStyle w:val="18"/>
              <w:jc w:val="center"/>
              <w:rPr>
                <w:b/>
                <w:color w:val="000000" w:themeColor="text1"/>
                <w:sz w:val="22"/>
                <w:szCs w:val="22"/>
                <w:lang w:val="en-US"/>
                <w14:textFill>
                  <w14:solidFill>
                    <w14:schemeClr w14:val="tx1"/>
                  </w14:solidFill>
                </w14:textFill>
              </w:rPr>
            </w:pPr>
          </w:p>
        </w:tc>
        <w:tc>
          <w:tcPr>
            <w:tcW w:w="1559" w:type="dxa"/>
            <w:vAlign w:val="center"/>
          </w:tcPr>
          <w:p>
            <w:pPr>
              <w:pStyle w:val="18"/>
              <w:jc w:val="center"/>
              <w:rPr>
                <w:b/>
                <w:color w:val="000000" w:themeColor="text1"/>
                <w:sz w:val="22"/>
                <w:szCs w:val="22"/>
                <w:lang w:val="en-US"/>
                <w14:textFill>
                  <w14:solidFill>
                    <w14:schemeClr w14:val="tx1"/>
                  </w14:solidFill>
                </w14:textFill>
              </w:rPr>
            </w:pPr>
          </w:p>
        </w:tc>
        <w:tc>
          <w:tcPr>
            <w:tcW w:w="2126" w:type="dxa"/>
            <w:vAlign w:val="center"/>
          </w:tcPr>
          <w:p>
            <w:pPr>
              <w:pStyle w:val="18"/>
              <w:jc w:val="center"/>
              <w:rPr>
                <w:rFonts w:ascii="Verdana"/>
                <w:color w:val="000000" w:themeColor="text1"/>
                <w:sz w:val="22"/>
                <w:szCs w:val="22"/>
                <w14:textFill>
                  <w14:solidFill>
                    <w14:schemeClr w14:val="tx1"/>
                  </w14:solidFill>
                </w14:textFill>
              </w:rPr>
            </w:pPr>
          </w:p>
        </w:tc>
        <w:tc>
          <w:tcPr>
            <w:tcW w:w="993" w:type="dxa"/>
            <w:vAlign w:val="center"/>
          </w:tcPr>
          <w:p>
            <w:pPr>
              <w:pStyle w:val="18"/>
              <w:jc w:val="center"/>
              <w:rPr>
                <w:rFonts w:ascii="Verdana"/>
                <w:color w:val="000000" w:themeColor="text1"/>
                <w:sz w:val="22"/>
                <w:szCs w:val="22"/>
                <w14:textFill>
                  <w14:solidFill>
                    <w14:schemeClr w14:val="tx1"/>
                  </w14:solidFill>
                </w14:textFill>
              </w:rPr>
            </w:pPr>
          </w:p>
        </w:tc>
        <w:tc>
          <w:tcPr>
            <w:tcW w:w="1353" w:type="dxa"/>
            <w:vAlign w:val="center"/>
          </w:tcPr>
          <w:p>
            <w:pPr>
              <w:pStyle w:val="18"/>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8"/>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19"/>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w:t>
      </w:r>
      <w:r>
        <w:rPr>
          <w:rFonts w:hint="eastAsia"/>
          <w:color w:val="000000" w:themeColor="text1"/>
          <w:spacing w:val="-6"/>
          <w:sz w:val="22"/>
          <w:szCs w:val="22"/>
          <w:highlight w:val="none"/>
          <w:u w:val="single"/>
          <w:lang w:val="en-US"/>
          <w14:textFill>
            <w14:solidFill>
              <w14:schemeClr w14:val="tx1"/>
            </w14:solidFill>
          </w14:textFill>
        </w:rPr>
        <w:t xml:space="preserve">    </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19"/>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个工作日</w:t>
      </w:r>
      <w:r>
        <w:rPr>
          <w:rFonts w:hint="eastAsia"/>
          <w:color w:val="000000" w:themeColor="text1"/>
          <w:sz w:val="22"/>
          <w:szCs w:val="22"/>
          <w:highlight w:val="none"/>
          <w:lang w:eastAsia="zh-CN"/>
          <w14:textFill>
            <w14:solidFill>
              <w14:schemeClr w14:val="tx1"/>
            </w14:solidFill>
          </w14:textFill>
        </w:rPr>
        <w:t>内</w:t>
      </w:r>
    </w:p>
    <w:p>
      <w:pPr>
        <w:pStyle w:val="19"/>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19"/>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highlight w:val="none"/>
          <w:u w:val="single" w:color="4068E0"/>
          <w:lang w:val="en-US" w:eastAsia="zh-CN" w:bidi="zh-CN"/>
          <w14:textFill>
            <w14:solidFill>
              <w14:schemeClr w14:val="tx1"/>
            </w14:solidFill>
          </w14:textFill>
        </w:rPr>
        <w:t xml:space="preserve"> 3 </w:t>
      </w:r>
      <w:r>
        <w:rPr>
          <w:rFonts w:hint="default"/>
          <w:color w:val="000000" w:themeColor="text1"/>
          <w:sz w:val="22"/>
          <w:szCs w:val="22"/>
          <w:highlight w:val="none"/>
          <w:lang w:val="zh-CN"/>
          <w14:textFill>
            <w14:solidFill>
              <w14:schemeClr w14:val="tx1"/>
            </w14:solidFill>
          </w14:textFill>
        </w:rPr>
        <w:t>个月</w:t>
      </w:r>
      <w:r>
        <w:rPr>
          <w:color w:val="000000" w:themeColor="text1"/>
          <w:sz w:val="22"/>
          <w:szCs w:val="22"/>
          <w:highlight w:val="none"/>
          <w:lang w:val="zh-CN"/>
          <w14:textFill>
            <w14:solidFill>
              <w14:schemeClr w14:val="tx1"/>
            </w14:solidFill>
          </w14:textFill>
        </w:rPr>
        <w:t>内</w:t>
      </w:r>
      <w:r>
        <w:rPr>
          <w:color w:val="000000" w:themeColor="text1"/>
          <w:sz w:val="22"/>
          <w:szCs w:val="22"/>
          <w:highlight w:val="none"/>
          <w14:textFill>
            <w14:solidFill>
              <w14:schemeClr w14:val="tx1"/>
            </w14:solidFill>
          </w14:textFill>
        </w:rPr>
        <w:t>，甲方向乙方支付全部合同价款。</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19"/>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19"/>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19"/>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9"/>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9"/>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9"/>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9"/>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hint="eastAsia"/>
          <w:color w:val="000000" w:themeColor="text1"/>
          <w:sz w:val="22"/>
          <w:szCs w:val="22"/>
          <w14:textFill>
            <w14:solidFill>
              <w14:schemeClr w14:val="tx1"/>
            </w14:solidFill>
          </w14:textFill>
        </w:rPr>
        <w:t>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9"/>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9"/>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9"/>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9"/>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9"/>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w:t>
      </w:r>
      <w:r>
        <w:rPr>
          <w:color w:val="000000" w:themeColor="text1"/>
          <w:spacing w:val="3"/>
          <w:sz w:val="22"/>
          <w:szCs w:val="22"/>
          <w:u w:val="none" w:color="auto"/>
          <w14:textFill>
            <w14:solidFill>
              <w14:schemeClr w14:val="tx1"/>
            </w14:solidFill>
          </w14:textFill>
        </w:rPr>
        <w:t>百分之五</w:t>
      </w:r>
      <w:r>
        <w:rPr>
          <w:color w:val="000000" w:themeColor="text1"/>
          <w:sz w:val="22"/>
          <w:szCs w:val="22"/>
          <w14:textFill>
            <w14:solidFill>
              <w14:schemeClr w14:val="tx1"/>
            </w14:solidFill>
          </w14:textFill>
        </w:rPr>
        <w:t>违约金。</w:t>
      </w:r>
    </w:p>
    <w:p>
      <w:pPr>
        <w:pStyle w:val="19"/>
        <w:numPr>
          <w:ilvl w:val="0"/>
          <w:numId w:val="0"/>
        </w:numPr>
        <w:tabs>
          <w:tab w:val="left" w:pos="522"/>
        </w:tabs>
        <w:spacing w:before="117"/>
        <w:ind w:left="351" w:leftChars="0"/>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hint="eastAsia" w:ascii="Verdana" w:eastAsia="宋体"/>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none" w:color="auto"/>
          <w14:textFill>
            <w14:solidFill>
              <w14:schemeClr w14:val="tx1"/>
            </w14:solidFill>
          </w14:textFill>
        </w:rPr>
        <w:t>万分之五</w:t>
      </w:r>
      <w:r>
        <w:rPr>
          <w:color w:val="000000" w:themeColor="text1"/>
          <w:sz w:val="22"/>
          <w:szCs w:val="22"/>
          <w14:textFill>
            <w14:solidFill>
              <w14:schemeClr w14:val="tx1"/>
            </w14:solidFill>
          </w14:textFill>
        </w:rPr>
        <w:t>向乙方支付违约金</w:t>
      </w:r>
      <w:r>
        <w:rPr>
          <w:rFonts w:hint="eastAsia"/>
          <w:color w:val="000000" w:themeColor="text1"/>
          <w:sz w:val="22"/>
          <w:szCs w:val="22"/>
          <w:lang w:eastAsia="zh-CN"/>
          <w14:textFill>
            <w14:solidFill>
              <w14:schemeClr w14:val="tx1"/>
            </w14:solidFill>
          </w14:textFill>
        </w:rPr>
        <w:t>，最高不超过合同总金额的</w:t>
      </w:r>
      <w:r>
        <w:rPr>
          <w:rFonts w:hint="eastAsia"/>
          <w:color w:val="000000" w:themeColor="text1"/>
          <w:sz w:val="22"/>
          <w:szCs w:val="22"/>
          <w:lang w:val="en-US" w:eastAsia="zh-CN"/>
          <w14:textFill>
            <w14:solidFill>
              <w14:schemeClr w14:val="tx1"/>
            </w14:solidFill>
          </w14:textFill>
        </w:rPr>
        <w:t>5%。</w:t>
      </w:r>
    </w:p>
    <w:p>
      <w:pPr>
        <w:pStyle w:val="19"/>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none" w:color="auto"/>
          <w14:textFill>
            <w14:solidFill>
              <w14:schemeClr w14:val="tx1"/>
            </w14:solidFill>
          </w14:textFill>
        </w:rPr>
        <w:t>千分之六</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u w:val="none"/>
          <w14:textFill>
            <w14:solidFill>
              <w14:schemeClr w14:val="tx1"/>
            </w14:solidFill>
          </w14:textFill>
        </w:rPr>
        <w:t>5%</w:t>
      </w:r>
      <w:r>
        <w:rPr>
          <w:rFonts w:hint="eastAsia"/>
          <w:color w:val="000000" w:themeColor="text1"/>
          <w:sz w:val="22"/>
          <w:szCs w:val="22"/>
          <w:u w:val="non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9"/>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9"/>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9"/>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9"/>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9"/>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9"/>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9"/>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9"/>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9"/>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1"/>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9915A12"/>
    <w:rsid w:val="1A2E6DE6"/>
    <w:rsid w:val="1D4821A9"/>
    <w:rsid w:val="202B56B1"/>
    <w:rsid w:val="22723315"/>
    <w:rsid w:val="22CF7097"/>
    <w:rsid w:val="232E51F6"/>
    <w:rsid w:val="23705E06"/>
    <w:rsid w:val="23884864"/>
    <w:rsid w:val="24C52651"/>
    <w:rsid w:val="26634375"/>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870F54"/>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3A157C9"/>
    <w:rsid w:val="449C5243"/>
    <w:rsid w:val="449E2D2B"/>
    <w:rsid w:val="46094A05"/>
    <w:rsid w:val="460A3EB2"/>
    <w:rsid w:val="477517FF"/>
    <w:rsid w:val="479F5F87"/>
    <w:rsid w:val="497E50E4"/>
    <w:rsid w:val="49CC2349"/>
    <w:rsid w:val="4A254910"/>
    <w:rsid w:val="4AA864D5"/>
    <w:rsid w:val="4B956476"/>
    <w:rsid w:val="4CBE1552"/>
    <w:rsid w:val="4D3D3121"/>
    <w:rsid w:val="4DCB17F7"/>
    <w:rsid w:val="4ED83989"/>
    <w:rsid w:val="529E0326"/>
    <w:rsid w:val="52A1522E"/>
    <w:rsid w:val="53423D16"/>
    <w:rsid w:val="534B0A6F"/>
    <w:rsid w:val="539D45B7"/>
    <w:rsid w:val="53CA557A"/>
    <w:rsid w:val="545A32FC"/>
    <w:rsid w:val="547D6E0D"/>
    <w:rsid w:val="55382DBA"/>
    <w:rsid w:val="55596194"/>
    <w:rsid w:val="56A54B82"/>
    <w:rsid w:val="584110E8"/>
    <w:rsid w:val="587C329C"/>
    <w:rsid w:val="595B205E"/>
    <w:rsid w:val="5A4777C5"/>
    <w:rsid w:val="5A6E001E"/>
    <w:rsid w:val="5CD36D91"/>
    <w:rsid w:val="5DEC7787"/>
    <w:rsid w:val="5DFE7766"/>
    <w:rsid w:val="60F93F09"/>
    <w:rsid w:val="65D31C24"/>
    <w:rsid w:val="6634293C"/>
    <w:rsid w:val="669F4579"/>
    <w:rsid w:val="680678AC"/>
    <w:rsid w:val="683E0693"/>
    <w:rsid w:val="685E7C65"/>
    <w:rsid w:val="68AB5C34"/>
    <w:rsid w:val="694279A9"/>
    <w:rsid w:val="698F00A6"/>
    <w:rsid w:val="6A670A41"/>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0B3B0A"/>
    <w:rsid w:val="7C4831AB"/>
    <w:rsid w:val="7CA6287C"/>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4"/>
    <w:qFormat/>
    <w:uiPriority w:val="0"/>
    <w:pPr>
      <w:ind w:firstLine="420"/>
    </w:pPr>
    <w:rPr>
      <w:rFonts w:ascii="Calibri" w:hAnsi="Calibri" w:eastAsia="宋体" w:cs="Times New Roman"/>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qFormat/>
    <w:uiPriority w:val="20"/>
    <w:rPr>
      <w:i/>
      <w:iCs/>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semiHidden/>
    <w:qFormat/>
    <w:uiPriority w:val="0"/>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宋体" w:hAnsi="宋体" w:eastAsia="宋体" w:cs="宋体"/>
      <w:b/>
      <w:bCs/>
      <w:color w:val="000000"/>
      <w:sz w:val="24"/>
      <w:szCs w:val="24"/>
      <w:u w:val="none"/>
    </w:rPr>
  </w:style>
  <w:style w:type="character" w:customStyle="1" w:styleId="24">
    <w:name w:val="Anrede1IhrZeichen"/>
    <w:qFormat/>
    <w:uiPriority w:val="0"/>
    <w:rPr>
      <w:rFonts w:hint="default" w:ascii="Arial" w:hAnsi="Arial"/>
      <w:sz w:val="20"/>
    </w:rPr>
  </w:style>
  <w:style w:type="paragraph" w:customStyle="1" w:styleId="25">
    <w:name w:val="AbsatzTableFormat"/>
    <w:basedOn w:val="1"/>
    <w:qFormat/>
    <w:uiPriority w:val="0"/>
    <w:pPr>
      <w:widowControl/>
      <w:jc w:val="left"/>
    </w:pPr>
    <w:rPr>
      <w:rFonts w:ascii="Arial Narrow" w:hAnsi="Arial Narrow"/>
      <w:bCs/>
      <w:kern w:val="0"/>
      <w:sz w:val="22"/>
      <w:szCs w:val="21"/>
      <w:lang w:val="de-DE"/>
    </w:rPr>
  </w:style>
  <w:style w:type="paragraph" w:customStyle="1" w:styleId="26">
    <w:name w:val="Plain Text1"/>
    <w:basedOn w:val="27"/>
    <w:qFormat/>
    <w:uiPriority w:val="0"/>
    <w:pPr>
      <w:widowControl/>
      <w:jc w:val="left"/>
    </w:pPr>
    <w:rPr>
      <w:rFonts w:ascii="宋体" w:hAnsi="Courier New"/>
    </w:rPr>
  </w:style>
  <w:style w:type="paragraph" w:customStyle="1" w:styleId="27">
    <w:name w:val="Normal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11</Pages>
  <Words>7787</Words>
  <Characters>8003</Characters>
  <Lines>6</Lines>
  <Paragraphs>1</Paragraphs>
  <TotalTime>0</TotalTime>
  <ScaleCrop>false</ScaleCrop>
  <LinksUpToDate>false</LinksUpToDate>
  <CharactersWithSpaces>8389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2022-11-10T02:04:53Z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2052-11.1.0.12763</vt:lpwstr>
  </property>
  <property fmtid="{D5CDD505-2E9C-101B-9397-08002B2CF9AE}" pid="4" name="ICV">
    <vt:lpwstr>99012001CC8449E1B44B4987A03F7E88</vt:lpwstr>
  </property>
</Properties>
</file>