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温州市中医院关于半自动核酸提取仪项目的招标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2022-sb-cg-066</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项目名称：半自动</w:t>
            </w:r>
            <w:r>
              <w:rPr>
                <w:rFonts w:hint="eastAsia" w:ascii="宋体" w:hAnsi="宋体" w:eastAsia="宋体" w:cs="宋体"/>
                <w:b w:val="0"/>
                <w:bCs w:val="0"/>
                <w:color w:val="auto"/>
                <w:sz w:val="24"/>
                <w:szCs w:val="24"/>
                <w:lang w:eastAsia="zh-CN"/>
              </w:rPr>
              <w:t>核酸</w:t>
            </w:r>
            <w:r>
              <w:rPr>
                <w:rFonts w:hint="eastAsia" w:ascii="宋体" w:hAnsi="宋体" w:eastAsia="宋体" w:cs="宋体"/>
                <w:b w:val="0"/>
                <w:bCs w:val="0"/>
                <w:color w:val="auto"/>
                <w:sz w:val="24"/>
                <w:szCs w:val="24"/>
              </w:rPr>
              <w:t>提取仪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eastAsia="宋体" w:cs="宋体"/>
                <w:sz w:val="24"/>
                <w:szCs w:val="24"/>
              </w:rPr>
              <w:t>采购</w:t>
            </w:r>
            <w:r>
              <w:rPr>
                <w:rFonts w:hint="eastAsia" w:ascii="宋体" w:hAnsi="宋体" w:eastAsia="宋体" w:cs="Times New Roman"/>
                <w:sz w:val="24"/>
                <w:szCs w:val="24"/>
              </w:rPr>
              <w:t>核酸提取仪</w:t>
            </w:r>
            <w:r>
              <w:rPr>
                <w:rFonts w:hint="eastAsia" w:ascii="宋体" w:hAnsi="宋体" w:eastAsia="宋体" w:cs="Times New Roman"/>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bookmarkStart w:id="0" w:name="_GoBack"/>
      <w:bookmarkEnd w:id="0"/>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pPr w:leftFromText="180" w:rightFromText="180" w:vertAnchor="page" w:horzAnchor="page" w:tblpXSpec="center" w:tblpY="6571"/>
        <w:tblOverlap w:val="neve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136"/>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spacing w:after="0"/>
              <w:rPr>
                <w:rFonts w:eastAsia="宋体" w:asciiTheme="minorEastAsia" w:hAnsiTheme="minorEastAsia" w:cstheme="minorEastAsia"/>
                <w:sz w:val="24"/>
                <w:szCs w:val="24"/>
              </w:rPr>
            </w:pPr>
            <w:r>
              <w:rPr>
                <w:rFonts w:hint="eastAsia" w:asciiTheme="minorEastAsia" w:hAnsiTheme="minorEastAsia" w:eastAsiaTheme="minorEastAsia" w:cstheme="minorEastAsia"/>
                <w:sz w:val="24"/>
                <w:szCs w:val="24"/>
              </w:rPr>
              <w:t>序号</w:t>
            </w:r>
          </w:p>
        </w:tc>
        <w:tc>
          <w:tcPr>
            <w:tcW w:w="7136"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b/>
                <w:sz w:val="24"/>
                <w:szCs w:val="24"/>
              </w:rPr>
              <w:t xml:space="preserve">                 商务、技术参数要求</w:t>
            </w:r>
          </w:p>
        </w:tc>
        <w:tc>
          <w:tcPr>
            <w:tcW w:w="1335"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一</w:t>
            </w:r>
          </w:p>
        </w:tc>
        <w:tc>
          <w:tcPr>
            <w:tcW w:w="7136"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总体要求</w:t>
            </w:r>
          </w:p>
        </w:tc>
        <w:tc>
          <w:tcPr>
            <w:tcW w:w="1335"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sz w:val="24"/>
                <w:szCs w:val="24"/>
              </w:rPr>
              <w:t>1.1</w:t>
            </w:r>
          </w:p>
        </w:tc>
        <w:tc>
          <w:tcPr>
            <w:tcW w:w="7136" w:type="dxa"/>
          </w:tcPr>
          <w:p>
            <w:pPr>
              <w:spacing w:after="0"/>
              <w:textAlignment w:val="top"/>
              <w:rPr>
                <w:rFonts w:hint="eastAsia" w:eastAsia="宋体" w:asciiTheme="minorEastAsia" w:hAnsiTheme="minorEastAsia" w:cstheme="minorEastAsia"/>
                <w:color w:val="FF0000"/>
                <w:sz w:val="24"/>
                <w:szCs w:val="24"/>
                <w:lang w:val="en-US" w:eastAsia="zh-CN"/>
              </w:rPr>
            </w:pPr>
            <w:r>
              <w:rPr>
                <w:rFonts w:hint="eastAsia" w:ascii="宋体" w:hAnsi="宋体" w:eastAsia="宋体" w:cs="宋体"/>
                <w:sz w:val="24"/>
                <w:szCs w:val="24"/>
              </w:rPr>
              <w:t>采购</w:t>
            </w:r>
            <w:r>
              <w:rPr>
                <w:rFonts w:hint="eastAsia" w:ascii="宋体" w:hAnsi="宋体" w:eastAsia="宋体" w:cs="Times New Roman"/>
                <w:sz w:val="24"/>
                <w:szCs w:val="24"/>
              </w:rPr>
              <w:t>核酸提取仪</w:t>
            </w:r>
            <w:r>
              <w:rPr>
                <w:rFonts w:hint="eastAsia" w:ascii="宋体" w:hAnsi="宋体" w:eastAsia="宋体" w:cs="Times New Roman"/>
                <w:sz w:val="24"/>
                <w:szCs w:val="24"/>
                <w:lang w:val="en-US" w:eastAsia="zh-CN"/>
              </w:rPr>
              <w:t>1台</w:t>
            </w:r>
          </w:p>
        </w:tc>
        <w:tc>
          <w:tcPr>
            <w:tcW w:w="1335"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二</w:t>
            </w:r>
          </w:p>
        </w:tc>
        <w:tc>
          <w:tcPr>
            <w:tcW w:w="7136"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主要功能要求与技术参数</w:t>
            </w:r>
          </w:p>
        </w:tc>
        <w:tc>
          <w:tcPr>
            <w:tcW w:w="1335" w:type="dxa"/>
            <w:vAlign w:val="center"/>
          </w:tcPr>
          <w:p>
            <w:pPr>
              <w:spacing w:after="0"/>
              <w:jc w:val="center"/>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样本通量：1-32；</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2.2</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适用耗材：2.2mL 96孔深孔板； </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2.3</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样本类型：粪便、植物、生物体液、组织、无细胞样品（如全血、血清、血浆、口腔拭子和细胞培养液）等多种类型样本；</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2.4</w:t>
            </w:r>
          </w:p>
        </w:tc>
        <w:tc>
          <w:tcPr>
            <w:tcW w:w="7136" w:type="dxa"/>
            <w:vAlign w:val="center"/>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样本处理体积：20-1000 μL</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2.5</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提取方法：上吸式磁珠法，通过磁棒和磁套的运动实现磁珠的收集、释放，使磁珠分别在裂解液、洗涤液、洗脱液中转移，自动化完成RNA/DNA的提取纯化操作，无需液体转移；</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2.6</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裂解温度：室温＋5℃-120℃；洗脱温度：室温＋5℃-120℃；</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★2.7</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裂解/洗脱加热槽位：1/5列加热，裂解洗脱加热槽位为间隔设计，避免裂解槽加热时，对洗脱槽内样本产生影响；</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★2.8</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温控方式：深孔板底部全包裹加热，采用自主开模的耗材，提升热传导速度，可提微量核酸；</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2.9</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振动混合模式：多档可调振动速度，溶液体积自适应振动幅度，振动幅度根据溶液体积自动调整；</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2.10 </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运动控制：驱动装置：步进电机，频率振幅可调，样本混合更充分；传动装置：滚珠丝杠，各运动部件均配置极限位置保护功能；</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2.11 </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磁珠吸附模式：分为普通/强力吸附模式，强力吸附模式可保证洗脱步骤在洗脱体积很小的情况下，洗脱液依旧能够覆盖全部磁珠，可解决微量或低浓度样本；</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ascii="Calibri" w:hAnsi="Calibri" w:eastAsia="宋体" w:cs="Calibri"/>
                <w:bCs/>
                <w:sz w:val="24"/>
              </w:rPr>
              <w:t>▲</w:t>
            </w:r>
            <w:r>
              <w:rPr>
                <w:rFonts w:hint="eastAsia" w:ascii="宋体" w:hAnsi="宋体" w:eastAsia="宋体" w:cs="Times New Roman"/>
                <w:sz w:val="24"/>
                <w:szCs w:val="24"/>
              </w:rPr>
              <w:t xml:space="preserve">2.12 </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磁珠回收率：≥99%；提纯孔间差：CV＜3%；</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★2.13 </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提取时长：单批次提取时间8-15 min，最短提取时间8min/批；</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2.14</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提纯灵敏度：10拷贝样品，阳性检出率＞10%。100拷贝样品，阳性检出率＞95%；</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2.15</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污染控制：内置紫外灭菌模块，并可设置自动关闭时长。提取时全封闭反应仓，配套一次性预封装试剂和一次性耗材，最大程度减少实验人员与化学试剂的接触保证操作安全；</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2.16</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开门保护功能：实验中打开舱门，仪器自动停止实验，防止污染及安全问题；</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2.17</w:t>
            </w:r>
          </w:p>
        </w:tc>
        <w:tc>
          <w:tcPr>
            <w:tcW w:w="7136" w:type="dxa"/>
            <w:vAlign w:val="top"/>
          </w:tcPr>
          <w:p>
            <w:pPr>
              <w:pStyle w:val="18"/>
              <w:numPr>
                <w:ilvl w:val="0"/>
                <w:numId w:val="0"/>
              </w:numPr>
              <w:spacing w:before="156" w:beforeLines="50" w:after="156" w:afterLines="50"/>
              <w:ind w:left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认证：仪器通过中国NMPA注册认证。生产厂家通过ISO9001、ISO13485质量管理体系认证；</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2.18</w:t>
            </w:r>
          </w:p>
        </w:tc>
        <w:tc>
          <w:tcPr>
            <w:tcW w:w="7136" w:type="dxa"/>
            <w:vAlign w:val="top"/>
          </w:tcPr>
          <w:p>
            <w:pPr>
              <w:pStyle w:val="18"/>
              <w:numPr>
                <w:ilvl w:val="0"/>
                <w:numId w:val="0"/>
              </w:numPr>
              <w:spacing w:before="156" w:beforeLines="50" w:after="156" w:afterLines="50"/>
              <w:ind w:left="0" w:leftChars="0" w:firstLine="0" w:firstLine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操作界面及软件：</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18.1</w:t>
            </w:r>
          </w:p>
        </w:tc>
        <w:tc>
          <w:tcPr>
            <w:tcW w:w="7136" w:type="dxa"/>
            <w:vAlign w:val="top"/>
          </w:tcPr>
          <w:p>
            <w:pPr>
              <w:pStyle w:val="18"/>
              <w:numPr>
                <w:ilvl w:val="0"/>
                <w:numId w:val="0"/>
              </w:numPr>
              <w:spacing w:before="156" w:beforeLines="50" w:after="156" w:afterLines="50"/>
              <w:ind w:left="0" w:leftChars="0" w:firstLine="0" w:firstLine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操作界面：8英寸全彩触摸屏嵌入式一体化操作，实时显示温度、实验进程等信息；</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.18.2</w:t>
            </w:r>
          </w:p>
        </w:tc>
        <w:tc>
          <w:tcPr>
            <w:tcW w:w="7136" w:type="dxa"/>
            <w:vAlign w:val="top"/>
          </w:tcPr>
          <w:p>
            <w:pPr>
              <w:pStyle w:val="18"/>
              <w:numPr>
                <w:ilvl w:val="0"/>
                <w:numId w:val="0"/>
              </w:numPr>
              <w:spacing w:after="0"/>
              <w:ind w:left="0" w:leftChars="0" w:firstLine="0" w:firstLine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程序管理：新建、编辑、删除，模式程序，单机在线自由灵活编辑提取程序，无需外接电脑；</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18.3</w:t>
            </w:r>
          </w:p>
        </w:tc>
        <w:tc>
          <w:tcPr>
            <w:tcW w:w="7136" w:type="dxa"/>
            <w:vAlign w:val="top"/>
          </w:tcPr>
          <w:p>
            <w:pPr>
              <w:pStyle w:val="18"/>
              <w:numPr>
                <w:ilvl w:val="0"/>
                <w:numId w:val="0"/>
              </w:numPr>
              <w:spacing w:before="156" w:beforeLines="50" w:after="156" w:afterLines="50"/>
              <w:ind w:left="0" w:leftChars="0" w:firstLine="0" w:firstLine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程序储存：仪器存储1000个提取程序，并可通过USB接口无线拓展；.信息接口：USB，RS232接口；</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2.18.4</w:t>
            </w:r>
          </w:p>
        </w:tc>
        <w:tc>
          <w:tcPr>
            <w:tcW w:w="7136" w:type="dxa"/>
            <w:vAlign w:val="top"/>
          </w:tcPr>
          <w:p>
            <w:pPr>
              <w:pStyle w:val="18"/>
              <w:numPr>
                <w:ilvl w:val="0"/>
                <w:numId w:val="0"/>
              </w:numPr>
              <w:spacing w:before="156" w:beforeLines="50" w:after="156" w:afterLines="50"/>
              <w:ind w:left="0" w:leftChars="0" w:firstLine="0" w:firstLine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智能语音提醒系统：开机自检、故障报警、实验启动、实验结束等具有声音提示；</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2.18.5</w:t>
            </w:r>
          </w:p>
        </w:tc>
        <w:tc>
          <w:tcPr>
            <w:tcW w:w="7136" w:type="dxa"/>
            <w:vAlign w:val="top"/>
          </w:tcPr>
          <w:p>
            <w:pPr>
              <w:pStyle w:val="18"/>
              <w:numPr>
                <w:ilvl w:val="0"/>
                <w:numId w:val="0"/>
              </w:numPr>
              <w:spacing w:before="156" w:beforeLines="50" w:after="156" w:afterLines="50"/>
              <w:ind w:left="0" w:leftChars="0" w:firstLine="0" w:firstLineChars="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具备程序运行报告记录功能；具备文件加密功能；支持条码扫描；支持中英文语言界面切换；</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三</w:t>
            </w:r>
          </w:p>
        </w:tc>
        <w:tc>
          <w:tcPr>
            <w:tcW w:w="713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安装验收</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3.1</w:t>
            </w:r>
          </w:p>
        </w:tc>
        <w:tc>
          <w:tcPr>
            <w:tcW w:w="7136"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安装地点：医院指定科室；</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3.2</w:t>
            </w:r>
          </w:p>
        </w:tc>
        <w:tc>
          <w:tcPr>
            <w:tcW w:w="7136"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安装完成时间：合同签订后1个月内交货，接买方通知后3天内完成安装；</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3.3</w:t>
            </w:r>
          </w:p>
        </w:tc>
        <w:tc>
          <w:tcPr>
            <w:tcW w:w="7136"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安装标准：符合我国国家有关技术规范和技术标准；</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3.4</w:t>
            </w:r>
          </w:p>
        </w:tc>
        <w:tc>
          <w:tcPr>
            <w:tcW w:w="7136"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验收标准：符合我国国家有关技术规范和技术标准。</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3.5</w:t>
            </w:r>
          </w:p>
        </w:tc>
        <w:tc>
          <w:tcPr>
            <w:tcW w:w="7136" w:type="dxa"/>
            <w:vAlign w:val="center"/>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安装、验收合格前所产生的一切费用（包括卸货、搬运、必要时的安全性能检测费等）由供方负责提供。</w:t>
            </w:r>
          </w:p>
        </w:tc>
        <w:tc>
          <w:tcPr>
            <w:tcW w:w="1335"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eastAsia="宋体" w:asciiTheme="minorEastAsia" w:hAnsiTheme="minorEastAsia" w:cstheme="minorEastAsia"/>
                <w:sz w:val="24"/>
                <w:szCs w:val="24"/>
                <w:lang w:val="en-US" w:eastAsia="zh-CN"/>
              </w:rPr>
              <w:t>四</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b/>
                <w:sz w:val="24"/>
                <w:szCs w:val="24"/>
              </w:rPr>
              <w:t>其他要求</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.1</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属于医疗器械管理范围的产品必须提供医疗器械注册证及注册登记表</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.2</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厂家承诺提供设备免费保修期（含消耗品、易损品、维修配件、人工服务等）≥ 1年。提供过保后年保价格</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.3</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操作手册、维修手册：提供操作手册、维修手册各一套</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.4</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培训：提供临床应用操作培训,并提供临床资料(培训ppt、考核试题)</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软件终身免费升级</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.6</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付款方式:验收合格后90工作日内付款，投标商开具单张发票限额必须大于投标单台设备价格</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.7</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投标商提供的设备必须在距投标当日10个月内生产</w:t>
            </w:r>
          </w:p>
        </w:tc>
        <w:tc>
          <w:tcPr>
            <w:tcW w:w="1335"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17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.8</w:t>
            </w:r>
          </w:p>
        </w:tc>
        <w:tc>
          <w:tcPr>
            <w:tcW w:w="7136" w:type="dxa"/>
            <w:vAlign w:val="top"/>
          </w:tcPr>
          <w:p>
            <w:pPr>
              <w:spacing w:after="0"/>
              <w:rPr>
                <w:rFonts w:hint="eastAsia" w:ascii="宋体" w:hAnsi="宋体" w:eastAsia="宋体" w:cs="Times New Roman"/>
                <w:sz w:val="24"/>
                <w:szCs w:val="24"/>
              </w:rPr>
            </w:pPr>
            <w:r>
              <w:rPr>
                <w:rFonts w:hint="eastAsia" w:ascii="宋体" w:hAnsi="宋体" w:eastAsia="宋体" w:cs="Times New Roman"/>
                <w:sz w:val="24"/>
                <w:szCs w:val="24"/>
              </w:rPr>
              <w:t>其它优惠条款</w:t>
            </w:r>
          </w:p>
        </w:tc>
        <w:tc>
          <w:tcPr>
            <w:tcW w:w="1335" w:type="dxa"/>
            <w:vAlign w:val="top"/>
          </w:tcPr>
          <w:p>
            <w:pPr>
              <w:spacing w:after="0"/>
              <w:rPr>
                <w:rFonts w:hint="eastAsia" w:ascii="宋体" w:hAnsi="宋体" w:eastAsia="宋体" w:cs="Times New Roman"/>
                <w:sz w:val="24"/>
                <w:szCs w:val="24"/>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383105"/>
    <w:rsid w:val="184F31D7"/>
    <w:rsid w:val="1A2E6DE6"/>
    <w:rsid w:val="1D4821A9"/>
    <w:rsid w:val="1DC36A06"/>
    <w:rsid w:val="202B56B1"/>
    <w:rsid w:val="221E379A"/>
    <w:rsid w:val="22723315"/>
    <w:rsid w:val="22CF7097"/>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44D1FC9"/>
    <w:rsid w:val="449C5243"/>
    <w:rsid w:val="449E2D2B"/>
    <w:rsid w:val="46094A05"/>
    <w:rsid w:val="460A3EB2"/>
    <w:rsid w:val="477517FF"/>
    <w:rsid w:val="479F5F87"/>
    <w:rsid w:val="497E50E4"/>
    <w:rsid w:val="49CC2349"/>
    <w:rsid w:val="4A254910"/>
    <w:rsid w:val="4AA864D5"/>
    <w:rsid w:val="4B956476"/>
    <w:rsid w:val="4D3D3121"/>
    <w:rsid w:val="4DCB17F7"/>
    <w:rsid w:val="514911FE"/>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69F4579"/>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6973</Words>
  <Characters>7254</Characters>
  <Lines>6</Lines>
  <Paragraphs>1</Paragraphs>
  <TotalTime>0</TotalTime>
  <ScaleCrop>false</ScaleCrop>
  <LinksUpToDate>false</LinksUpToDate>
  <CharactersWithSpaces>7667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2022-10-31T08:43:33Z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