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w:t>
      </w:r>
    </w:p>
    <w:p>
      <w:pPr>
        <w:spacing w:line="360" w:lineRule="auto"/>
        <w:rPr>
          <w:rFonts w:hint="default" w:ascii="宋体" w:hAnsi="宋体" w:eastAsia="宋体" w:cs="宋体"/>
          <w:b/>
          <w:bCs/>
          <w:sz w:val="24"/>
          <w:u w:val="none"/>
          <w:lang w:val="en-US" w:eastAsia="zh-CN"/>
        </w:rPr>
      </w:pPr>
      <w:r>
        <w:rPr>
          <w:rFonts w:hint="eastAsia" w:ascii="宋体" w:hAnsi="宋体" w:eastAsia="宋体" w:cs="宋体"/>
          <w:b/>
          <w:bCs/>
          <w:sz w:val="24"/>
        </w:rPr>
        <w:t>一、项目名称：</w:t>
      </w:r>
      <w:r>
        <w:rPr>
          <w:rFonts w:hint="eastAsia" w:ascii="宋体" w:hAnsi="宋体" w:eastAsia="宋体" w:cs="宋体"/>
          <w:b/>
          <w:bCs/>
          <w:sz w:val="24"/>
          <w:u w:val="none"/>
          <w:lang w:val="en-US" w:eastAsia="zh-CN"/>
        </w:rPr>
        <w:t>安保工作服（秋装、冬装）（重）</w:t>
      </w:r>
    </w:p>
    <w:p>
      <w:pPr>
        <w:pStyle w:val="2"/>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sz w:val="24"/>
          <w:lang w:val="en-US" w:eastAsia="zh-CN"/>
        </w:rPr>
        <w:t>二</w:t>
      </w:r>
      <w:r>
        <w:rPr>
          <w:rFonts w:hint="eastAsia" w:ascii="宋体" w:hAnsi="宋体" w:eastAsia="宋体" w:cs="宋体"/>
          <w:b/>
          <w:bCs/>
          <w:sz w:val="24"/>
        </w:rPr>
        <w:t>、项目预算：</w:t>
      </w:r>
      <w:r>
        <w:rPr>
          <w:rFonts w:hint="eastAsia" w:ascii="宋体" w:hAnsi="宋体" w:eastAsia="宋体" w:cs="宋体"/>
          <w:b/>
          <w:bCs/>
          <w:sz w:val="24"/>
          <w:lang w:val="en-US" w:eastAsia="zh-CN"/>
        </w:rPr>
        <w:t>3.15万元</w:t>
      </w:r>
    </w:p>
    <w:p>
      <w:pPr>
        <w:pStyle w:val="2"/>
        <w:spacing w:line="360" w:lineRule="auto"/>
        <w:ind w:firstLine="0" w:firstLineChars="0"/>
        <w:rPr>
          <w:rFonts w:hint="eastAsia" w:eastAsia="宋体"/>
          <w:lang w:eastAsia="zh-CN"/>
        </w:rPr>
      </w:pPr>
      <w:r>
        <w:rPr>
          <w:rFonts w:hint="eastAsia" w:ascii="宋体" w:hAnsi="宋体" w:eastAsia="宋体" w:cs="宋体"/>
          <w:b/>
          <w:bCs/>
          <w:sz w:val="24"/>
          <w:lang w:val="en-US" w:eastAsia="zh-CN"/>
        </w:rPr>
        <w:t>三</w:t>
      </w:r>
      <w:r>
        <w:rPr>
          <w:rFonts w:hint="eastAsia" w:ascii="宋体" w:hAnsi="宋体" w:eastAsia="宋体" w:cs="宋体"/>
          <w:b/>
          <w:bCs/>
          <w:sz w:val="24"/>
        </w:rPr>
        <w:t>、项目概况及要求</w:t>
      </w:r>
      <w:r>
        <w:rPr>
          <w:rFonts w:hint="eastAsia" w:ascii="宋体" w:hAnsi="宋体" w:eastAsia="宋体" w:cs="宋体"/>
          <w:b/>
          <w:bCs/>
          <w:sz w:val="24"/>
          <w:lang w:eastAsia="zh-CN"/>
        </w:rPr>
        <w:t>：</w:t>
      </w:r>
    </w:p>
    <w:tbl>
      <w:tblPr>
        <w:tblStyle w:val="9"/>
        <w:tblpPr w:leftFromText="180" w:rightFromText="180" w:vertAnchor="text" w:horzAnchor="page" w:tblpX="1386" w:tblpY="245"/>
        <w:tblOverlap w:val="never"/>
        <w:tblW w:w="48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2650"/>
        <w:gridCol w:w="1110"/>
        <w:gridCol w:w="1185"/>
        <w:gridCol w:w="4185"/>
        <w:gridCol w:w="208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5" w:hRule="atLeast"/>
          <w:tblHeader/>
        </w:trPr>
        <w:tc>
          <w:tcPr>
            <w:tcW w:w="408" w:type="pct"/>
            <w:shd w:val="clear" w:color="auto" w:fill="auto"/>
            <w:vAlign w:val="center"/>
          </w:tcPr>
          <w:p>
            <w:pPr>
              <w:keepNext w:val="0"/>
              <w:keepLines w:val="0"/>
              <w:pageBreakBefore w:val="0"/>
              <w:widowControl/>
              <w:kinsoku/>
              <w:wordWrap/>
              <w:overflowPunct/>
              <w:topLinePunct w:val="0"/>
              <w:autoSpaceDE/>
              <w:autoSpaceDN/>
              <w:bidi w:val="0"/>
              <w:snapToGrid/>
              <w:spacing w:line="440" w:lineRule="exact"/>
              <w:jc w:val="center"/>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序</w:t>
            </w:r>
            <w:r>
              <w:rPr>
                <w:rFonts w:hint="eastAsia" w:ascii="宋体" w:hAnsi="宋体" w:eastAsia="宋体" w:cs="宋体"/>
                <w:b/>
                <w:bCs/>
                <w:sz w:val="24"/>
                <w:szCs w:val="24"/>
              </w:rPr>
              <w:t>号</w:t>
            </w:r>
          </w:p>
        </w:tc>
        <w:tc>
          <w:tcPr>
            <w:tcW w:w="936" w:type="pct"/>
            <w:shd w:val="clear" w:color="auto" w:fill="auto"/>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类别</w:t>
            </w:r>
          </w:p>
        </w:tc>
        <w:tc>
          <w:tcPr>
            <w:tcW w:w="392" w:type="pct"/>
            <w:shd w:val="clear" w:color="auto" w:fill="auto"/>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数量</w:t>
            </w:r>
          </w:p>
        </w:tc>
        <w:tc>
          <w:tcPr>
            <w:tcW w:w="418" w:type="pct"/>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单位</w:t>
            </w:r>
          </w:p>
        </w:tc>
        <w:tc>
          <w:tcPr>
            <w:tcW w:w="1479" w:type="pct"/>
            <w:shd w:val="clear" w:color="auto" w:fill="auto"/>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规格参数</w:t>
            </w:r>
          </w:p>
        </w:tc>
        <w:tc>
          <w:tcPr>
            <w:tcW w:w="737" w:type="pct"/>
            <w:shd w:val="clear" w:color="auto" w:fill="auto"/>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样式图</w:t>
            </w:r>
          </w:p>
        </w:tc>
        <w:tc>
          <w:tcPr>
            <w:tcW w:w="627" w:type="pct"/>
            <w:shd w:val="clear" w:color="auto" w:fill="auto"/>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trPr>
        <w:tc>
          <w:tcPr>
            <w:tcW w:w="408" w:type="pct"/>
            <w:shd w:val="clear" w:color="auto" w:fill="auto"/>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936" w:type="pct"/>
            <w:shd w:val="clear" w:color="000000" w:fill="FFFFFF"/>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安保工作服（秋装）</w:t>
            </w:r>
          </w:p>
        </w:tc>
        <w:tc>
          <w:tcPr>
            <w:tcW w:w="392" w:type="pct"/>
            <w:shd w:val="clear" w:color="auto" w:fill="auto"/>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44</w:t>
            </w:r>
          </w:p>
        </w:tc>
        <w:tc>
          <w:tcPr>
            <w:tcW w:w="418" w:type="pct"/>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件</w:t>
            </w:r>
          </w:p>
        </w:tc>
        <w:tc>
          <w:tcPr>
            <w:tcW w:w="1479" w:type="pct"/>
            <w:shd w:val="clear" w:color="000000"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1、正版长袖上衣。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2、颜色：藏青色。</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3、规格：160-190（cm），具体供货大小根据采购方要求。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4、面料：弹力速干布。</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5、成份：聚酯纤维+氨纶，特性：抗耐磨，抗皱，不褪色和起球，不缩水。</w:t>
            </w:r>
          </w:p>
        </w:tc>
        <w:tc>
          <w:tcPr>
            <w:tcW w:w="73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highlight w:val="yellow"/>
                <w:lang w:val="en-US" w:eastAsia="zh-CN"/>
              </w:rPr>
            </w:pPr>
            <w:r>
              <w:rPr>
                <w:rFonts w:hint="eastAsia" w:ascii="宋体" w:hAnsi="宋体" w:cs="宋体"/>
                <w:sz w:val="24"/>
                <w:szCs w:val="24"/>
                <w:highlight w:val="none"/>
                <w:lang w:val="en-US" w:eastAsia="zh-CN"/>
              </w:rPr>
              <w:drawing>
                <wp:inline distT="0" distB="0" distL="114300" distR="114300">
                  <wp:extent cx="1064895" cy="1064895"/>
                  <wp:effectExtent l="0" t="0" r="1905" b="1905"/>
                  <wp:docPr id="1" name="图片 1" descr="lQDPDhvAEYrt3O7NAu7NAu6wKqUkX2AJVIkDC1u1HkAnAA_750_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QDPDhvAEYrt3O7NAu7NAu6wKqUkX2AJVIkDC1u1HkAnAA_750_750"/>
                          <pic:cNvPicPr>
                            <a:picLocks noChangeAspect="1"/>
                          </pic:cNvPicPr>
                        </pic:nvPicPr>
                        <pic:blipFill>
                          <a:blip r:embed="rId4"/>
                          <a:stretch>
                            <a:fillRect/>
                          </a:stretch>
                        </pic:blipFill>
                        <pic:spPr>
                          <a:xfrm>
                            <a:off x="0" y="0"/>
                            <a:ext cx="1064895" cy="1064895"/>
                          </a:xfrm>
                          <a:prstGeom prst="rect">
                            <a:avLst/>
                          </a:prstGeom>
                        </pic:spPr>
                      </pic:pic>
                    </a:graphicData>
                  </a:graphic>
                </wp:inline>
              </w:drawing>
            </w:r>
          </w:p>
        </w:tc>
        <w:tc>
          <w:tcPr>
            <w:tcW w:w="62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highlight w:val="yellow"/>
                <w:lang w:val="en-US" w:eastAsia="zh-CN"/>
              </w:rPr>
            </w:pPr>
            <w:r>
              <w:rPr>
                <w:rFonts w:hint="eastAsia"/>
                <w:b w:val="0"/>
                <w:bCs w:val="0"/>
                <w:sz w:val="24"/>
                <w:szCs w:val="24"/>
                <w:lang w:val="en-US" w:eastAsia="zh-CN"/>
              </w:rPr>
              <w:t>▲</w:t>
            </w:r>
            <w:r>
              <w:rPr>
                <w:rFonts w:hint="eastAsia" w:ascii="宋体" w:hAnsi="宋体" w:cs="宋体"/>
                <w:b/>
                <w:bCs/>
                <w:sz w:val="24"/>
                <w:highlight w:val="none"/>
                <w:lang w:val="en-US" w:eastAsia="zh-CN"/>
              </w:rPr>
              <w:t>需提供样品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6" w:hRule="atLeast"/>
        </w:trPr>
        <w:tc>
          <w:tcPr>
            <w:tcW w:w="408" w:type="pct"/>
            <w:shd w:val="clear" w:color="auto" w:fill="auto"/>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936" w:type="pct"/>
            <w:shd w:val="clear" w:color="000000" w:fill="FFFFFF"/>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安保工作服（冬装）</w:t>
            </w:r>
          </w:p>
        </w:tc>
        <w:tc>
          <w:tcPr>
            <w:tcW w:w="392" w:type="pct"/>
            <w:shd w:val="clear" w:color="auto" w:fill="auto"/>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88</w:t>
            </w:r>
          </w:p>
        </w:tc>
        <w:tc>
          <w:tcPr>
            <w:tcW w:w="418" w:type="pct"/>
            <w:vAlign w:val="center"/>
          </w:tcPr>
          <w:p>
            <w:pPr>
              <w:keepNext w:val="0"/>
              <w:keepLines w:val="0"/>
              <w:pageBreakBefore w:val="0"/>
              <w:kinsoku/>
              <w:wordWrap/>
              <w:overflowPunct/>
              <w:topLinePunct w:val="0"/>
              <w:autoSpaceDE/>
              <w:autoSpaceDN/>
              <w:bidi w:val="0"/>
              <w:snapToGrid/>
              <w:spacing w:line="44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套</w:t>
            </w:r>
          </w:p>
        </w:tc>
        <w:tc>
          <w:tcPr>
            <w:tcW w:w="1479"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1、正版长袖上衣，长裤。</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2、颜色：藏青色。</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3、规格：160-190（cm），具体供货大小根据采购方要求。</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4、面料：弹力速干布（内里加绒）。</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宋体" w:hAnsi="宋体" w:eastAsia="宋体" w:cs="宋体"/>
                <w:sz w:val="24"/>
                <w:szCs w:val="24"/>
                <w:lang w:val="en-US" w:eastAsia="zh-CN"/>
              </w:rPr>
            </w:pPr>
            <w:r>
              <w:rPr>
                <w:rFonts w:hint="eastAsia" w:ascii="宋体" w:hAnsi="宋体" w:eastAsia="宋体" w:cs="宋体"/>
                <w:sz w:val="21"/>
                <w:szCs w:val="21"/>
                <w:lang w:val="en-US" w:eastAsia="zh-CN"/>
              </w:rPr>
              <w:t>5、成份：聚酯纤维+氨纶，特性：抗耐磨，抗皱，不褪色和起球，不缩水。</w:t>
            </w:r>
          </w:p>
        </w:tc>
        <w:tc>
          <w:tcPr>
            <w:tcW w:w="737" w:type="pct"/>
            <w:shd w:val="clear" w:color="000000" w:fill="FFFFFF"/>
            <w:vAlign w:val="center"/>
          </w:tcPr>
          <w:p>
            <w:pPr>
              <w:keepNext w:val="0"/>
              <w:keepLines w:val="0"/>
              <w:pageBreakBefore w:val="0"/>
              <w:kinsoku/>
              <w:wordWrap/>
              <w:overflowPunct/>
              <w:topLinePunct w:val="0"/>
              <w:autoSpaceDE/>
              <w:autoSpaceDN/>
              <w:bidi w:val="0"/>
              <w:snapToGrid/>
              <w:spacing w:line="240" w:lineRule="auto"/>
              <w:jc w:val="both"/>
              <w:textAlignment w:val="auto"/>
              <w:rPr>
                <w:rFonts w:hint="eastAsia" w:ascii="宋体" w:hAnsi="宋体" w:cs="宋体"/>
                <w:sz w:val="24"/>
                <w:szCs w:val="24"/>
                <w:highlight w:val="yellow"/>
                <w:lang w:val="en-US" w:eastAsia="zh-CN"/>
              </w:rPr>
            </w:pPr>
            <w:r>
              <w:rPr>
                <w:rFonts w:hint="eastAsia" w:ascii="宋体" w:hAnsi="宋体" w:cs="宋体"/>
                <w:sz w:val="24"/>
                <w:szCs w:val="24"/>
                <w:highlight w:val="none"/>
                <w:lang w:val="en-US" w:eastAsia="zh-CN"/>
              </w:rPr>
              <w:drawing>
                <wp:inline distT="0" distB="0" distL="114300" distR="114300">
                  <wp:extent cx="1059180" cy="1059180"/>
                  <wp:effectExtent l="0" t="0" r="7620" b="7620"/>
                  <wp:docPr id="2" name="图片 2" descr="lQDPDhvDakq8lQ3NAyDNAyCwZPZtBHxrxFIDENdohoBCAA_800_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QDPDhvDakq8lQ3NAyDNAyCwZPZtBHxrxFIDENdohoBCAA_800_800"/>
                          <pic:cNvPicPr>
                            <a:picLocks noChangeAspect="1"/>
                          </pic:cNvPicPr>
                        </pic:nvPicPr>
                        <pic:blipFill>
                          <a:blip r:embed="rId5"/>
                          <a:stretch>
                            <a:fillRect/>
                          </a:stretch>
                        </pic:blipFill>
                        <pic:spPr>
                          <a:xfrm>
                            <a:off x="0" y="0"/>
                            <a:ext cx="1059180" cy="1059180"/>
                          </a:xfrm>
                          <a:prstGeom prst="rect">
                            <a:avLst/>
                          </a:prstGeom>
                        </pic:spPr>
                      </pic:pic>
                    </a:graphicData>
                  </a:graphic>
                </wp:inline>
              </w:drawing>
            </w:r>
          </w:p>
        </w:tc>
        <w:tc>
          <w:tcPr>
            <w:tcW w:w="627" w:type="pct"/>
            <w:shd w:val="clear" w:color="000000" w:fill="FFFFFF"/>
            <w:vAlign w:val="center"/>
          </w:tcPr>
          <w:p>
            <w:pPr>
              <w:keepNext w:val="0"/>
              <w:keepLines w:val="0"/>
              <w:pageBreakBefore w:val="0"/>
              <w:kinsoku/>
              <w:wordWrap/>
              <w:overflowPunct/>
              <w:topLinePunct w:val="0"/>
              <w:autoSpaceDE/>
              <w:autoSpaceDN/>
              <w:bidi w:val="0"/>
              <w:snapToGrid/>
              <w:spacing w:line="440" w:lineRule="exact"/>
              <w:jc w:val="both"/>
              <w:textAlignment w:val="auto"/>
              <w:rPr>
                <w:rFonts w:hint="eastAsia" w:ascii="宋体" w:hAnsi="宋体" w:cs="宋体"/>
                <w:sz w:val="24"/>
                <w:szCs w:val="24"/>
                <w:highlight w:val="yellow"/>
                <w:lang w:val="en-US" w:eastAsia="zh-CN"/>
              </w:rPr>
            </w:pPr>
            <w:r>
              <w:rPr>
                <w:rFonts w:hint="eastAsia"/>
                <w:b w:val="0"/>
                <w:bCs w:val="0"/>
                <w:sz w:val="24"/>
                <w:szCs w:val="24"/>
                <w:lang w:val="en-US" w:eastAsia="zh-CN"/>
              </w:rPr>
              <w:t>▲</w:t>
            </w:r>
            <w:r>
              <w:rPr>
                <w:rFonts w:hint="eastAsia" w:ascii="宋体" w:hAnsi="宋体" w:cs="宋体"/>
                <w:b/>
                <w:bCs/>
                <w:sz w:val="24"/>
                <w:highlight w:val="none"/>
                <w:lang w:val="en-US" w:eastAsia="zh-CN"/>
              </w:rPr>
              <w:t>需提供样品</w:t>
            </w:r>
          </w:p>
        </w:tc>
      </w:tr>
    </w:tbl>
    <w:p>
      <w:pPr>
        <w:pStyle w:val="2"/>
        <w:numPr>
          <w:ilvl w:val="0"/>
          <w:numId w:val="0"/>
        </w:numPr>
        <w:spacing w:line="360" w:lineRule="auto"/>
        <w:rPr>
          <w:rFonts w:hint="default" w:ascii="宋体" w:hAnsi="宋体" w:eastAsia="宋体" w:cs="宋体"/>
          <w:sz w:val="24"/>
          <w:lang w:val="en-US" w:eastAsia="zh-CN"/>
        </w:rPr>
      </w:pPr>
      <w:r>
        <w:rPr>
          <w:rFonts w:hint="default"/>
          <w:b w:val="0"/>
          <w:bCs w:val="0"/>
          <w:sz w:val="24"/>
          <w:szCs w:val="24"/>
          <w:lang w:val="en-US" w:eastAsia="zh-CN"/>
        </w:rPr>
        <w:t>▲</w:t>
      </w:r>
      <w:r>
        <w:rPr>
          <w:rFonts w:hint="eastAsia"/>
          <w:b w:val="0"/>
          <w:bCs w:val="0"/>
          <w:sz w:val="24"/>
          <w:szCs w:val="24"/>
          <w:lang w:val="en-US" w:eastAsia="zh-CN"/>
        </w:rPr>
        <w:t>：</w:t>
      </w:r>
      <w:r>
        <w:rPr>
          <w:rFonts w:hint="default"/>
          <w:b/>
          <w:bCs/>
          <w:sz w:val="24"/>
          <w:szCs w:val="24"/>
          <w:u w:val="single"/>
          <w:lang w:val="en-US" w:eastAsia="zh-CN"/>
        </w:rPr>
        <w:t>只要有一项审查不合格，则该投标人的资格审查不合格，审查不合格的投标文件将不予评审。</w:t>
      </w:r>
    </w:p>
    <w:p>
      <w:pPr>
        <w:pStyle w:val="2"/>
        <w:numPr>
          <w:ilvl w:val="0"/>
          <w:numId w:val="1"/>
        </w:numPr>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付款方式：</w:t>
      </w:r>
    </w:p>
    <w:p>
      <w:pPr>
        <w:pStyle w:val="2"/>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全部货物交付完毕并经最终验收合格后60天内，乙方向甲方开具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发票，甲方在收到发票后60天内向乙方支付全部合同价款。</w:t>
      </w:r>
    </w:p>
    <w:p>
      <w:pPr>
        <w:pStyle w:val="2"/>
        <w:numPr>
          <w:ilvl w:val="0"/>
          <w:numId w:val="1"/>
        </w:numPr>
        <w:spacing w:line="360" w:lineRule="auto"/>
        <w:ind w:left="0" w:leftChars="0" w:firstLine="0" w:firstLineChars="0"/>
        <w:rPr>
          <w:rFonts w:hint="eastAsia"/>
          <w:sz w:val="24"/>
          <w:szCs w:val="24"/>
          <w:lang w:eastAsia="zh-CN"/>
        </w:rPr>
      </w:pPr>
      <w:r>
        <w:rPr>
          <w:rFonts w:hint="eastAsia" w:ascii="宋体" w:hAnsi="宋体" w:eastAsia="宋体" w:cs="宋体"/>
          <w:b/>
          <w:bCs/>
          <w:sz w:val="24"/>
          <w:lang w:val="en-US" w:eastAsia="zh-CN"/>
        </w:rPr>
        <w:t>质保期≥1年</w:t>
      </w:r>
      <w:r>
        <w:rPr>
          <w:rFonts w:hint="eastAsia"/>
          <w:b/>
          <w:bCs/>
          <w:sz w:val="24"/>
          <w:szCs w:val="24"/>
        </w:rPr>
        <w:t>（自交货验收合格之日起计）</w:t>
      </w:r>
      <w:r>
        <w:rPr>
          <w:rFonts w:hint="eastAsia"/>
          <w:b/>
          <w:bCs/>
          <w:sz w:val="24"/>
          <w:szCs w:val="24"/>
          <w:lang w:eastAsia="zh-CN"/>
        </w:rPr>
        <w:t>。</w:t>
      </w:r>
    </w:p>
    <w:p>
      <w:pPr>
        <w:pStyle w:val="2"/>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2、所提供的货物在质保期内因货物本身发生质量问题的，供应商应负责免费更换。对达不到质量要求者，根据实际情况，经双方协商，可按以下办法处理：</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3、在质保期内，乙方应对货物出现的质量及安全问题负责处理解决并承担一切费用。</w:t>
      </w:r>
    </w:p>
    <w:p>
      <w:pPr>
        <w:pStyle w:val="2"/>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4、</w:t>
      </w:r>
      <w:r>
        <w:rPr>
          <w:rFonts w:hint="default"/>
          <w:sz w:val="24"/>
          <w:szCs w:val="24"/>
          <w:lang w:val="en-US" w:eastAsia="zh-CN"/>
        </w:rPr>
        <w:t>出现质量问题而买方无法自行解决的，卖方在接到买方的电话或传真通知后10分钟内作出响应，电话沟通无法解决的，卖方人员应在60分钟内到达现场进行</w:t>
      </w:r>
      <w:r>
        <w:rPr>
          <w:rFonts w:hint="eastAsia"/>
          <w:sz w:val="24"/>
          <w:szCs w:val="24"/>
          <w:lang w:val="en-US" w:eastAsia="zh-CN"/>
        </w:rPr>
        <w:t>问题解决</w:t>
      </w:r>
      <w:r>
        <w:rPr>
          <w:rFonts w:hint="default"/>
          <w:sz w:val="24"/>
          <w:szCs w:val="24"/>
          <w:lang w:val="en-US" w:eastAsia="zh-CN"/>
        </w:rPr>
        <w:t>，</w:t>
      </w:r>
      <w:bookmarkStart w:id="0" w:name="_GoBack"/>
      <w:bookmarkEnd w:id="0"/>
      <w:r>
        <w:rPr>
          <w:rFonts w:hint="default"/>
          <w:sz w:val="24"/>
          <w:szCs w:val="24"/>
          <w:lang w:val="en-US" w:eastAsia="zh-CN"/>
        </w:rPr>
        <w:t>重大质量问题一时无法解决的，卖方应提出解决问题的应急处理预案。提供7×24小时电话咨询服务。</w:t>
      </w:r>
    </w:p>
    <w:p>
      <w:pPr>
        <w:pStyle w:val="2"/>
        <w:numPr>
          <w:ilvl w:val="0"/>
          <w:numId w:val="0"/>
        </w:numPr>
        <w:spacing w:line="360" w:lineRule="auto"/>
        <w:ind w:leftChars="0" w:firstLine="480" w:firstLineChars="200"/>
        <w:rPr>
          <w:rFonts w:hint="eastAsia"/>
          <w:sz w:val="24"/>
          <w:szCs w:val="24"/>
          <w:lang w:val="en-US" w:eastAsia="zh-CN"/>
        </w:rPr>
      </w:pP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七、</w:t>
      </w:r>
      <w:r>
        <w:rPr>
          <w:rFonts w:hint="default"/>
          <w:b/>
          <w:bCs/>
          <w:sz w:val="24"/>
          <w:szCs w:val="24"/>
          <w:lang w:val="en-US" w:eastAsia="zh-CN"/>
        </w:rPr>
        <w:t>货物的到货和验收</w:t>
      </w:r>
    </w:p>
    <w:p>
      <w:pPr>
        <w:pStyle w:val="2"/>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1、</w:t>
      </w:r>
      <w:r>
        <w:rPr>
          <w:rFonts w:hint="default"/>
          <w:sz w:val="24"/>
          <w:szCs w:val="24"/>
          <w:lang w:val="en-US" w:eastAsia="zh-CN"/>
        </w:rPr>
        <w:t xml:space="preserve">到货 </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卖方必须在合同规定的时间内完成货物的供货。货物到达现场后，卖方必须派员到现场与买方一起开箱并按供货清单验收</w:t>
      </w:r>
      <w:r>
        <w:rPr>
          <w:rFonts w:hint="eastAsia"/>
          <w:sz w:val="24"/>
          <w:szCs w:val="24"/>
          <w:lang w:val="en-US" w:eastAsia="zh-CN"/>
        </w:rPr>
        <w:t>，</w:t>
      </w:r>
      <w:r>
        <w:rPr>
          <w:rFonts w:hint="default"/>
          <w:sz w:val="24"/>
          <w:szCs w:val="24"/>
          <w:lang w:val="en-US" w:eastAsia="zh-CN"/>
        </w:rPr>
        <w:t>若有缺少或损坏，卖方应立即补足或更换全新同规格产品，直至买方满意为止。</w:t>
      </w:r>
    </w:p>
    <w:p>
      <w:pPr>
        <w:pStyle w:val="2"/>
        <w:numPr>
          <w:ilvl w:val="0"/>
          <w:numId w:val="0"/>
        </w:numPr>
        <w:spacing w:line="360" w:lineRule="auto"/>
        <w:ind w:firstLine="480" w:firstLineChars="200"/>
        <w:rPr>
          <w:rFonts w:hint="default"/>
          <w:sz w:val="24"/>
          <w:szCs w:val="24"/>
          <w:lang w:val="en-US" w:eastAsia="zh-CN"/>
        </w:rPr>
      </w:pPr>
    </w:p>
    <w:p>
      <w:pPr>
        <w:pStyle w:val="2"/>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2、</w:t>
      </w:r>
      <w:r>
        <w:rPr>
          <w:rFonts w:hint="default"/>
          <w:sz w:val="24"/>
          <w:szCs w:val="24"/>
          <w:lang w:val="en-US" w:eastAsia="zh-CN"/>
        </w:rPr>
        <w:t>验收</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货物经相关部门检验合格，所有的技术资料</w:t>
      </w:r>
      <w:r>
        <w:rPr>
          <w:rFonts w:hint="eastAsia"/>
          <w:sz w:val="24"/>
          <w:szCs w:val="24"/>
          <w:lang w:val="en-US" w:eastAsia="zh-CN"/>
        </w:rPr>
        <w:t>或</w:t>
      </w:r>
      <w:r>
        <w:rPr>
          <w:rFonts w:hint="default"/>
          <w:sz w:val="24"/>
          <w:szCs w:val="24"/>
          <w:lang w:val="en-US" w:eastAsia="zh-CN"/>
        </w:rPr>
        <w:t>图纸已向买方提交并被接受，验收视为合格，买卖双方签署验收合格证书。 若因卖方产品质量</w:t>
      </w:r>
      <w:r>
        <w:rPr>
          <w:rFonts w:hint="eastAsia"/>
          <w:sz w:val="24"/>
          <w:szCs w:val="24"/>
          <w:lang w:val="en-US" w:eastAsia="zh-CN"/>
        </w:rPr>
        <w:t>问题</w:t>
      </w:r>
      <w:r>
        <w:rPr>
          <w:rFonts w:hint="default"/>
          <w:sz w:val="24"/>
          <w:szCs w:val="24"/>
          <w:lang w:val="en-US" w:eastAsia="zh-CN"/>
        </w:rPr>
        <w:t>导致验收不合格，卖方应及时予以处理，直至验收合格，期间发生的一切相关费用由卖方承担，买方保留向卖方索赔的权利。</w:t>
      </w:r>
    </w:p>
    <w:p>
      <w:pPr>
        <w:pStyle w:val="2"/>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3、</w:t>
      </w:r>
      <w:r>
        <w:rPr>
          <w:rFonts w:hint="default"/>
          <w:sz w:val="24"/>
          <w:szCs w:val="24"/>
          <w:lang w:val="en-US" w:eastAsia="zh-CN"/>
        </w:rPr>
        <w:t>若因卖方产品质量问题导致货物二次验收都不合格，买方有权选择退货，并保留向卖方索赔的权利。</w:t>
      </w:r>
    </w:p>
    <w:p>
      <w:pPr>
        <w:pStyle w:val="2"/>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4、</w:t>
      </w:r>
      <w:r>
        <w:rPr>
          <w:rFonts w:hint="default"/>
          <w:sz w:val="24"/>
          <w:szCs w:val="24"/>
          <w:lang w:val="en-US" w:eastAsia="zh-CN"/>
        </w:rPr>
        <w:t>卖方在货物到货和验收期间应接受买方的协调和管理，卖方应采取严格的防范措施，承担由于自身原因所造成的事故责任及其发生的一切费用。</w:t>
      </w:r>
    </w:p>
    <w:p>
      <w:pPr>
        <w:pStyle w:val="2"/>
        <w:numPr>
          <w:ilvl w:val="0"/>
          <w:numId w:val="0"/>
        </w:numPr>
        <w:spacing w:line="360" w:lineRule="auto"/>
        <w:rPr>
          <w:rFonts w:hint="default"/>
          <w:sz w:val="24"/>
          <w:szCs w:val="24"/>
          <w:lang w:val="en-US" w:eastAsia="zh-CN"/>
        </w:rPr>
      </w:pPr>
    </w:p>
    <w:p>
      <w:pPr>
        <w:pStyle w:val="2"/>
        <w:numPr>
          <w:ilvl w:val="0"/>
          <w:numId w:val="0"/>
        </w:numPr>
        <w:spacing w:line="360" w:lineRule="auto"/>
        <w:rPr>
          <w:rFonts w:hint="eastAsia"/>
          <w:b/>
          <w:bCs/>
          <w:sz w:val="24"/>
          <w:szCs w:val="24"/>
          <w:lang w:val="en-US" w:eastAsia="zh-CN"/>
        </w:rPr>
      </w:pPr>
      <w:r>
        <w:rPr>
          <w:rFonts w:hint="eastAsia"/>
          <w:b/>
          <w:bCs/>
          <w:sz w:val="24"/>
          <w:szCs w:val="24"/>
          <w:lang w:val="en-US" w:eastAsia="zh-CN"/>
        </w:rPr>
        <w:t>八、其他</w:t>
      </w:r>
    </w:p>
    <w:p>
      <w:pPr>
        <w:pStyle w:val="2"/>
        <w:numPr>
          <w:ilvl w:val="0"/>
          <w:numId w:val="0"/>
        </w:numPr>
        <w:spacing w:line="360" w:lineRule="auto"/>
        <w:ind w:firstLine="480" w:firstLineChars="200"/>
        <w:rPr>
          <w:rFonts w:hint="default"/>
          <w:b w:val="0"/>
          <w:bCs w:val="0"/>
          <w:sz w:val="24"/>
          <w:szCs w:val="24"/>
          <w:lang w:val="en-US" w:eastAsia="zh-CN"/>
        </w:rPr>
      </w:pPr>
      <w:r>
        <w:rPr>
          <w:rFonts w:hint="eastAsia"/>
          <w:b w:val="0"/>
          <w:bCs w:val="0"/>
          <w:sz w:val="24"/>
          <w:szCs w:val="24"/>
          <w:lang w:val="en-US" w:eastAsia="zh-CN"/>
        </w:rPr>
        <w:t>1、合同签订后乙方须在</w:t>
      </w:r>
      <w:r>
        <w:rPr>
          <w:rFonts w:hint="eastAsia"/>
          <w:b w:val="0"/>
          <w:bCs w:val="0"/>
          <w:sz w:val="24"/>
          <w:szCs w:val="24"/>
          <w:u w:val="single"/>
          <w:lang w:val="en-US" w:eastAsia="zh-CN"/>
        </w:rPr>
        <w:t xml:space="preserve"> 10 </w:t>
      </w:r>
      <w:r>
        <w:rPr>
          <w:rFonts w:hint="eastAsia"/>
          <w:b w:val="0"/>
          <w:bCs w:val="0"/>
          <w:sz w:val="24"/>
          <w:szCs w:val="24"/>
          <w:u w:val="none"/>
          <w:lang w:val="en-US" w:eastAsia="zh-CN"/>
        </w:rPr>
        <w:t>个</w:t>
      </w:r>
      <w:r>
        <w:rPr>
          <w:rFonts w:hint="eastAsia"/>
          <w:b w:val="0"/>
          <w:bCs w:val="0"/>
          <w:sz w:val="24"/>
          <w:szCs w:val="24"/>
          <w:lang w:val="en-US" w:eastAsia="zh-CN"/>
        </w:rPr>
        <w:t>工作日内完成全部产品的到货。</w:t>
      </w:r>
    </w:p>
    <w:p>
      <w:pPr>
        <w:pStyle w:val="2"/>
        <w:numPr>
          <w:ilvl w:val="0"/>
          <w:numId w:val="0"/>
        </w:numPr>
        <w:spacing w:line="360" w:lineRule="auto"/>
        <w:rPr>
          <w:rFonts w:hint="default"/>
          <w:b w:val="0"/>
          <w:bCs w:val="0"/>
          <w:sz w:val="24"/>
          <w:szCs w:val="24"/>
          <w:u w:val="single"/>
          <w:lang w:val="en-US" w:eastAsia="zh-CN"/>
        </w:rPr>
      </w:pP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九</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违约责任</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1、甲方无正当理由拒收货物的，甲方向乙方偿付拒收货款总值的</w:t>
      </w:r>
      <w:r>
        <w:rPr>
          <w:rFonts w:hint="eastAsia" w:ascii="宋体" w:hAnsi="宋体" w:eastAsia="宋体" w:cs="宋体"/>
          <w:b w:val="0"/>
          <w:bCs w:val="0"/>
          <w:sz w:val="24"/>
          <w:szCs w:val="24"/>
          <w:u w:val="single"/>
          <w:lang w:val="en-US" w:eastAsia="zh-CN"/>
        </w:rPr>
        <w:t xml:space="preserve"> 百分之五 </w:t>
      </w:r>
      <w:r>
        <w:rPr>
          <w:rFonts w:hint="eastAsia" w:ascii="宋体" w:hAnsi="宋体" w:eastAsia="宋体" w:cs="宋体"/>
          <w:b w:val="0"/>
          <w:bCs w:val="0"/>
          <w:sz w:val="24"/>
          <w:szCs w:val="24"/>
          <w:lang w:val="en-US" w:eastAsia="zh-CN"/>
        </w:rPr>
        <w:t>违约金。</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2、乙方逾期交付货物的，乙方应按逾期交货总额每日</w:t>
      </w:r>
      <w:r>
        <w:rPr>
          <w:rFonts w:hint="eastAsia" w:ascii="宋体" w:hAnsi="宋体" w:eastAsia="宋体" w:cs="宋体"/>
          <w:b w:val="0"/>
          <w:bCs w:val="0"/>
          <w:sz w:val="24"/>
          <w:szCs w:val="24"/>
          <w:u w:val="single"/>
          <w:lang w:val="en-US" w:eastAsia="zh-CN"/>
        </w:rPr>
        <w:t xml:space="preserve"> 千分之六 </w:t>
      </w:r>
      <w:r>
        <w:rPr>
          <w:rFonts w:hint="eastAsia" w:ascii="宋体" w:hAnsi="宋体" w:eastAsia="宋体" w:cs="宋体"/>
          <w:b w:val="0"/>
          <w:bCs w:val="0"/>
          <w:sz w:val="24"/>
          <w:szCs w:val="24"/>
          <w:lang w:val="en-US" w:eastAsia="zh-CN"/>
        </w:rPr>
        <w:t xml:space="preserve">向甲方支付违约金，由甲方从待付货款中扣除。逾期超过约定日期 </w:t>
      </w:r>
      <w:r>
        <w:rPr>
          <w:rFonts w:hint="eastAsia" w:ascii="宋体" w:hAnsi="宋体" w:eastAsia="宋体" w:cs="宋体"/>
          <w:b w:val="0"/>
          <w:bCs w:val="0"/>
          <w:sz w:val="24"/>
          <w:szCs w:val="24"/>
          <w:u w:val="single"/>
          <w:lang w:val="en-US" w:eastAsia="zh-CN"/>
        </w:rPr>
        <w:t xml:space="preserve">10 </w:t>
      </w:r>
      <w:r>
        <w:rPr>
          <w:rFonts w:hint="eastAsia" w:ascii="宋体" w:hAnsi="宋体" w:eastAsia="宋体" w:cs="宋体"/>
          <w:b w:val="0"/>
          <w:bCs w:val="0"/>
          <w:sz w:val="24"/>
          <w:szCs w:val="24"/>
          <w:lang w:val="en-US" w:eastAsia="zh-CN"/>
        </w:rPr>
        <w:t>个工作日不能交货的，甲方可解除合同。乙方因逾期交货或因其他违约行为导致甲方解除合同的，乙方应向甲方支付合同总值</w:t>
      </w:r>
      <w:r>
        <w:rPr>
          <w:rFonts w:hint="eastAsia" w:ascii="宋体" w:hAnsi="宋体" w:eastAsia="宋体" w:cs="宋体"/>
          <w:b w:val="0"/>
          <w:bCs w:val="0"/>
          <w:sz w:val="24"/>
          <w:szCs w:val="24"/>
          <w:u w:val="single"/>
          <w:lang w:val="en-US" w:eastAsia="zh-CN"/>
        </w:rPr>
        <w:t xml:space="preserve"> 5 %</w:t>
      </w:r>
      <w:r>
        <w:rPr>
          <w:rFonts w:hint="eastAsia" w:ascii="宋体" w:hAnsi="宋体" w:eastAsia="宋体" w:cs="宋体"/>
          <w:b w:val="0"/>
          <w:bCs w:val="0"/>
          <w:sz w:val="24"/>
          <w:szCs w:val="24"/>
          <w:lang w:val="en-US" w:eastAsia="zh-CN"/>
        </w:rPr>
        <w:t>的违约金，如造成甲方损失超过违约金的，超出部分由乙方继续承担赔偿责任。</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4、由于乙方所提供的货物存在问题，给第三人人身或财产造成损害的，由乙方承担赔偿责任。若甲方承担赔偿责任后，有权向乙方追偿，包括但不限于律师费、诉讼费、交通费等。</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十</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不可抗力事件处理</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1、在合同有效期内，任何一方因不可抗力事件导致不能履行合同，则合同履行期可延长，其延长期与不可抗力影响期相同。</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2、不可抗力事件发生后，应立即通知对方，并寄送有关权威机构出具的证明。</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3、不可抗力事件延续 120天以上，双方应通过友好协商，确定是否继续履行合同。</w:t>
      </w: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十一</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诉讼</w:t>
      </w:r>
    </w:p>
    <w:p>
      <w:pPr>
        <w:pStyle w:val="2"/>
        <w:numPr>
          <w:ilvl w:val="0"/>
          <w:numId w:val="0"/>
        </w:numPr>
        <w:spacing w:line="360" w:lineRule="auto"/>
        <w:ind w:firstLine="480" w:firstLineChars="200"/>
        <w:rPr>
          <w:rFonts w:hint="eastAsia"/>
          <w:sz w:val="24"/>
          <w:szCs w:val="24"/>
          <w:lang w:val="en-US" w:eastAsia="zh-CN"/>
        </w:rPr>
      </w:pPr>
      <w:r>
        <w:rPr>
          <w:rFonts w:hint="default"/>
          <w:b w:val="0"/>
          <w:bCs w:val="0"/>
          <w:sz w:val="24"/>
          <w:szCs w:val="24"/>
          <w:lang w:val="en-US" w:eastAsia="zh-CN"/>
        </w:rPr>
        <w:t>双方在履行合同中所发生的一切争议，应通过协商解决。如协商不成，向甲方所在地法院起诉。</w:t>
      </w:r>
    </w:p>
    <w:sectPr>
      <w:pgSz w:w="16838" w:h="11906" w:orient="landscape"/>
      <w:pgMar w:top="850" w:right="1304" w:bottom="85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C988"/>
    <w:multiLevelType w:val="singleLevel"/>
    <w:tmpl w:val="F41FC988"/>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00A02A37"/>
    <w:rsid w:val="0007646E"/>
    <w:rsid w:val="002A0406"/>
    <w:rsid w:val="007373BC"/>
    <w:rsid w:val="00A02A37"/>
    <w:rsid w:val="00A457FA"/>
    <w:rsid w:val="00F0269D"/>
    <w:rsid w:val="03411FB9"/>
    <w:rsid w:val="04684506"/>
    <w:rsid w:val="05255951"/>
    <w:rsid w:val="0FB35FED"/>
    <w:rsid w:val="10C71F5A"/>
    <w:rsid w:val="12900868"/>
    <w:rsid w:val="1D3C515C"/>
    <w:rsid w:val="209B4FA7"/>
    <w:rsid w:val="21DA0877"/>
    <w:rsid w:val="252217F3"/>
    <w:rsid w:val="25386A61"/>
    <w:rsid w:val="28463279"/>
    <w:rsid w:val="2EBF307B"/>
    <w:rsid w:val="32CE6B16"/>
    <w:rsid w:val="3AB111F7"/>
    <w:rsid w:val="3EC97C4B"/>
    <w:rsid w:val="41192A66"/>
    <w:rsid w:val="46674E60"/>
    <w:rsid w:val="48C84ABD"/>
    <w:rsid w:val="5A0F768E"/>
    <w:rsid w:val="68AC65E3"/>
    <w:rsid w:val="6EAD47D5"/>
    <w:rsid w:val="71C32FE3"/>
    <w:rsid w:val="747B3DF6"/>
    <w:rsid w:val="7A192509"/>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555"/>
    </w:pPr>
  </w:style>
  <w:style w:type="paragraph" w:styleId="4">
    <w:name w:val="Body Text"/>
    <w:basedOn w:val="1"/>
    <w:next w:val="1"/>
    <w:qFormat/>
    <w:uiPriority w:val="0"/>
    <w:pPr>
      <w:spacing w:after="120"/>
    </w:p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qFormat/>
    <w:uiPriority w:val="0"/>
    <w:pPr>
      <w:ind w:firstLine="420" w:firstLineChars="100"/>
    </w:pPr>
  </w:style>
  <w:style w:type="character" w:customStyle="1" w:styleId="11">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1723</Words>
  <Characters>1753</Characters>
  <Lines>1</Lines>
  <Paragraphs>1</Paragraphs>
  <TotalTime>6</TotalTime>
  <ScaleCrop>false</ScaleCrop>
  <LinksUpToDate>false</LinksUpToDate>
  <CharactersWithSpaces>1766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Administrator</cp:lastModifiedBy>
  <dcterms:modified xsi:type="dcterms:W3CDTF">2022-09-15T07:33:51Z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7C5A16EDF2E647309599E4BF75944C46</vt:lpwstr>
  </property>
</Properties>
</file>