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spacing w:line="360" w:lineRule="auto"/>
        <w:rPr>
          <w:rFonts w:hint="eastAsia" w:ascii="宋体" w:hAnsi="宋体" w:eastAsia="宋体" w:cs="宋体"/>
          <w:b/>
          <w:bCs/>
          <w:sz w:val="24"/>
          <w:u w:val="none"/>
          <w:lang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安检门</w:t>
      </w:r>
    </w:p>
    <w:p>
      <w:pPr>
        <w:pStyle w:val="2"/>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1.15万元</w:t>
      </w:r>
    </w:p>
    <w:p>
      <w:pPr>
        <w:pStyle w:val="2"/>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9"/>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36"/>
        <w:gridCol w:w="1229"/>
        <w:gridCol w:w="1021"/>
        <w:gridCol w:w="7758"/>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362"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449"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413"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43"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2607"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参数要求</w:t>
            </w:r>
          </w:p>
        </w:tc>
        <w:tc>
          <w:tcPr>
            <w:tcW w:w="824"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blHeader/>
        </w:trPr>
        <w:tc>
          <w:tcPr>
            <w:tcW w:w="362"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449"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安检门</w:t>
            </w:r>
          </w:p>
        </w:tc>
        <w:tc>
          <w:tcPr>
            <w:tcW w:w="413"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343"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2607" w:type="pct"/>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显示屏</w:t>
            </w:r>
            <w:r>
              <w:rPr>
                <w:rFonts w:hint="eastAsia" w:ascii="宋体" w:hAnsi="宋体" w:eastAsia="宋体" w:cs="宋体"/>
                <w:b w:val="0"/>
                <w:bCs w:val="0"/>
                <w:sz w:val="18"/>
                <w:szCs w:val="18"/>
                <w:lang w:val="en-US" w:eastAsia="zh-CN"/>
              </w:rPr>
              <w:t>为</w:t>
            </w:r>
            <w:r>
              <w:rPr>
                <w:rFonts w:hint="eastAsia" w:ascii="宋体" w:hAnsi="宋体" w:eastAsia="宋体" w:cs="宋体"/>
                <w:b w:val="0"/>
                <w:bCs w:val="0"/>
                <w:sz w:val="18"/>
                <w:szCs w:val="18"/>
              </w:rPr>
              <w:t>LCD屏</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规格≥7</w:t>
            </w:r>
            <w:r>
              <w:rPr>
                <w:rFonts w:hint="eastAsia" w:ascii="宋体" w:hAnsi="宋体" w:eastAsia="宋体" w:cs="宋体"/>
                <w:b w:val="0"/>
                <w:bCs w:val="0"/>
                <w:sz w:val="18"/>
                <w:szCs w:val="18"/>
              </w:rPr>
              <w:t>寸</w:t>
            </w:r>
            <w:r>
              <w:rPr>
                <w:rFonts w:hint="eastAsia" w:ascii="宋体" w:hAnsi="宋体" w:eastAsia="宋体" w:cs="宋体"/>
                <w:b w:val="0"/>
                <w:bCs w:val="0"/>
                <w:sz w:val="18"/>
                <w:szCs w:val="1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重量</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90KG</w:t>
            </w:r>
            <w:r>
              <w:rPr>
                <w:rFonts w:hint="eastAsia" w:ascii="宋体" w:hAnsi="宋体" w:eastAsia="宋体" w:cs="宋体"/>
                <w:b w:val="0"/>
                <w:bCs w:val="0"/>
                <w:sz w:val="18"/>
                <w:szCs w:val="1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功耗＜30W</w:t>
            </w:r>
            <w:r>
              <w:rPr>
                <w:rFonts w:hint="eastAsia" w:ascii="宋体" w:hAnsi="宋体" w:eastAsia="宋体" w:cs="宋体"/>
                <w:b w:val="0"/>
                <w:bCs w:val="0"/>
                <w:sz w:val="18"/>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工作温度</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-10℃</w:t>
            </w:r>
            <w:r>
              <w:rPr>
                <w:rFonts w:hint="default" w:ascii="Arial" w:hAnsi="Arial" w:eastAsia="宋体" w:cs="Arial"/>
                <w:b w:val="0"/>
                <w:bCs w:val="0"/>
                <w:sz w:val="18"/>
                <w:szCs w:val="18"/>
                <w:lang w:val="en-US" w:eastAsia="zh-CN"/>
              </w:rPr>
              <w:t>~</w:t>
            </w:r>
            <w:r>
              <w:rPr>
                <w:rFonts w:hint="eastAsia" w:ascii="宋体" w:hAnsi="宋体" w:eastAsia="宋体" w:cs="宋体"/>
                <w:b w:val="0"/>
                <w:bCs w:val="0"/>
                <w:sz w:val="18"/>
                <w:szCs w:val="18"/>
              </w:rPr>
              <w:t>55℃</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工作湿度＜95%，无冷凝</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外接电源</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187V～242V，50/60Hz</w:t>
            </w:r>
            <w:r>
              <w:rPr>
                <w:rFonts w:hint="eastAsia" w:ascii="宋体" w:hAnsi="宋体" w:eastAsia="宋体" w:cs="宋体"/>
                <w:b w:val="0"/>
                <w:bCs w:val="0"/>
                <w:sz w:val="18"/>
                <w:szCs w:val="18"/>
                <w:lang w:eastAsia="zh-CN"/>
              </w:rPr>
              <w:t>；</w:t>
            </w:r>
          </w:p>
          <w:p>
            <w:pPr>
              <w:pStyle w:val="2"/>
              <w:ind w:left="0" w:leftChars="0" w:firstLine="0" w:firstLineChars="0"/>
              <w:rPr>
                <w:rFonts w:hint="default"/>
                <w:lang w:val="en-US" w:eastAsia="zh-CN"/>
              </w:rPr>
            </w:pPr>
            <w:r>
              <w:rPr>
                <w:rFonts w:hint="eastAsia" w:ascii="宋体" w:hAnsi="宋体" w:eastAsia="宋体" w:cs="宋体"/>
                <w:b w:val="0"/>
                <w:bCs w:val="0"/>
                <w:sz w:val="18"/>
                <w:szCs w:val="18"/>
                <w:lang w:val="en-US" w:eastAsia="zh-CN"/>
              </w:rPr>
              <w:t>7）频率设置≥20级；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输出接</w:t>
            </w:r>
            <w:r>
              <w:rPr>
                <w:rFonts w:hint="eastAsia" w:ascii="宋体" w:hAnsi="宋体" w:eastAsia="宋体" w:cs="宋体"/>
                <w:b w:val="0"/>
                <w:bCs w:val="0"/>
                <w:sz w:val="18"/>
                <w:szCs w:val="18"/>
                <w:lang w:val="en-US" w:eastAsia="zh-CN"/>
              </w:rPr>
              <w:t>口：≥</w:t>
            </w:r>
            <w:r>
              <w:rPr>
                <w:rFonts w:hint="eastAsia" w:ascii="宋体" w:hAnsi="宋体" w:eastAsia="宋体" w:cs="宋体"/>
                <w:b w:val="0"/>
                <w:bCs w:val="0"/>
                <w:sz w:val="18"/>
                <w:szCs w:val="18"/>
              </w:rPr>
              <w:t>1个RJ45网口、1个</w:t>
            </w:r>
            <w:r>
              <w:rPr>
                <w:rFonts w:hint="eastAsia" w:ascii="宋体" w:hAnsi="宋体" w:eastAsia="宋体" w:cs="宋体"/>
                <w:b w:val="0"/>
                <w:bCs w:val="0"/>
                <w:sz w:val="18"/>
                <w:szCs w:val="18"/>
                <w:lang w:val="en-US" w:eastAsia="zh-CN"/>
              </w:rPr>
              <w:t>两</w:t>
            </w:r>
            <w:r>
              <w:rPr>
                <w:rFonts w:hint="eastAsia" w:ascii="宋体" w:hAnsi="宋体" w:eastAsia="宋体" w:cs="宋体"/>
                <w:b w:val="0"/>
                <w:bCs w:val="0"/>
                <w:sz w:val="18"/>
                <w:szCs w:val="18"/>
              </w:rPr>
              <w:t>路报警输出</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联网功能：可以单机联网，通过web端进行参数配置；也可以搭配平台进行客流数据、报警数据的汇聚应用</w:t>
            </w:r>
            <w:r>
              <w:rPr>
                <w:rFonts w:hint="eastAsia" w:ascii="宋体" w:hAnsi="宋体" w:eastAsia="宋体" w:cs="宋体"/>
                <w:b w:val="0"/>
                <w:bCs w:val="0"/>
                <w:sz w:val="18"/>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10）金属探测精度：可排除皮带扣、皮鞋、文胸等物品的影响</w:t>
            </w:r>
            <w:r>
              <w:rPr>
                <w:rFonts w:hint="eastAsia" w:ascii="宋体" w:hAnsi="宋体" w:eastAsia="宋体" w:cs="宋体"/>
                <w:b w:val="0"/>
                <w:bCs w:val="0"/>
                <w:sz w:val="18"/>
                <w:szCs w:val="18"/>
              </w:rPr>
              <w:t>；可检测到30克以上的铜、铝、锌等金属或者管制刀具和枪支</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11）</w:t>
            </w:r>
            <w:r>
              <w:rPr>
                <w:rFonts w:hint="eastAsia" w:ascii="宋体" w:hAnsi="宋体" w:eastAsia="宋体" w:cs="宋体"/>
                <w:b w:val="0"/>
                <w:bCs w:val="0"/>
                <w:sz w:val="18"/>
                <w:szCs w:val="18"/>
              </w:rPr>
              <w:t>金属检测：可检测到1个回形针大小的金属，有效进行违规物品核验</w:t>
            </w:r>
            <w:r>
              <w:rPr>
                <w:rFonts w:hint="eastAsia" w:ascii="宋体" w:hAnsi="宋体" w:eastAsia="宋体" w:cs="宋体"/>
                <w:b w:val="0"/>
                <w:bCs w:val="0"/>
                <w:sz w:val="18"/>
                <w:szCs w:val="18"/>
                <w:lang w:eastAsia="zh-CN"/>
              </w:rPr>
              <w:t>，不会漏报和串报</w:t>
            </w:r>
            <w:r>
              <w:rPr>
                <w:rFonts w:hint="eastAsia" w:ascii="宋体" w:hAnsi="宋体" w:eastAsia="宋体" w:cs="宋体"/>
                <w:b w:val="0"/>
                <w:bCs w:val="0"/>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12）</w:t>
            </w:r>
            <w:r>
              <w:rPr>
                <w:rFonts w:hint="eastAsia" w:ascii="宋体" w:hAnsi="宋体" w:eastAsia="宋体" w:cs="宋体"/>
                <w:b w:val="0"/>
                <w:bCs w:val="0"/>
                <w:sz w:val="18"/>
                <w:szCs w:val="18"/>
              </w:rPr>
              <w:t xml:space="preserve">门体显示：采用液晶屏显示，可展示客流和报警数据；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13）</w:t>
            </w:r>
            <w:r>
              <w:rPr>
                <w:rFonts w:hint="eastAsia" w:ascii="宋体" w:hAnsi="宋体" w:eastAsia="宋体" w:cs="宋体"/>
                <w:b w:val="0"/>
                <w:bCs w:val="0"/>
                <w:sz w:val="18"/>
                <w:szCs w:val="18"/>
              </w:rPr>
              <w:t>多区位报警功能：人体不同位置的多个金属通过安检门时会同时报警，并可以指示多个金属的位置，最多支持</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18区位</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每个区域</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 xml:space="preserve">255级灵敏度等级调节； </w:t>
            </w:r>
          </w:p>
          <w:p>
            <w:pPr>
              <w:pStyle w:val="2"/>
              <w:ind w:left="0" w:leftChars="0" w:firstLine="0" w:firstLineChars="0"/>
              <w:rPr>
                <w:rFonts w:hint="eastAsia"/>
                <w:sz w:val="18"/>
                <w:szCs w:val="18"/>
              </w:rPr>
            </w:pPr>
            <w:r>
              <w:rPr>
                <w:rFonts w:hint="eastAsia" w:ascii="宋体" w:hAnsi="宋体" w:eastAsia="宋体" w:cs="宋体"/>
                <w:sz w:val="18"/>
                <w:szCs w:val="18"/>
                <w:lang w:val="en-US" w:eastAsia="zh-CN"/>
              </w:rPr>
              <w:t>14</w:t>
            </w:r>
            <w:r>
              <w:rPr>
                <w:rFonts w:hint="eastAsia"/>
                <w:sz w:val="18"/>
                <w:szCs w:val="18"/>
                <w:lang w:val="en-US" w:eastAsia="zh-CN"/>
              </w:rPr>
              <w:t>）</w:t>
            </w:r>
            <w:r>
              <w:rPr>
                <w:rFonts w:hint="eastAsia"/>
                <w:sz w:val="18"/>
                <w:szCs w:val="18"/>
              </w:rPr>
              <w:t>两侧定位灯：门柱两侧均带有LED灯，能直观的通过定位灯显示违禁物品所在区域。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15）</w:t>
            </w:r>
            <w:r>
              <w:rPr>
                <w:rFonts w:hint="eastAsia" w:ascii="宋体" w:hAnsi="宋体" w:eastAsia="宋体" w:cs="宋体"/>
                <w:b w:val="0"/>
                <w:bCs w:val="0"/>
                <w:sz w:val="18"/>
                <w:szCs w:val="18"/>
              </w:rPr>
              <w:t>模块化组件设计：运输、维护方便快捷</w:t>
            </w:r>
            <w:r>
              <w:rPr>
                <w:rFonts w:hint="eastAsia" w:ascii="宋体" w:hAnsi="宋体" w:eastAsia="宋体" w:cs="宋体"/>
                <w:b w:val="0"/>
                <w:bCs w:val="0"/>
                <w:sz w:val="18"/>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16）</w:t>
            </w:r>
            <w:r>
              <w:rPr>
                <w:rFonts w:hint="eastAsia" w:ascii="宋体" w:hAnsi="宋体" w:eastAsia="宋体" w:cs="宋体"/>
                <w:b w:val="0"/>
                <w:bCs w:val="0"/>
                <w:sz w:val="18"/>
                <w:szCs w:val="18"/>
              </w:rPr>
              <w:t>具有飞物报警功能：金属物体从门中间抛过也会准确</w:t>
            </w:r>
            <w:r>
              <w:rPr>
                <w:rFonts w:hint="eastAsia" w:ascii="宋体" w:hAnsi="宋体" w:eastAsia="宋体" w:cs="宋体"/>
                <w:b w:val="0"/>
                <w:bCs w:val="0"/>
                <w:sz w:val="18"/>
                <w:szCs w:val="18"/>
                <w:lang w:val="en-US" w:eastAsia="zh-CN"/>
              </w:rPr>
              <w:t>报警；</w:t>
            </w:r>
            <w:r>
              <w:rPr>
                <w:rFonts w:hint="eastAsia" w:ascii="宋体" w:hAnsi="宋体" w:eastAsia="宋体" w:cs="宋体"/>
                <w:b w:val="0"/>
                <w:bCs w:val="0"/>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17）</w:t>
            </w:r>
            <w:r>
              <w:rPr>
                <w:rFonts w:hint="eastAsia" w:ascii="宋体" w:hAnsi="宋体" w:eastAsia="宋体" w:cs="宋体"/>
                <w:b w:val="0"/>
                <w:bCs w:val="0"/>
                <w:sz w:val="18"/>
                <w:szCs w:val="18"/>
              </w:rPr>
              <w:t>超低探测高度：离地3cm以上的金属物体进入检测区域均可报警</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rPr>
            </w:pPr>
            <w:r>
              <w:rPr>
                <w:rFonts w:hint="eastAsia" w:ascii="宋体" w:hAnsi="宋体" w:eastAsia="宋体" w:cs="宋体"/>
                <w:b w:val="0"/>
                <w:bCs w:val="0"/>
                <w:sz w:val="18"/>
                <w:szCs w:val="18"/>
                <w:lang w:val="en-US" w:eastAsia="zh-CN"/>
              </w:rPr>
              <w:t>18）</w:t>
            </w:r>
            <w:r>
              <w:rPr>
                <w:rFonts w:hint="eastAsia" w:ascii="宋体" w:hAnsi="宋体" w:eastAsia="宋体" w:cs="宋体"/>
                <w:b w:val="0"/>
                <w:bCs w:val="0"/>
                <w:sz w:val="18"/>
                <w:szCs w:val="18"/>
              </w:rPr>
              <w:t>开机自诊断功能：开机时</w:t>
            </w:r>
            <w:r>
              <w:rPr>
                <w:rFonts w:hint="eastAsia" w:ascii="宋体" w:hAnsi="宋体" w:eastAsia="宋体" w:cs="宋体"/>
                <w:b w:val="0"/>
                <w:bCs w:val="0"/>
                <w:sz w:val="18"/>
                <w:szCs w:val="18"/>
                <w:lang w:val="en-US" w:eastAsia="zh-CN"/>
              </w:rPr>
              <w:t>可以自动</w:t>
            </w:r>
            <w:r>
              <w:rPr>
                <w:rFonts w:hint="eastAsia" w:ascii="宋体" w:hAnsi="宋体" w:eastAsia="宋体" w:cs="宋体"/>
                <w:b w:val="0"/>
                <w:bCs w:val="0"/>
                <w:sz w:val="18"/>
                <w:szCs w:val="18"/>
              </w:rPr>
              <w:t>对系统进行自检，并显示检测结果。</w:t>
            </w:r>
          </w:p>
        </w:tc>
        <w:tc>
          <w:tcPr>
            <w:tcW w:w="82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drawing>
                <wp:inline distT="0" distB="0" distL="114300" distR="114300">
                  <wp:extent cx="1115060" cy="2429510"/>
                  <wp:effectExtent l="0" t="0" r="8890" b="8890"/>
                  <wp:docPr id="4" name="图片 3" descr="f1542f1fb1c4819d11ce58f9472d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f1542f1fb1c4819d11ce58f9472dfb0"/>
                          <pic:cNvPicPr>
                            <a:picLocks noChangeAspect="1"/>
                          </pic:cNvPicPr>
                        </pic:nvPicPr>
                        <pic:blipFill>
                          <a:blip r:embed="rId4"/>
                          <a:stretch>
                            <a:fillRect/>
                          </a:stretch>
                        </pic:blipFill>
                        <pic:spPr>
                          <a:xfrm>
                            <a:off x="0" y="0"/>
                            <a:ext cx="1115060" cy="2429510"/>
                          </a:xfrm>
                          <a:prstGeom prst="rect">
                            <a:avLst/>
                          </a:prstGeom>
                        </pic:spPr>
                      </pic:pic>
                    </a:graphicData>
                  </a:graphic>
                </wp:inline>
              </w:drawing>
            </w:r>
          </w:p>
        </w:tc>
      </w:tr>
    </w:tbl>
    <w:p>
      <w:pPr>
        <w:pStyle w:val="2"/>
        <w:ind w:firstLine="0" w:firstLineChars="0"/>
        <w:rPr>
          <w:rFonts w:hint="default" w:ascii="宋体" w:hAnsi="宋体" w:eastAsia="宋体" w:cs="宋体"/>
          <w:sz w:val="24"/>
          <w:lang w:val="en-US" w:eastAsia="zh-CN"/>
        </w:rPr>
      </w:pPr>
    </w:p>
    <w:p>
      <w:pPr>
        <w:pStyle w:val="2"/>
        <w:numPr>
          <w:ilvl w:val="0"/>
          <w:numId w:val="2"/>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发票，甲方在收到发票后60天内向乙方支付全部合同价款。</w:t>
      </w:r>
    </w:p>
    <w:p>
      <w:pPr>
        <w:pStyle w:val="2"/>
        <w:numPr>
          <w:ilvl w:val="0"/>
          <w:numId w:val="2"/>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质保期≥2年</w:t>
      </w:r>
      <w:r>
        <w:rPr>
          <w:rFonts w:hint="eastAsia"/>
          <w:b/>
          <w:bCs/>
          <w:sz w:val="24"/>
          <w:szCs w:val="24"/>
        </w:rPr>
        <w:t>（自交货验收合格之日起计）</w:t>
      </w:r>
      <w:r>
        <w:rPr>
          <w:rFonts w:hint="eastAsia"/>
          <w:b/>
          <w:bCs/>
          <w:sz w:val="24"/>
          <w:szCs w:val="24"/>
          <w:lang w:eastAsia="zh-CN"/>
        </w:rPr>
        <w:t>。</w:t>
      </w: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2"/>
        <w:numPr>
          <w:ilvl w:val="0"/>
          <w:numId w:val="0"/>
        </w:numPr>
        <w:spacing w:line="360" w:lineRule="auto"/>
        <w:ind w:leftChars="0" w:firstLine="480" w:firstLineChars="200"/>
        <w:rPr>
          <w:rFonts w:hint="eastAsia"/>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2"/>
        <w:numPr>
          <w:ilvl w:val="0"/>
          <w:numId w:val="0"/>
        </w:numPr>
        <w:spacing w:line="360" w:lineRule="auto"/>
        <w:ind w:firstLine="480" w:firstLineChars="200"/>
        <w:rPr>
          <w:rFonts w:hint="eastAsia"/>
          <w:b w:val="0"/>
          <w:bCs w:val="0"/>
          <w:sz w:val="24"/>
          <w:szCs w:val="24"/>
          <w:lang w:val="en-US" w:eastAsia="zh-CN"/>
        </w:rPr>
      </w:pPr>
      <w:r>
        <w:rPr>
          <w:rFonts w:hint="eastAsia"/>
          <w:b w:val="0"/>
          <w:bCs w:val="0"/>
          <w:sz w:val="24"/>
          <w:szCs w:val="24"/>
          <w:lang w:val="en-US" w:eastAsia="zh-CN"/>
        </w:rPr>
        <w:t>▲1、投标供应商需</w:t>
      </w:r>
      <w:r>
        <w:rPr>
          <w:rFonts w:hint="default"/>
          <w:b w:val="0"/>
          <w:bCs w:val="0"/>
          <w:sz w:val="24"/>
          <w:szCs w:val="24"/>
          <w:lang w:val="en-US" w:eastAsia="zh-CN"/>
        </w:rPr>
        <w:t>提供产品制造商</w:t>
      </w:r>
      <w:r>
        <w:rPr>
          <w:rFonts w:hint="eastAsia"/>
          <w:b w:val="0"/>
          <w:bCs w:val="0"/>
          <w:sz w:val="24"/>
          <w:szCs w:val="24"/>
          <w:lang w:val="en-US" w:eastAsia="zh-CN"/>
        </w:rPr>
        <w:t>的</w:t>
      </w:r>
      <w:r>
        <w:rPr>
          <w:rFonts w:hint="default"/>
          <w:b w:val="0"/>
          <w:bCs w:val="0"/>
          <w:sz w:val="24"/>
          <w:szCs w:val="24"/>
          <w:lang w:val="en-US" w:eastAsia="zh-CN"/>
        </w:rPr>
        <w:t>项目授权</w:t>
      </w:r>
      <w:r>
        <w:rPr>
          <w:rFonts w:hint="eastAsia"/>
          <w:b w:val="0"/>
          <w:bCs w:val="0"/>
          <w:sz w:val="24"/>
          <w:szCs w:val="24"/>
          <w:lang w:val="en-US" w:eastAsia="zh-CN"/>
        </w:rPr>
        <w:t>文件原厂盖章，同时加盖单位公章。</w:t>
      </w:r>
    </w:p>
    <w:p>
      <w:pPr>
        <w:pStyle w:val="2"/>
        <w:numPr>
          <w:ilvl w:val="0"/>
          <w:numId w:val="0"/>
        </w:numPr>
        <w:spacing w:line="360" w:lineRule="auto"/>
        <w:ind w:firstLine="480" w:firstLineChars="200"/>
        <w:rPr>
          <w:rFonts w:hint="default"/>
          <w:b w:val="0"/>
          <w:bCs w:val="0"/>
          <w:sz w:val="24"/>
          <w:szCs w:val="24"/>
          <w:lang w:val="en-US" w:eastAsia="zh-CN"/>
        </w:rPr>
      </w:pPr>
      <w:r>
        <w:rPr>
          <w:rFonts w:hint="eastAsia"/>
          <w:b w:val="0"/>
          <w:bCs w:val="0"/>
          <w:sz w:val="24"/>
          <w:szCs w:val="24"/>
          <w:lang w:val="en-US" w:eastAsia="zh-CN"/>
        </w:rPr>
        <w:t>2、合同签订后乙方须在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2"/>
        <w:numPr>
          <w:ilvl w:val="0"/>
          <w:numId w:val="0"/>
        </w:numPr>
        <w:spacing w:line="360" w:lineRule="auto"/>
        <w:ind w:firstLine="480" w:firstLineChars="200"/>
        <w:rPr>
          <w:rFonts w:hint="default"/>
          <w:b w:val="0"/>
          <w:bCs w:val="0"/>
          <w:sz w:val="24"/>
          <w:szCs w:val="24"/>
          <w:lang w:val="en-US" w:eastAsia="zh-CN"/>
        </w:rPr>
      </w:pPr>
    </w:p>
    <w:p>
      <w:pPr>
        <w:pStyle w:val="2"/>
        <w:numPr>
          <w:ilvl w:val="0"/>
          <w:numId w:val="0"/>
        </w:numPr>
        <w:spacing w:line="360" w:lineRule="auto"/>
        <w:rPr>
          <w:rFonts w:hint="default"/>
          <w:b w:val="0"/>
          <w:bCs w:val="0"/>
          <w:sz w:val="24"/>
          <w:szCs w:val="24"/>
          <w:u w:val="single"/>
          <w:lang w:val="en-US" w:eastAsia="zh-CN"/>
        </w:rPr>
      </w:pPr>
      <w:r>
        <w:rPr>
          <w:rFonts w:hint="default"/>
          <w:b w:val="0"/>
          <w:bCs w:val="0"/>
          <w:sz w:val="24"/>
          <w:szCs w:val="24"/>
          <w:lang w:val="en-US" w:eastAsia="zh-CN"/>
        </w:rPr>
        <w:t>▲</w:t>
      </w:r>
      <w:r>
        <w:rPr>
          <w:rFonts w:hint="eastAsia"/>
          <w:b w:val="0"/>
          <w:bCs w:val="0"/>
          <w:sz w:val="24"/>
          <w:szCs w:val="24"/>
          <w:lang w:val="en-US" w:eastAsia="zh-CN"/>
        </w:rPr>
        <w:t>：</w:t>
      </w:r>
      <w:r>
        <w:rPr>
          <w:rFonts w:hint="default"/>
          <w:b/>
          <w:bCs/>
          <w:sz w:val="24"/>
          <w:szCs w:val="24"/>
          <w:u w:val="single"/>
          <w:lang w:val="en-US" w:eastAsia="zh-CN"/>
        </w:rPr>
        <w:t>只要有一项审查不合格，则该投标人的资格审查不合格，审查不合格的投标文件将不予评审。</w:t>
      </w:r>
    </w:p>
    <w:p>
      <w:pPr>
        <w:pStyle w:val="2"/>
        <w:numPr>
          <w:ilvl w:val="0"/>
          <w:numId w:val="0"/>
        </w:numPr>
        <w:spacing w:line="360" w:lineRule="auto"/>
        <w:rPr>
          <w:rFonts w:hint="default"/>
          <w:b w:val="0"/>
          <w:bCs w:val="0"/>
          <w:sz w:val="24"/>
          <w:szCs w:val="24"/>
          <w:u w:val="single"/>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w:t>
      </w:r>
      <w:bookmarkStart w:id="0" w:name="_GoBack"/>
      <w:bookmarkEnd w:id="0"/>
      <w:r>
        <w:rPr>
          <w:rFonts w:hint="eastAsia" w:ascii="宋体" w:hAnsi="宋体" w:eastAsia="宋体" w:cs="宋体"/>
          <w:b w:val="0"/>
          <w:bCs w:val="0"/>
          <w:sz w:val="24"/>
          <w:szCs w:val="24"/>
          <w:lang w:val="en-US" w:eastAsia="zh-CN"/>
        </w:rPr>
        <w:t>抗力影响期相同。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2"/>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850" w:right="1304" w:bottom="85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abstractNum w:abstractNumId="1">
    <w:nsid w:val="F7BBD00F"/>
    <w:multiLevelType w:val="singleLevel"/>
    <w:tmpl w:val="F7BBD00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5255951"/>
    <w:rsid w:val="10C71F5A"/>
    <w:rsid w:val="12900868"/>
    <w:rsid w:val="1D3C515C"/>
    <w:rsid w:val="209B4FA7"/>
    <w:rsid w:val="21DA0877"/>
    <w:rsid w:val="252217F3"/>
    <w:rsid w:val="2EBF307B"/>
    <w:rsid w:val="3AB111F7"/>
    <w:rsid w:val="3EC97C4B"/>
    <w:rsid w:val="41192A66"/>
    <w:rsid w:val="48C84ABD"/>
    <w:rsid w:val="5A0F768E"/>
    <w:rsid w:val="68AC65E3"/>
    <w:rsid w:val="6EAD47D5"/>
    <w:rsid w:val="71C32FE3"/>
    <w:rsid w:val="747B3DF6"/>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Body Text"/>
    <w:basedOn w:val="1"/>
    <w:next w:val="1"/>
    <w:qFormat/>
    <w:uiPriority w:val="0"/>
    <w:pPr>
      <w:spacing w:after="120"/>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ind w:firstLine="420" w:firstLineChars="1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1974</Words>
  <Characters>2037</Characters>
  <Lines>1</Lines>
  <Paragraphs>1</Paragraphs>
  <TotalTime>2</TotalTime>
  <ScaleCrop>false</ScaleCrop>
  <LinksUpToDate>false</LinksUpToDate>
  <CharactersWithSpaces>2055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2022-09-08T00:52:40Z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7C5A16EDF2E647309599E4BF75944C46</vt:lpwstr>
  </property>
</Properties>
</file>