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3"/>
          <w:rFonts w:hint="eastAsia" w:asciiTheme="minorEastAsia" w:hAnsiTheme="minorEastAsia" w:eastAsiaTheme="minorEastAsia" w:cstheme="minorEastAsia"/>
          <w:b/>
          <w:bCs/>
          <w:sz w:val="32"/>
          <w:szCs w:val="32"/>
          <w:lang w:val="en-US" w:eastAsia="zh-CN"/>
        </w:rPr>
      </w:pPr>
      <w:r>
        <w:rPr>
          <w:rStyle w:val="13"/>
          <w:rFonts w:hint="eastAsia" w:asciiTheme="minorEastAsia" w:hAnsiTheme="minorEastAsia" w:eastAsiaTheme="minorEastAsia" w:cstheme="minorEastAsia"/>
          <w:b/>
          <w:bCs/>
          <w:sz w:val="36"/>
          <w:szCs w:val="36"/>
          <w:lang w:val="en-US" w:eastAsia="zh-CN"/>
        </w:rPr>
        <w:t>温州市中医院关于超声骨密度仪项目的招标</w:t>
      </w:r>
    </w:p>
    <w:p>
      <w:pPr>
        <w:numPr>
          <w:ilvl w:val="0"/>
          <w:numId w:val="1"/>
        </w:numPr>
        <w:jc w:val="both"/>
        <w:rPr>
          <w:rStyle w:val="13"/>
          <w:rFonts w:hint="eastAsia" w:asciiTheme="minorEastAsia" w:hAnsiTheme="minorEastAsia" w:eastAsiaTheme="minorEastAsia" w:cstheme="minorEastAsia"/>
          <w:b/>
          <w:bCs/>
          <w:sz w:val="32"/>
          <w:szCs w:val="32"/>
        </w:rPr>
      </w:pPr>
      <w:r>
        <w:rPr>
          <w:rStyle w:val="13"/>
          <w:rFonts w:hint="eastAsia" w:asciiTheme="minorEastAsia" w:hAnsiTheme="minorEastAsia" w:eastAsiaTheme="minorEastAsia" w:cstheme="minorEastAsia"/>
          <w:b/>
          <w:bCs/>
          <w:sz w:val="32"/>
          <w:szCs w:val="32"/>
        </w:rPr>
        <w:t>项目基本情况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5"/>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eastAsia" w:ascii="宋体" w:hAnsi="宋体" w:eastAsia="宋体" w:cs="宋体"/>
                <w:b w:val="0"/>
                <w:bCs w:val="0"/>
                <w:color w:val="auto"/>
                <w:sz w:val="24"/>
                <w:szCs w:val="24"/>
                <w:vertAlign w:val="baseline"/>
                <w:lang w:val="en-US"/>
              </w:rPr>
            </w:pPr>
            <w:r>
              <w:rPr>
                <w:rFonts w:hint="eastAsia" w:ascii="宋体" w:hAnsi="宋体" w:eastAsia="宋体" w:cs="宋体"/>
                <w:b w:val="0"/>
                <w:bCs w:val="0"/>
                <w:color w:val="auto"/>
                <w:sz w:val="24"/>
                <w:szCs w:val="24"/>
              </w:rPr>
              <w:t>项目编号：</w:t>
            </w:r>
            <w:r>
              <w:rPr>
                <w:rFonts w:hint="eastAsia" w:ascii="宋体" w:hAnsi="宋体" w:eastAsia="宋体" w:cs="宋体"/>
                <w:color w:val="auto"/>
                <w:sz w:val="24"/>
                <w:szCs w:val="24"/>
                <w:vertAlign w:val="baseline"/>
                <w:lang w:val="en-US" w:eastAsia="zh-CN"/>
              </w:rPr>
              <w:t>2022-sb-cg-</w:t>
            </w:r>
            <w:r>
              <w:rPr>
                <w:rFonts w:hint="eastAsia" w:asciiTheme="minorEastAsia" w:hAnsiTheme="minorEastAsia" w:cstheme="minorEastAsia"/>
                <w:color w:val="auto"/>
                <w:sz w:val="24"/>
                <w:szCs w:val="24"/>
                <w:vertAlign w:val="baseline"/>
                <w:lang w:val="en-US" w:eastAsia="zh-CN"/>
              </w:rPr>
              <w:t>046</w:t>
            </w:r>
          </w:p>
        </w:tc>
        <w:tc>
          <w:tcPr>
            <w:tcW w:w="5183" w:type="dxa"/>
          </w:tcPr>
          <w:p>
            <w:pPr>
              <w:jc w:val="left"/>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rPr>
              <w:t>项目名称：超声骨密度仪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数量：1台</w:t>
            </w:r>
          </w:p>
        </w:tc>
        <w:tc>
          <w:tcPr>
            <w:tcW w:w="5183" w:type="dxa"/>
          </w:tcPr>
          <w:p>
            <w:p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预算</w:t>
            </w:r>
            <w:r>
              <w:rPr>
                <w:rFonts w:hint="eastAsia" w:ascii="宋体" w:hAnsi="宋体" w:eastAsia="宋体" w:cs="宋体"/>
                <w:b w:val="0"/>
                <w:bCs w:val="0"/>
                <w:color w:val="auto"/>
                <w:sz w:val="24"/>
                <w:szCs w:val="24"/>
                <w:lang w:val="en-US" w:eastAsia="zh-CN"/>
              </w:rPr>
              <w:t>总</w:t>
            </w:r>
            <w:r>
              <w:rPr>
                <w:rFonts w:hint="eastAsia" w:ascii="宋体" w:hAnsi="宋体" w:eastAsia="宋体" w:cs="宋体"/>
                <w:b w:val="0"/>
                <w:bCs w:val="0"/>
                <w:color w:val="auto"/>
                <w:sz w:val="24"/>
                <w:szCs w:val="24"/>
              </w:rPr>
              <w:t>金额（元）:</w:t>
            </w:r>
            <w:r>
              <w:rPr>
                <w:rFonts w:hint="eastAsia" w:ascii="宋体" w:hAnsi="宋体" w:eastAsia="宋体" w:cs="宋体"/>
                <w:b w:val="0"/>
                <w:bCs w:val="0"/>
                <w:color w:val="auto"/>
                <w:sz w:val="24"/>
                <w:szCs w:val="24"/>
                <w:lang w:val="en-US" w:eastAsia="zh-CN"/>
              </w:rPr>
              <w:t>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简要规格描述或项目基本概况介绍、用途：产品用于检测人体的骨含量</w:t>
            </w:r>
            <w:r>
              <w:rPr>
                <w:rFonts w:hint="eastAsia" w:ascii="宋体" w:hAnsi="宋体" w:eastAsia="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2"/>
          </w:tcPr>
          <w:p>
            <w:pPr>
              <w:jc w:val="both"/>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color w:val="auto"/>
                <w:sz w:val="24"/>
                <w:szCs w:val="24"/>
              </w:rPr>
              <w:t>备注：</w:t>
            </w:r>
            <w:r>
              <w:rPr>
                <w:rFonts w:hint="eastAsia" w:ascii="宋体" w:hAnsi="宋体" w:eastAsia="宋体" w:cs="宋体"/>
                <w:color w:val="auto"/>
                <w:sz w:val="24"/>
                <w:szCs w:val="24"/>
                <w:lang w:eastAsia="zh-CN"/>
              </w:rPr>
              <w:t>允许进口</w:t>
            </w:r>
          </w:p>
        </w:tc>
      </w:tr>
    </w:tbl>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bookmarkStart w:id="0" w:name="_GoBack"/>
      <w:bookmarkEnd w:id="0"/>
      <w:r>
        <w:rPr>
          <w:rStyle w:val="13"/>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商务、技术参数偏离表</w:t>
      </w:r>
    </w:p>
    <w:tbl>
      <w:tblPr>
        <w:tblStyle w:val="10"/>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634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190" w:type="dxa"/>
            <w:tcBorders>
              <w:top w:val="single" w:color="auto" w:sz="12" w:space="0"/>
              <w:left w:val="single" w:color="auto" w:sz="12" w:space="0"/>
              <w:bottom w:val="single" w:color="auto" w:sz="12" w:space="0"/>
            </w:tcBorders>
            <w:noWrap w:val="0"/>
            <w:vAlign w:val="center"/>
          </w:tcPr>
          <w:p>
            <w:pPr>
              <w:widowControl/>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序号</w:t>
            </w:r>
          </w:p>
        </w:tc>
        <w:tc>
          <w:tcPr>
            <w:tcW w:w="6348" w:type="dxa"/>
            <w:tcBorders>
              <w:top w:val="single" w:color="auto" w:sz="12" w:space="0"/>
              <w:bottom w:val="single" w:color="auto" w:sz="12" w:space="0"/>
            </w:tcBorders>
            <w:noWrap w:val="0"/>
            <w:vAlign w:val="center"/>
          </w:tcPr>
          <w:p>
            <w:pPr>
              <w:widowControl/>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技术要求</w:t>
            </w:r>
          </w:p>
        </w:tc>
        <w:tc>
          <w:tcPr>
            <w:tcW w:w="1492" w:type="dxa"/>
            <w:tcBorders>
              <w:top w:val="single" w:color="auto" w:sz="12" w:space="0"/>
              <w:bottom w:val="single" w:color="auto" w:sz="12" w:space="0"/>
              <w:right w:val="single" w:color="auto" w:sz="12" w:space="0"/>
            </w:tcBorders>
            <w:noWrap w:val="0"/>
            <w:vAlign w:val="center"/>
          </w:tcPr>
          <w:p>
            <w:pPr>
              <w:widowControl/>
              <w:ind w:left="964" w:hanging="840" w:hangingChars="40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投标</w:t>
            </w:r>
            <w:r>
              <w:rPr>
                <w:rFonts w:hint="eastAsia" w:ascii="宋体" w:hAnsi="宋体" w:eastAsia="宋体" w:cs="宋体"/>
                <w:b w:val="0"/>
                <w:bCs w:val="0"/>
                <w:color w:val="auto"/>
                <w:sz w:val="21"/>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top w:val="single" w:color="auto" w:sz="12" w:space="0"/>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一</w:t>
            </w:r>
          </w:p>
        </w:tc>
        <w:tc>
          <w:tcPr>
            <w:tcW w:w="6348" w:type="dxa"/>
            <w:tcBorders>
              <w:top w:val="single" w:color="auto" w:sz="12" w:space="0"/>
            </w:tcBorders>
            <w:noWrap w:val="0"/>
            <w:vAlign w:val="center"/>
          </w:tcPr>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产地：进口     数量：1台</w:t>
            </w:r>
          </w:p>
        </w:tc>
        <w:tc>
          <w:tcPr>
            <w:tcW w:w="1492" w:type="dxa"/>
            <w:tcBorders>
              <w:top w:val="single" w:color="auto" w:sz="12" w:space="0"/>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二</w:t>
            </w:r>
          </w:p>
        </w:tc>
        <w:tc>
          <w:tcPr>
            <w:tcW w:w="6348" w:type="dxa"/>
            <w:noWrap w:val="0"/>
            <w:vAlign w:val="top"/>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技术参数要求</w:t>
            </w:r>
          </w:p>
        </w:tc>
        <w:tc>
          <w:tcPr>
            <w:tcW w:w="1492" w:type="dxa"/>
            <w:tcBorders>
              <w:right w:val="single" w:color="auto" w:sz="12" w:space="0"/>
            </w:tcBorders>
            <w:noWrap w:val="0"/>
            <w:vAlign w:val="center"/>
          </w:tcPr>
          <w:p>
            <w:pPr>
              <w:widowControl/>
              <w:spacing w:line="360" w:lineRule="exact"/>
              <w:ind w:left="843"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w:t>
            </w:r>
          </w:p>
        </w:tc>
        <w:tc>
          <w:tcPr>
            <w:tcW w:w="6348" w:type="dxa"/>
            <w:noWrap w:val="0"/>
            <w:vAlign w:val="top"/>
          </w:tcPr>
          <w:p>
            <w:pPr>
              <w:snapToGrid w:val="0"/>
              <w:spacing w:line="36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工作方式：超声波</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2.2</w:t>
            </w:r>
          </w:p>
        </w:tc>
        <w:tc>
          <w:tcPr>
            <w:tcW w:w="6348" w:type="dxa"/>
            <w:noWrap w:val="0"/>
            <w:vAlign w:val="top"/>
          </w:tcPr>
          <w:p>
            <w:pPr>
              <w:snapToGrid w:val="0"/>
              <w:spacing w:line="36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测量部位：跟骨</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rPr>
              <w:t>2.3</w:t>
            </w:r>
          </w:p>
        </w:tc>
        <w:tc>
          <w:tcPr>
            <w:tcW w:w="6348" w:type="dxa"/>
            <w:noWrap w:val="0"/>
            <w:vAlign w:val="top"/>
          </w:tcPr>
          <w:p>
            <w:pPr>
              <w:snapToGrid w:val="0"/>
              <w:spacing w:line="36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测量方式：全干式，非水囊或油囊接触式测量。</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2.4</w:t>
            </w:r>
          </w:p>
        </w:tc>
        <w:tc>
          <w:tcPr>
            <w:tcW w:w="6348" w:type="dxa"/>
            <w:noWrap w:val="0"/>
            <w:vAlign w:val="top"/>
          </w:tcPr>
          <w:p>
            <w:pPr>
              <w:snapToGrid w:val="0"/>
              <w:spacing w:line="36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测量参数：包括超声衰减（BUA）、超声速率（SOS）、骨质强度指数（BQI）</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2.5</w:t>
            </w:r>
          </w:p>
        </w:tc>
        <w:tc>
          <w:tcPr>
            <w:tcW w:w="6348" w:type="dxa"/>
            <w:noWrap w:val="0"/>
            <w:vAlign w:val="top"/>
          </w:tcPr>
          <w:p>
            <w:pPr>
              <w:snapToGrid w:val="0"/>
              <w:spacing w:line="36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测量时间：≤15秒</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2.6</w:t>
            </w:r>
          </w:p>
        </w:tc>
        <w:tc>
          <w:tcPr>
            <w:tcW w:w="6348" w:type="dxa"/>
            <w:noWrap w:val="0"/>
            <w:vAlign w:val="top"/>
          </w:tcPr>
          <w:p>
            <w:pPr>
              <w:snapToGrid w:val="0"/>
              <w:spacing w:line="36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测量精度：CV≤1%</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2.7</w:t>
            </w:r>
          </w:p>
        </w:tc>
        <w:tc>
          <w:tcPr>
            <w:tcW w:w="6348" w:type="dxa"/>
            <w:noWrap w:val="0"/>
            <w:vAlign w:val="top"/>
          </w:tcPr>
          <w:p>
            <w:pPr>
              <w:snapToGrid w:val="0"/>
              <w:spacing w:line="36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结果分析参数：T值、Z值和BQI（骨质强度指数），BUA，SOS</w:t>
            </w:r>
          </w:p>
        </w:tc>
        <w:tc>
          <w:tcPr>
            <w:tcW w:w="1492" w:type="dxa"/>
            <w:tcBorders>
              <w:right w:val="single" w:color="auto" w:sz="12" w:space="0"/>
            </w:tcBorders>
            <w:noWrap w:val="0"/>
            <w:vAlign w:val="center"/>
          </w:tcPr>
          <w:p>
            <w:pPr>
              <w:widowControl/>
              <w:spacing w:line="360" w:lineRule="exact"/>
              <w:ind w:firstLine="840" w:firstLineChars="400"/>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2.8</w:t>
            </w:r>
          </w:p>
        </w:tc>
        <w:tc>
          <w:tcPr>
            <w:tcW w:w="6348" w:type="dxa"/>
            <w:noWrap w:val="0"/>
            <w:vAlign w:val="top"/>
          </w:tcPr>
          <w:p>
            <w:pPr>
              <w:snapToGrid w:val="0"/>
              <w:spacing w:line="36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具有中国人、亚洲人、欧美人不同人种数据库，在软件中有记录、可选择。</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2.9</w:t>
            </w:r>
          </w:p>
        </w:tc>
        <w:tc>
          <w:tcPr>
            <w:tcW w:w="6348" w:type="dxa"/>
            <w:noWrap w:val="0"/>
            <w:vAlign w:val="top"/>
          </w:tcPr>
          <w:p>
            <w:pPr>
              <w:snapToGrid w:val="0"/>
              <w:spacing w:line="36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定位装置：跟骨定位装置，要求在随机液晶触摸屏上显示采集信号，保证更好的定位和重复性</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2.10</w:t>
            </w:r>
          </w:p>
        </w:tc>
        <w:tc>
          <w:tcPr>
            <w:tcW w:w="6348" w:type="dxa"/>
            <w:noWrap w:val="0"/>
            <w:vAlign w:val="top"/>
          </w:tcPr>
          <w:p>
            <w:pPr>
              <w:snapToGrid w:val="0"/>
              <w:spacing w:line="36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定位方式：全自动定位，无须人工调节探头位置。探头具有自动调整功能,并可自动报警显示。</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lang w:val="en-US" w:eastAsia="zh-CN"/>
              </w:rPr>
              <w:t>2.11</w:t>
            </w:r>
          </w:p>
        </w:tc>
        <w:tc>
          <w:tcPr>
            <w:tcW w:w="6348" w:type="dxa"/>
            <w:noWrap w:val="0"/>
            <w:vAlign w:val="top"/>
          </w:tcPr>
          <w:p>
            <w:pPr>
              <w:snapToGrid w:val="0"/>
              <w:spacing w:line="36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具备儿童骨密度、FRAX骨折风险预测系统</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w:t>
            </w:r>
            <w:r>
              <w:rPr>
                <w:rFonts w:hint="eastAsia" w:ascii="宋体" w:hAnsi="宋体" w:eastAsia="宋体" w:cs="宋体"/>
                <w:b w:val="0"/>
                <w:bCs w:val="0"/>
                <w:color w:val="auto"/>
                <w:sz w:val="21"/>
                <w:szCs w:val="21"/>
                <w:lang w:val="en-US" w:eastAsia="zh-CN"/>
              </w:rPr>
              <w:t>2</w:t>
            </w:r>
          </w:p>
        </w:tc>
        <w:tc>
          <w:tcPr>
            <w:tcW w:w="6348" w:type="dxa"/>
            <w:noWrap w:val="0"/>
            <w:vAlign w:val="top"/>
          </w:tcPr>
          <w:p>
            <w:pPr>
              <w:snapToGrid w:val="0"/>
              <w:spacing w:line="36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具有即时温度显示功能，具有温度代偿机制，测试不受外界温度干扰。</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w:t>
            </w:r>
            <w:r>
              <w:rPr>
                <w:rFonts w:hint="eastAsia" w:ascii="宋体" w:hAnsi="宋体" w:eastAsia="宋体" w:cs="宋体"/>
                <w:b w:val="0"/>
                <w:bCs w:val="0"/>
                <w:color w:val="auto"/>
                <w:sz w:val="21"/>
                <w:szCs w:val="21"/>
                <w:lang w:val="en-US" w:eastAsia="zh-CN"/>
              </w:rPr>
              <w:t>3</w:t>
            </w:r>
          </w:p>
        </w:tc>
        <w:tc>
          <w:tcPr>
            <w:tcW w:w="6348" w:type="dxa"/>
            <w:noWrap w:val="0"/>
            <w:vAlign w:val="top"/>
          </w:tcPr>
          <w:p>
            <w:pPr>
              <w:snapToGrid w:val="0"/>
              <w:spacing w:line="36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校准和质控：配有校准质控体模，相应的校准质控程序</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w:t>
            </w:r>
            <w:r>
              <w:rPr>
                <w:rFonts w:hint="eastAsia" w:ascii="宋体" w:hAnsi="宋体" w:eastAsia="宋体" w:cs="宋体"/>
                <w:b w:val="0"/>
                <w:bCs w:val="0"/>
                <w:color w:val="auto"/>
                <w:sz w:val="21"/>
                <w:szCs w:val="21"/>
                <w:lang w:val="en-US" w:eastAsia="zh-CN"/>
              </w:rPr>
              <w:t>4</w:t>
            </w:r>
          </w:p>
        </w:tc>
        <w:tc>
          <w:tcPr>
            <w:tcW w:w="6348" w:type="dxa"/>
            <w:noWrap w:val="0"/>
            <w:vAlign w:val="top"/>
          </w:tcPr>
          <w:p>
            <w:pPr>
              <w:snapToGrid w:val="0"/>
              <w:spacing w:line="36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设备操作界面：随机液晶屏触摸全中文操作界面，屏尺寸大小≥14×10CM</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rPr>
              <w:t>2.1</w:t>
            </w:r>
            <w:r>
              <w:rPr>
                <w:rFonts w:hint="eastAsia" w:ascii="宋体" w:hAnsi="宋体" w:eastAsia="宋体" w:cs="宋体"/>
                <w:b w:val="0"/>
                <w:bCs w:val="0"/>
                <w:color w:val="auto"/>
                <w:sz w:val="21"/>
                <w:szCs w:val="21"/>
                <w:lang w:val="en-US" w:eastAsia="zh-CN"/>
              </w:rPr>
              <w:t>5</w:t>
            </w:r>
          </w:p>
        </w:tc>
        <w:tc>
          <w:tcPr>
            <w:tcW w:w="6348" w:type="dxa"/>
            <w:noWrap w:val="0"/>
            <w:vAlign w:val="top"/>
          </w:tcPr>
          <w:p>
            <w:pPr>
              <w:snapToGrid w:val="0"/>
              <w:spacing w:line="36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便携性：仪器具有内置电脑，中央数据处理系统和病人资料存储器，可在液晶触摸屏上操作，无外接工作站时也能正常独立工作。</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w:t>
            </w:r>
            <w:r>
              <w:rPr>
                <w:rFonts w:hint="eastAsia" w:ascii="宋体" w:hAnsi="宋体" w:eastAsia="宋体" w:cs="宋体"/>
                <w:b w:val="0"/>
                <w:bCs w:val="0"/>
                <w:color w:val="auto"/>
                <w:sz w:val="21"/>
                <w:szCs w:val="21"/>
                <w:lang w:val="en-US" w:eastAsia="zh-CN"/>
              </w:rPr>
              <w:t>6</w:t>
            </w:r>
          </w:p>
        </w:tc>
        <w:tc>
          <w:tcPr>
            <w:tcW w:w="6348" w:type="dxa"/>
            <w:noWrap w:val="0"/>
            <w:vAlign w:val="top"/>
          </w:tcPr>
          <w:p>
            <w:pP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内置存储1万名以上病人资料,并可扩展外接。</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w:t>
            </w:r>
            <w:r>
              <w:rPr>
                <w:rFonts w:hint="eastAsia" w:ascii="宋体" w:hAnsi="宋体" w:eastAsia="宋体" w:cs="宋体"/>
                <w:b w:val="0"/>
                <w:bCs w:val="0"/>
                <w:color w:val="auto"/>
                <w:sz w:val="21"/>
                <w:szCs w:val="21"/>
                <w:lang w:val="en-US" w:eastAsia="zh-CN"/>
              </w:rPr>
              <w:t>7</w:t>
            </w:r>
          </w:p>
        </w:tc>
        <w:tc>
          <w:tcPr>
            <w:tcW w:w="6348" w:type="dxa"/>
            <w:noWrap w:val="0"/>
            <w:vAlign w:val="top"/>
          </w:tcPr>
          <w:p>
            <w:pPr>
              <w:snapToGrid w:val="0"/>
              <w:spacing w:line="36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外接扩展：可</w:t>
            </w:r>
            <w:r>
              <w:rPr>
                <w:rFonts w:hint="eastAsia" w:ascii="宋体" w:hAnsi="宋体" w:eastAsia="宋体" w:cs="宋体"/>
                <w:b w:val="0"/>
                <w:bCs w:val="0"/>
                <w:color w:val="auto"/>
                <w:sz w:val="21"/>
                <w:szCs w:val="21"/>
                <w:lang w:eastAsia="zh-CN"/>
              </w:rPr>
              <w:t>通过拓展</w:t>
            </w:r>
            <w:r>
              <w:rPr>
                <w:rFonts w:hint="eastAsia" w:ascii="宋体" w:hAnsi="宋体" w:eastAsia="宋体" w:cs="宋体"/>
                <w:b w:val="0"/>
                <w:bCs w:val="0"/>
                <w:color w:val="auto"/>
                <w:sz w:val="21"/>
                <w:szCs w:val="21"/>
              </w:rPr>
              <w:t>连接显示器、鼠标、键盘、打印机等，支持双系统操作</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w:t>
            </w:r>
            <w:r>
              <w:rPr>
                <w:rFonts w:hint="eastAsia" w:ascii="宋体" w:hAnsi="宋体" w:eastAsia="宋体" w:cs="宋体"/>
                <w:b w:val="0"/>
                <w:bCs w:val="0"/>
                <w:color w:val="auto"/>
                <w:sz w:val="21"/>
                <w:szCs w:val="21"/>
                <w:lang w:val="en-US" w:eastAsia="zh-CN"/>
              </w:rPr>
              <w:t>8</w:t>
            </w:r>
          </w:p>
        </w:tc>
        <w:tc>
          <w:tcPr>
            <w:tcW w:w="6348" w:type="dxa"/>
            <w:noWrap w:val="0"/>
            <w:vAlign w:val="top"/>
          </w:tcPr>
          <w:p>
            <w:pPr>
              <w:snapToGrid w:val="0"/>
              <w:spacing w:line="36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超声波探测器直径：25㎜±5mm，中心频率：0.5MHz</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2.1</w:t>
            </w:r>
            <w:r>
              <w:rPr>
                <w:rFonts w:hint="eastAsia" w:ascii="宋体" w:hAnsi="宋体" w:eastAsia="宋体" w:cs="宋体"/>
                <w:b w:val="0"/>
                <w:bCs w:val="0"/>
                <w:color w:val="auto"/>
                <w:sz w:val="21"/>
                <w:szCs w:val="21"/>
                <w:lang w:val="en-US" w:eastAsia="zh-CN"/>
              </w:rPr>
              <w:t>9</w:t>
            </w:r>
          </w:p>
        </w:tc>
        <w:tc>
          <w:tcPr>
            <w:tcW w:w="6348" w:type="dxa"/>
            <w:noWrap w:val="0"/>
            <w:vAlign w:val="top"/>
          </w:tcPr>
          <w:p>
            <w:pPr>
              <w:snapToGrid w:val="0"/>
              <w:spacing w:line="36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输入电压：AC100V~240V，频率：50-60Hz，震动:6毫秒不能超过2g</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三</w:t>
            </w:r>
          </w:p>
        </w:tc>
        <w:tc>
          <w:tcPr>
            <w:tcW w:w="6348" w:type="dxa"/>
            <w:noWrap w:val="0"/>
            <w:vAlign w:val="top"/>
          </w:tcPr>
          <w:p>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配置要求</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3.1</w:t>
            </w:r>
          </w:p>
        </w:tc>
        <w:tc>
          <w:tcPr>
            <w:tcW w:w="6348" w:type="dxa"/>
            <w:noWrap w:val="0"/>
            <w:vAlign w:val="top"/>
          </w:tcPr>
          <w:p>
            <w:pP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骨密度仪标配一套。</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3.2</w:t>
            </w:r>
          </w:p>
        </w:tc>
        <w:tc>
          <w:tcPr>
            <w:tcW w:w="6348" w:type="dxa"/>
            <w:noWrap w:val="0"/>
            <w:vAlign w:val="top"/>
          </w:tcPr>
          <w:p>
            <w:pP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内置热敏打印系统一套</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四</w:t>
            </w:r>
          </w:p>
        </w:tc>
        <w:tc>
          <w:tcPr>
            <w:tcW w:w="6348" w:type="dxa"/>
            <w:noWrap w:val="0"/>
            <w:vAlign w:val="top"/>
          </w:tcPr>
          <w:p>
            <w:pPr>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售后服务要求</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4.1</w:t>
            </w:r>
          </w:p>
        </w:tc>
        <w:tc>
          <w:tcPr>
            <w:tcW w:w="6348" w:type="dxa"/>
            <w:noWrap w:val="0"/>
            <w:vAlign w:val="top"/>
          </w:tcPr>
          <w:p>
            <w:pP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整机保修≥壹年，终身维修</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4.2</w:t>
            </w:r>
          </w:p>
        </w:tc>
        <w:tc>
          <w:tcPr>
            <w:tcW w:w="6348" w:type="dxa"/>
            <w:noWrap w:val="0"/>
            <w:vAlign w:val="top"/>
          </w:tcPr>
          <w:p>
            <w:pP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免费提供软件升级，及时提供最新软件。</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4.3</w:t>
            </w:r>
          </w:p>
        </w:tc>
        <w:tc>
          <w:tcPr>
            <w:tcW w:w="6348" w:type="dxa"/>
            <w:noWrap w:val="0"/>
            <w:vAlign w:val="top"/>
          </w:tcPr>
          <w:p>
            <w:pP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省内设有维修点及零配件供应点。</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4.4</w:t>
            </w:r>
          </w:p>
        </w:tc>
        <w:tc>
          <w:tcPr>
            <w:tcW w:w="6348" w:type="dxa"/>
            <w:noWrap w:val="0"/>
            <w:vAlign w:val="top"/>
          </w:tcPr>
          <w:p>
            <w:pP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如设备在使用时出现故障，</w:t>
            </w:r>
            <w:r>
              <w:rPr>
                <w:rFonts w:hint="eastAsia" w:ascii="宋体" w:hAnsi="宋体" w:eastAsia="宋体" w:cs="宋体"/>
                <w:b w:val="0"/>
                <w:bCs w:val="0"/>
                <w:color w:val="auto"/>
                <w:sz w:val="21"/>
                <w:szCs w:val="21"/>
                <w:lang w:val="en-US"/>
              </w:rPr>
              <w:t>24</w:t>
            </w:r>
            <w:r>
              <w:rPr>
                <w:rFonts w:hint="eastAsia" w:ascii="宋体" w:hAnsi="宋体" w:eastAsia="宋体" w:cs="宋体"/>
                <w:b w:val="0"/>
                <w:bCs w:val="0"/>
                <w:color w:val="auto"/>
                <w:sz w:val="21"/>
                <w:szCs w:val="21"/>
              </w:rPr>
              <w:t>小时内赶到现场维修，并保证在48小时内修复完毕。如不能修复则提供备用机使用。</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五</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其他要求</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5.1</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属于医疗器械管理范围的产品必须提供医疗器械注册证及注册登记表</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5.2</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厂家承诺过保后先维修再付款</w:t>
            </w:r>
          </w:p>
        </w:tc>
        <w:tc>
          <w:tcPr>
            <w:tcW w:w="1492" w:type="dxa"/>
            <w:tcBorders>
              <w:bottom w:val="single" w:color="auto" w:sz="4" w:space="0"/>
              <w:right w:val="single" w:color="auto" w:sz="12" w:space="0"/>
            </w:tcBorders>
            <w:noWrap w:val="0"/>
            <w:vAlign w:val="center"/>
          </w:tcPr>
          <w:p>
            <w:pP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5.3</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操作手册、维修手册：提供操作手册、维修手册各一套</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5.4</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培训：提供临床应用操作培训,并提供临床资料(培训ppt、考核试题)</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5.5</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软件终身免费升级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5.6</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付款方式:验收合格后90工作日内付款，投标商开具单张发票限额必须大于投标单台设备价格</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5.7</w:t>
            </w:r>
          </w:p>
        </w:tc>
        <w:tc>
          <w:tcPr>
            <w:tcW w:w="6348" w:type="dxa"/>
            <w:tcBorders>
              <w:bottom w:val="single" w:color="auto" w:sz="4" w:space="0"/>
            </w:tcBorders>
            <w:noWrap w:val="0"/>
            <w:vAlign w:val="top"/>
          </w:tcPr>
          <w:p>
            <w:pPr>
              <w:keepNext w:val="0"/>
              <w:keepLines w:val="0"/>
              <w:widowControl/>
              <w:suppressLineNumbers w:val="0"/>
              <w:jc w:val="both"/>
              <w:textAlignment w:val="top"/>
              <w:rPr>
                <w:rFonts w:hint="eastAsia" w:ascii="宋体" w:hAnsi="宋体" w:eastAsia="宋体" w:cs="宋体"/>
                <w:b w:val="0"/>
                <w:bCs w:val="0"/>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投标商提供的设备必须在距投标当日10个月内生产</w:t>
            </w:r>
          </w:p>
        </w:tc>
        <w:tc>
          <w:tcPr>
            <w:tcW w:w="1492" w:type="dxa"/>
            <w:tcBorders>
              <w:bottom w:val="single" w:color="auto" w:sz="4" w:space="0"/>
              <w:right w:val="single" w:color="auto" w:sz="12" w:space="0"/>
            </w:tcBorders>
            <w:noWrap w:val="0"/>
            <w:vAlign w:val="top"/>
          </w:tcPr>
          <w:p>
            <w:pPr>
              <w:jc w:val="center"/>
              <w:rPr>
                <w:rFonts w:hint="eastAsia" w:ascii="宋体" w:hAnsi="宋体" w:eastAsia="宋体" w:cs="宋体"/>
                <w:b w:val="0"/>
                <w:bCs w:val="0"/>
                <w:color w:val="auto"/>
                <w:sz w:val="21"/>
                <w:szCs w:val="21"/>
              </w:rPr>
            </w:pPr>
          </w:p>
        </w:tc>
      </w:tr>
    </w:tbl>
    <w:p>
      <w:pPr>
        <w:snapToGrid w:val="0"/>
        <w:spacing w:line="360" w:lineRule="auto"/>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3"/>
          <w:rFonts w:hint="eastAsia" w:asciiTheme="minorEastAsia" w:hAnsiTheme="minorEastAsia" w:eastAsiaTheme="minorEastAsia" w:cstheme="minorEastAsia"/>
          <w:b/>
          <w:bCs/>
          <w:kern w:val="2"/>
          <w:sz w:val="32"/>
          <w:szCs w:val="32"/>
          <w:lang w:val="en-US" w:eastAsia="zh-CN" w:bidi="ar-SA"/>
        </w:rPr>
      </w:pPr>
      <w:r>
        <w:rPr>
          <w:rStyle w:val="13"/>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3"/>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10"/>
        <w:tblW w:w="93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9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945"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default" w:ascii="Times New Roman" w:hAnsi="Times New Roman" w:eastAsia="新宋体" w:cs="Times New Roman"/>
                <w:color w:val="auto"/>
                <w:sz w:val="22"/>
                <w:szCs w:val="22"/>
                <w:highlight w:val="none"/>
              </w:rPr>
              <w:t>与招标文件</w:t>
            </w:r>
            <w:r>
              <w:rPr>
                <w:rFonts w:hint="eastAsia" w:ascii="Times New Roman" w:hAnsi="Times New Roman" w:eastAsia="新宋体" w:cs="Times New Roman"/>
                <w:color w:val="auto"/>
                <w:sz w:val="22"/>
                <w:szCs w:val="22"/>
                <w:highlight w:val="none"/>
                <w:lang w:eastAsia="zh-CN"/>
              </w:rPr>
              <w:t>中</w:t>
            </w:r>
            <w:r>
              <w:rPr>
                <w:rFonts w:hint="default" w:ascii="Times New Roman" w:hAnsi="Times New Roman" w:eastAsia="新宋体" w:cs="Times New Roman"/>
                <w:color w:val="auto"/>
                <w:sz w:val="22"/>
                <w:szCs w:val="22"/>
                <w:highlight w:val="none"/>
              </w:rPr>
              <w:t>货物技术规格及配置、商务要求对比，一项指标负偏离扣1分，标注★的指标</w:t>
            </w:r>
            <w:r>
              <w:rPr>
                <w:rFonts w:hint="eastAsia" w:ascii="Times New Roman" w:hAnsi="Times New Roman" w:eastAsia="新宋体" w:cs="Times New Roman"/>
                <w:color w:val="auto"/>
                <w:sz w:val="22"/>
                <w:szCs w:val="22"/>
                <w:highlight w:val="none"/>
                <w:lang w:eastAsia="zh-CN"/>
              </w:rPr>
              <w:t>负</w:t>
            </w:r>
            <w:r>
              <w:rPr>
                <w:rFonts w:hint="default" w:ascii="Times New Roman" w:hAnsi="Times New Roman" w:eastAsia="新宋体" w:cs="Times New Roman"/>
                <w:color w:val="auto"/>
                <w:sz w:val="22"/>
                <w:szCs w:val="22"/>
                <w:highlight w:val="none"/>
              </w:rPr>
              <w:t>偏离每项扣4分</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扣完为止</w:t>
            </w:r>
            <w:r>
              <w:rPr>
                <w:rFonts w:hint="default" w:ascii="Times New Roman" w:hAnsi="Times New Roman" w:eastAsia="新宋体" w:cs="Times New Roman"/>
                <w:color w:val="auto"/>
                <w:sz w:val="22"/>
                <w:szCs w:val="22"/>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保修期超过招标文件要求的，每增加1年加1分</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w:t>
            </w:r>
            <w:r>
              <w:rPr>
                <w:rFonts w:hint="eastAsia" w:asciiTheme="minorEastAsia" w:hAnsiTheme="minorEastAsia" w:cstheme="minorEastAsia"/>
                <w:sz w:val="24"/>
                <w:szCs w:val="24"/>
                <w:lang w:eastAsia="zh-CN"/>
              </w:rPr>
              <w:t>温州市或浙江省内</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年1月1日起至今与最终用户签订的投标机型合同复印件，每份有效合同得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分，最多</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3</w:t>
            </w:r>
          </w:p>
        </w:tc>
        <w:tc>
          <w:tcPr>
            <w:tcW w:w="4945" w:type="dxa"/>
            <w:noWrap w:val="0"/>
            <w:vAlign w:val="center"/>
          </w:tcPr>
          <w:p>
            <w:pPr>
              <w:ind w:left="105" w:leftChars="50" w:right="10" w:rightChars="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r>
              <w:rPr>
                <w:rFonts w:hint="eastAsia" w:asciiTheme="minorEastAsia" w:hAnsiTheme="minorEastAsia" w:cstheme="minorEastAsia"/>
                <w:sz w:val="24"/>
                <w:szCs w:val="24"/>
                <w:lang w:eastAsia="zh-CN"/>
              </w:rPr>
              <w:t>（厂家在温州市或者浙江省内有常驻维修服务点和维修工程师得</w:t>
            </w:r>
            <w:r>
              <w:rPr>
                <w:rFonts w:hint="eastAsia" w:asciiTheme="minorEastAsia" w:hAnsiTheme="minorEastAsia" w:cstheme="minorEastAsia"/>
                <w:sz w:val="24"/>
                <w:szCs w:val="24"/>
                <w:lang w:val="en-US" w:eastAsia="zh-CN"/>
              </w:rPr>
              <w:t>1分，代理商有维修服务人员得1分，承诺接用户报修后二十四小时内维修人员能到场维修的得1分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7"/>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7"/>
        <w:keepNext w:val="0"/>
        <w:keepLines w:val="0"/>
        <w:widowControl/>
        <w:numPr>
          <w:ilvl w:val="0"/>
          <w:numId w:val="0"/>
        </w:numPr>
        <w:suppressLineNumbers w:val="0"/>
        <w:spacing w:before="255" w:beforeAutospacing="0" w:after="255" w:afterAutospacing="0" w:line="300" w:lineRule="atLeast"/>
        <w:ind w:leftChars="0" w:right="0" w:rightChars="0"/>
        <w:jc w:val="both"/>
        <w:rPr>
          <w:rStyle w:val="13"/>
          <w:rFonts w:hint="default" w:eastAsia="宋体" w:asciiTheme="minorEastAsia" w:hAnsiTheme="minorEastAsia" w:cstheme="minorEastAsia"/>
          <w:b/>
          <w:bCs/>
          <w:kern w:val="2"/>
          <w:sz w:val="32"/>
          <w:szCs w:val="32"/>
          <w:lang w:val="en-US" w:eastAsia="zh-CN" w:bidi="ar-SA"/>
        </w:rPr>
      </w:pPr>
      <w:r>
        <w:rPr>
          <w:rStyle w:val="13"/>
          <w:rFonts w:hint="eastAsia" w:eastAsia="宋体" w:asciiTheme="minorEastAsia" w:hAnsiTheme="minorEastAsia" w:cstheme="minorEastAsia"/>
          <w:b/>
          <w:bCs/>
          <w:kern w:val="2"/>
          <w:sz w:val="32"/>
          <w:szCs w:val="32"/>
          <w:lang w:val="en-US" w:eastAsia="zh-CN" w:bidi="ar-SA"/>
        </w:rPr>
        <w:t>九、我院正式合同版本</w:t>
      </w:r>
    </w:p>
    <w:p>
      <w:pPr>
        <w:pStyle w:val="8"/>
        <w:rPr>
          <w:rFonts w:hint="eastAsia"/>
          <w:sz w:val="30"/>
          <w:szCs w:val="30"/>
        </w:rPr>
      </w:pPr>
    </w:p>
    <w:p>
      <w:pPr>
        <w:pStyle w:val="8"/>
        <w:rPr>
          <w:sz w:val="44"/>
        </w:rPr>
      </w:pPr>
      <w:r>
        <w:rPr>
          <w:rFonts w:hint="eastAsia"/>
          <w:sz w:val="44"/>
        </w:rPr>
        <w:t>温州市中医院医疗设备采购合同</w:t>
      </w:r>
    </w:p>
    <w:p>
      <w:pPr>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3"/>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(招标</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）招标文件、中标供应商投标文件、项目采购协议，或入围承诺书，甲乙双方经协商一致，签署本合同。</w:t>
      </w:r>
    </w:p>
    <w:p>
      <w:pPr>
        <w:pStyle w:val="2"/>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0"/>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17"/>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17"/>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17"/>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17"/>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17"/>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3" w:hRule="atLeast"/>
          <w:jc w:val="center"/>
        </w:trPr>
        <w:tc>
          <w:tcPr>
            <w:tcW w:w="1813" w:type="dxa"/>
            <w:vAlign w:val="center"/>
          </w:tcPr>
          <w:p>
            <w:pPr>
              <w:pStyle w:val="17"/>
              <w:jc w:val="center"/>
              <w:rPr>
                <w:b/>
                <w:color w:val="000000" w:themeColor="text1"/>
                <w:sz w:val="22"/>
                <w:szCs w:val="22"/>
                <w:lang w:val="en-US"/>
                <w14:textFill>
                  <w14:solidFill>
                    <w14:schemeClr w14:val="tx1"/>
                  </w14:solidFill>
                </w14:textFill>
              </w:rPr>
            </w:pPr>
          </w:p>
        </w:tc>
        <w:tc>
          <w:tcPr>
            <w:tcW w:w="1418" w:type="dxa"/>
            <w:vAlign w:val="center"/>
          </w:tcPr>
          <w:p>
            <w:pPr>
              <w:pStyle w:val="17"/>
              <w:jc w:val="center"/>
              <w:rPr>
                <w:b/>
                <w:color w:val="000000" w:themeColor="text1"/>
                <w:sz w:val="22"/>
                <w:szCs w:val="22"/>
                <w:lang w:val="en-US"/>
                <w14:textFill>
                  <w14:solidFill>
                    <w14:schemeClr w14:val="tx1"/>
                  </w14:solidFill>
                </w14:textFill>
              </w:rPr>
            </w:pPr>
          </w:p>
        </w:tc>
        <w:tc>
          <w:tcPr>
            <w:tcW w:w="1559" w:type="dxa"/>
            <w:vAlign w:val="center"/>
          </w:tcPr>
          <w:p>
            <w:pPr>
              <w:pStyle w:val="17"/>
              <w:jc w:val="center"/>
              <w:rPr>
                <w:b/>
                <w:color w:val="000000" w:themeColor="text1"/>
                <w:sz w:val="22"/>
                <w:szCs w:val="22"/>
                <w:lang w:val="en-US"/>
                <w14:textFill>
                  <w14:solidFill>
                    <w14:schemeClr w14:val="tx1"/>
                  </w14:solidFill>
                </w14:textFill>
              </w:rPr>
            </w:pPr>
          </w:p>
        </w:tc>
        <w:tc>
          <w:tcPr>
            <w:tcW w:w="2126" w:type="dxa"/>
            <w:vAlign w:val="center"/>
          </w:tcPr>
          <w:p>
            <w:pPr>
              <w:pStyle w:val="17"/>
              <w:jc w:val="center"/>
              <w:rPr>
                <w:rFonts w:ascii="Verdana"/>
                <w:color w:val="000000" w:themeColor="text1"/>
                <w:sz w:val="22"/>
                <w:szCs w:val="22"/>
                <w14:textFill>
                  <w14:solidFill>
                    <w14:schemeClr w14:val="tx1"/>
                  </w14:solidFill>
                </w14:textFill>
              </w:rPr>
            </w:pPr>
          </w:p>
        </w:tc>
        <w:tc>
          <w:tcPr>
            <w:tcW w:w="993" w:type="dxa"/>
            <w:vAlign w:val="center"/>
          </w:tcPr>
          <w:p>
            <w:pPr>
              <w:pStyle w:val="17"/>
              <w:jc w:val="center"/>
              <w:rPr>
                <w:rFonts w:ascii="Verdana"/>
                <w:color w:val="000000" w:themeColor="text1"/>
                <w:sz w:val="22"/>
                <w:szCs w:val="22"/>
                <w14:textFill>
                  <w14:solidFill>
                    <w14:schemeClr w14:val="tx1"/>
                  </w14:solidFill>
                </w14:textFill>
              </w:rPr>
            </w:pPr>
          </w:p>
        </w:tc>
        <w:tc>
          <w:tcPr>
            <w:tcW w:w="1353" w:type="dxa"/>
            <w:vAlign w:val="center"/>
          </w:tcPr>
          <w:p>
            <w:pPr>
              <w:pStyle w:val="17"/>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17"/>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3"/>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3"/>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乙方应按招标文件规定的时间向甲方提供使用货物的有关技术资料。</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3"/>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本合同范围的货物，应由乙方直接供应，不得转让他人供应，否则，甲方有权解除合同，没收质量保证金并追究乙方的违约责任。</w:t>
      </w:r>
    </w:p>
    <w:p>
      <w:pPr>
        <w:pStyle w:val="2"/>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六、质保期和质保金</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6"/>
          <w:sz w:val="22"/>
          <w:szCs w:val="22"/>
          <w:lang w:val="en-US" w:eastAsia="zh-CN"/>
          <w14:textFill>
            <w14:solidFill>
              <w14:schemeClr w14:val="tx1"/>
            </w14:solidFill>
          </w14:textFill>
        </w:rPr>
        <w:t>1、</w:t>
      </w:r>
      <w:r>
        <w:rPr>
          <w:color w:val="000000" w:themeColor="text1"/>
          <w:spacing w:val="-6"/>
          <w:sz w:val="22"/>
          <w:szCs w:val="22"/>
          <w14:textFill>
            <w14:solidFill>
              <w14:schemeClr w14:val="tx1"/>
            </w14:solidFill>
          </w14:textFill>
        </w:rPr>
        <w:t>质保期为</w:t>
      </w:r>
      <w:r>
        <w:rPr>
          <w:rFonts w:hint="eastAsia"/>
          <w:color w:val="000000" w:themeColor="text1"/>
          <w:spacing w:val="-6"/>
          <w:sz w:val="22"/>
          <w:szCs w:val="22"/>
          <w:u w:val="single"/>
          <w:lang w:val="en-US"/>
          <w14:textFill>
            <w14:solidFill>
              <w14:schemeClr w14:val="tx1"/>
            </w14:solidFill>
          </w14:textFill>
        </w:rPr>
        <w:t xml:space="preserve">    </w:t>
      </w:r>
      <w:r>
        <w:rPr>
          <w:rFonts w:hint="eastAsia"/>
          <w:color w:val="000000" w:themeColor="text1"/>
          <w:spacing w:val="-6"/>
          <w:sz w:val="22"/>
          <w:szCs w:val="22"/>
          <w:lang w:val="en-US"/>
          <w14:textFill>
            <w14:solidFill>
              <w14:schemeClr w14:val="tx1"/>
            </w14:solidFill>
          </w14:textFill>
        </w:rPr>
        <w:t>年</w:t>
      </w:r>
      <w:r>
        <w:rPr>
          <w:color w:val="000000" w:themeColor="text1"/>
          <w:sz w:val="22"/>
          <w:szCs w:val="22"/>
          <w14:textFill>
            <w14:solidFill>
              <w14:schemeClr w14:val="tx1"/>
            </w14:solidFill>
          </w14:textFill>
        </w:rPr>
        <w:t>。（自交货验收合格之日起计）</w:t>
      </w:r>
    </w:p>
    <w:p>
      <w:pPr>
        <w:pStyle w:val="18"/>
        <w:numPr>
          <w:ilvl w:val="0"/>
          <w:numId w:val="0"/>
        </w:numPr>
        <w:tabs>
          <w:tab w:val="left" w:pos="522"/>
          <w:tab w:val="left" w:pos="1347"/>
        </w:tabs>
        <w:spacing w:before="70"/>
        <w:ind w:left="351" w:leftChars="0"/>
        <w:rPr>
          <w:rFonts w:hint="eastAsia" w:ascii="Verdana" w:eastAsia="宋体"/>
          <w:strike/>
          <w:dstrike w:val="0"/>
          <w:color w:val="000000" w:themeColor="text1"/>
          <w:sz w:val="22"/>
          <w:szCs w:val="22"/>
          <w:highlight w:val="none"/>
          <w:lang w:val="en-US" w:eastAsia="zh-CN"/>
          <w14:textFill>
            <w14:solidFill>
              <w14:schemeClr w14:val="tx1"/>
            </w14:solidFill>
          </w14:textFill>
        </w:rPr>
      </w:pPr>
      <w:r>
        <w:rPr>
          <w:rFonts w:hint="eastAsia"/>
          <w:strike w:val="0"/>
          <w:dstrike w:val="0"/>
          <w:color w:val="000000" w:themeColor="text1"/>
          <w:sz w:val="22"/>
          <w:szCs w:val="22"/>
          <w:highlight w:val="none"/>
          <w:lang w:val="en-US" w:eastAsia="zh-CN"/>
          <w14:textFill>
            <w14:solidFill>
              <w14:schemeClr w14:val="tx1"/>
            </w14:solidFill>
          </w14:textFill>
        </w:rPr>
        <w:t>2、</w:t>
      </w:r>
      <w:r>
        <w:rPr>
          <w:strike w:val="0"/>
          <w:dstrike w:val="0"/>
          <w:color w:val="000000" w:themeColor="text1"/>
          <w:sz w:val="22"/>
          <w:szCs w:val="22"/>
          <w:highlight w:val="none"/>
          <w14:textFill>
            <w14:solidFill>
              <w14:schemeClr w14:val="tx1"/>
            </w14:solidFill>
          </w14:textFill>
        </w:rPr>
        <w:t>质保金</w:t>
      </w:r>
      <w:r>
        <w:rPr>
          <w:rFonts w:hint="eastAsia"/>
          <w:strike w:val="0"/>
          <w:dstrike w:val="0"/>
          <w:color w:val="000000" w:themeColor="text1"/>
          <w:sz w:val="22"/>
          <w:szCs w:val="22"/>
          <w:highlight w:val="none"/>
          <w:lang w:eastAsia="zh-CN"/>
          <w14:textFill>
            <w14:solidFill>
              <w14:schemeClr w14:val="tx1"/>
            </w14:solidFill>
          </w14:textFill>
        </w:rPr>
        <w:t>：无</w:t>
      </w:r>
    </w:p>
    <w:p>
      <w:pPr>
        <w:pStyle w:val="2"/>
        <w:spacing w:before="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七、交货期、交货方式及交货地点</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1、</w:t>
      </w:r>
      <w:r>
        <w:rPr>
          <w:color w:val="000000" w:themeColor="text1"/>
          <w:spacing w:val="-3"/>
          <w:sz w:val="22"/>
          <w:szCs w:val="22"/>
          <w14:textFill>
            <w14:solidFill>
              <w14:schemeClr w14:val="tx1"/>
            </w14:solidFill>
          </w14:textFill>
        </w:rPr>
        <w:t>交货期：合同签订后</w:t>
      </w:r>
      <w:r>
        <w:rPr>
          <w:rFonts w:hint="eastAsia"/>
          <w:color w:val="000000" w:themeColor="text1"/>
          <w:spacing w:val="-3"/>
          <w:sz w:val="22"/>
          <w:szCs w:val="22"/>
          <w:u w:val="single"/>
          <w:lang w:val="en-US" w:eastAsia="zh-CN"/>
          <w14:textFill>
            <w14:solidFill>
              <w14:schemeClr w14:val="tx1"/>
            </w14:solidFill>
          </w14:textFill>
        </w:rPr>
        <w:t xml:space="preserve">   </w:t>
      </w:r>
      <w:r>
        <w:rPr>
          <w:color w:val="000000" w:themeColor="text1"/>
          <w:sz w:val="22"/>
          <w:szCs w:val="22"/>
          <w14:textFill>
            <w14:solidFill>
              <w14:schemeClr w14:val="tx1"/>
            </w14:solidFill>
          </w14:textFill>
        </w:rPr>
        <w:t>个工作日</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pacing w:val="-5"/>
          <w:sz w:val="22"/>
          <w:szCs w:val="22"/>
          <w:lang w:val="en-US" w:eastAsia="zh-CN"/>
          <w14:textFill>
            <w14:solidFill>
              <w14:schemeClr w14:val="tx1"/>
            </w14:solidFill>
          </w14:textFill>
        </w:rPr>
        <w:t>2、</w:t>
      </w:r>
      <w:r>
        <w:rPr>
          <w:color w:val="000000" w:themeColor="text1"/>
          <w:spacing w:val="-5"/>
          <w:sz w:val="22"/>
          <w:szCs w:val="22"/>
          <w14:textFill>
            <w14:solidFill>
              <w14:schemeClr w14:val="tx1"/>
            </w14:solidFill>
          </w14:textFill>
        </w:rPr>
        <w:t>交货方式：</w:t>
      </w:r>
      <w:r>
        <w:rPr>
          <w:rFonts w:hint="eastAsia"/>
          <w:color w:val="000000" w:themeColor="text1"/>
          <w:spacing w:val="-5"/>
          <w:sz w:val="22"/>
          <w:szCs w:val="22"/>
          <w14:textFill>
            <w14:solidFill>
              <w14:schemeClr w14:val="tx1"/>
            </w14:solidFill>
          </w14:textFill>
        </w:rPr>
        <w:t>按甲方指定地点</w:t>
      </w:r>
      <w:r>
        <w:rPr>
          <w:color w:val="000000" w:themeColor="text1"/>
          <w:sz w:val="22"/>
          <w:szCs w:val="22"/>
          <w14:textFill>
            <w14:solidFill>
              <w14:schemeClr w14:val="tx1"/>
            </w14:solidFill>
          </w14:textFill>
        </w:rPr>
        <w:t>送货上门</w:t>
      </w:r>
    </w:p>
    <w:p>
      <w:pPr>
        <w:pStyle w:val="18"/>
        <w:numPr>
          <w:ilvl w:val="0"/>
          <w:numId w:val="0"/>
        </w:numPr>
        <w:ind w:left="351" w:leftChars="0"/>
        <w:rPr>
          <w:color w:val="000000" w:themeColor="text1"/>
          <w:sz w:val="22"/>
          <w:szCs w:val="22"/>
          <w14:textFill>
            <w14:solidFill>
              <w14:schemeClr w14:val="tx1"/>
            </w14:solidFill>
          </w14:textFill>
        </w:rPr>
      </w:pPr>
      <w:r>
        <w:rPr>
          <w:rFonts w:hint="eastAsia"/>
          <w:color w:val="000000" w:themeColor="text1"/>
          <w:spacing w:val="-11"/>
          <w:sz w:val="22"/>
          <w:szCs w:val="22"/>
          <w:lang w:val="en-US" w:eastAsia="zh-CN"/>
          <w14:textFill>
            <w14:solidFill>
              <w14:schemeClr w14:val="tx1"/>
            </w14:solidFill>
          </w14:textFill>
        </w:rPr>
        <w:t>3、</w:t>
      </w:r>
      <w:r>
        <w:rPr>
          <w:color w:val="000000" w:themeColor="text1"/>
          <w:spacing w:val="-11"/>
          <w:sz w:val="22"/>
          <w:szCs w:val="22"/>
          <w14:textFill>
            <w14:solidFill>
              <w14:schemeClr w14:val="tx1"/>
            </w14:solidFill>
          </w14:textFill>
        </w:rPr>
        <w:t>交货地点：</w:t>
      </w:r>
      <w:r>
        <w:rPr>
          <w:color w:val="000000" w:themeColor="text1"/>
          <w:sz w:val="22"/>
          <w:szCs w:val="22"/>
          <w14:textFill>
            <w14:solidFill>
              <w14:schemeClr w14:val="tx1"/>
            </w14:solidFill>
          </w14:textFill>
        </w:rPr>
        <w:t>浙江省温州市鹿城</w:t>
      </w:r>
      <w:r>
        <w:rPr>
          <w:rFonts w:hint="eastAsia"/>
          <w:color w:val="000000" w:themeColor="text1"/>
          <w:sz w:val="22"/>
          <w:szCs w:val="22"/>
          <w14:textFill>
            <w14:solidFill>
              <w14:schemeClr w14:val="tx1"/>
            </w14:solidFill>
          </w14:textFill>
        </w:rPr>
        <w:t>区南汇街道六虹桥路蛟尾路9号</w:t>
      </w:r>
    </w:p>
    <w:p>
      <w:pPr>
        <w:tabs>
          <w:tab w:val="left" w:pos="522"/>
        </w:tabs>
        <w:ind w:left="105" w:right="5480"/>
        <w:rPr>
          <w:b/>
          <w:bCs/>
          <w:color w:val="000000" w:themeColor="text1"/>
          <w:sz w:val="22"/>
          <w:szCs w:val="22"/>
          <w14:textFill>
            <w14:solidFill>
              <w14:schemeClr w14:val="tx1"/>
            </w14:solidFill>
          </w14:textFill>
        </w:rPr>
      </w:pPr>
      <w:r>
        <w:rPr>
          <w:b/>
          <w:color w:val="000000" w:themeColor="text1"/>
          <w:spacing w:val="10"/>
          <w:sz w:val="22"/>
          <w:szCs w:val="22"/>
          <w14:textFill>
            <w14:solidFill>
              <w14:schemeClr w14:val="tx1"/>
            </w14:solidFill>
          </w14:textFill>
        </w:rPr>
        <w:t>八、</w:t>
      </w:r>
      <w:r>
        <w:rPr>
          <w:rFonts w:hint="eastAsia"/>
          <w:b/>
          <w:bCs/>
          <w:color w:val="000000" w:themeColor="text1"/>
          <w:sz w:val="22"/>
          <w:szCs w:val="22"/>
          <w14:textFill>
            <w14:solidFill>
              <w14:schemeClr w14:val="tx1"/>
            </w14:solidFill>
          </w14:textFill>
        </w:rPr>
        <w:t>货款支付</w:t>
      </w:r>
    </w:p>
    <w:p>
      <w:pP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甲方按以下第</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种方式支付乙方合同价款。</w:t>
      </w:r>
    </w:p>
    <w:p>
      <w:pPr>
        <w:pStyle w:val="3"/>
        <w:spacing w:before="21"/>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1</w:t>
      </w:r>
      <w:r>
        <w:rPr>
          <w:color w:val="000000" w:themeColor="text1"/>
          <w:sz w:val="22"/>
          <w:szCs w:val="22"/>
          <w14:textFill>
            <w14:solidFill>
              <w14:schemeClr w14:val="tx1"/>
            </w14:solidFill>
          </w14:textFill>
        </w:rPr>
        <w:t>、一次性支付：</w:t>
      </w:r>
    </w:p>
    <w:p>
      <w:pPr>
        <w:pStyle w:val="3"/>
        <w:tabs>
          <w:tab w:val="left" w:pos="4877"/>
        </w:tabs>
        <w:spacing w:before="71"/>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本合同项下的全部货物安装调试完毕并经最终验收合格后</w:t>
      </w:r>
      <w:r>
        <w:rPr>
          <w:rFonts w:hint="eastAsia" w:ascii="宋体" w:hAnsi="宋体" w:eastAsia="宋体" w:cs="宋体"/>
          <w:color w:val="000000" w:themeColor="text1"/>
          <w:kern w:val="0"/>
          <w:sz w:val="22"/>
          <w:szCs w:val="22"/>
          <w:u w:val="single" w:color="4068E0"/>
          <w:lang w:val="en-US" w:eastAsia="zh-CN" w:bidi="zh-CN"/>
          <w14:textFill>
            <w14:solidFill>
              <w14:schemeClr w14:val="tx1"/>
            </w14:solidFill>
          </w14:textFill>
        </w:rPr>
        <w:t xml:space="preserve"> 3 </w:t>
      </w:r>
      <w:r>
        <w:rPr>
          <w:rFonts w:hint="default"/>
          <w:color w:val="000000" w:themeColor="text1"/>
          <w:sz w:val="22"/>
          <w:szCs w:val="22"/>
          <w:lang w:val="zh-CN"/>
          <w14:textFill>
            <w14:solidFill>
              <w14:schemeClr w14:val="tx1"/>
            </w14:solidFill>
          </w14:textFill>
        </w:rPr>
        <w:t>个月</w:t>
      </w:r>
      <w:r>
        <w:rPr>
          <w:color w:val="000000" w:themeColor="text1"/>
          <w:sz w:val="22"/>
          <w:szCs w:val="22"/>
          <w:lang w:val="zh-CN"/>
          <w14:textFill>
            <w14:solidFill>
              <w14:schemeClr w14:val="tx1"/>
            </w14:solidFill>
          </w14:textFill>
        </w:rPr>
        <w:t>内</w:t>
      </w:r>
      <w:r>
        <w:rPr>
          <w:color w:val="000000" w:themeColor="text1"/>
          <w:sz w:val="22"/>
          <w:szCs w:val="22"/>
          <w14:textFill>
            <w14:solidFill>
              <w14:schemeClr w14:val="tx1"/>
            </w14:solidFill>
          </w14:textFill>
        </w:rPr>
        <w:t>，甲方向乙方支付全部合同价款。</w:t>
      </w:r>
    </w:p>
    <w:p>
      <w:pPr>
        <w:pStyle w:val="3"/>
        <w:spacing w:before="69"/>
        <w:ind w:left="351"/>
        <w:rPr>
          <w:color w:val="000000" w:themeColor="text1"/>
          <w:sz w:val="22"/>
          <w:szCs w:val="22"/>
          <w14:textFill>
            <w14:solidFill>
              <w14:schemeClr w14:val="tx1"/>
            </w14:solidFill>
          </w14:textFill>
        </w:rPr>
      </w:pPr>
      <w:r>
        <w:rPr>
          <w:rFonts w:ascii="Verdana" w:eastAsia="Verdana"/>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t>、分期支付：</w:t>
      </w:r>
    </w:p>
    <w:p>
      <w:pPr>
        <w:pStyle w:val="18"/>
        <w:numPr>
          <w:ilvl w:val="0"/>
          <w:numId w:val="0"/>
        </w:numPr>
        <w:tabs>
          <w:tab w:val="left" w:pos="797"/>
          <w:tab w:val="left" w:pos="2800"/>
          <w:tab w:val="left" w:pos="5814"/>
          <w:tab w:val="left" w:pos="7603"/>
          <w:tab w:val="left" w:pos="8599"/>
        </w:tabs>
        <w:spacing w:before="69"/>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甲方应于本合同生效后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作为预付款，计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全部货物验收合格后</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个工作日内，甲方向乙方支付合同总价款的</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，计</w:t>
      </w:r>
      <w:r>
        <w:rPr>
          <w:rFonts w:ascii="Verdana" w:hAnsi="Verdana" w:eastAsia="Verdana"/>
          <w:color w:val="000000" w:themeColor="text1"/>
          <w:sz w:val="22"/>
          <w:szCs w:val="22"/>
          <w14:textFill>
            <w14:solidFill>
              <w14:schemeClr w14:val="tx1"/>
            </w14:solidFill>
          </w14:textFill>
        </w:rPr>
        <w:t>¥</w:t>
      </w:r>
      <w:r>
        <w:rPr>
          <w:rFonts w:ascii="Verdana" w:hAnsi="Verdana" w:eastAsia="Verdana"/>
          <w:color w:val="000000" w:themeColor="text1"/>
          <w:sz w:val="22"/>
          <w:szCs w:val="22"/>
          <w:u w:val="single" w:color="4068E0"/>
          <w14:textFill>
            <w14:solidFill>
              <w14:schemeClr w14:val="tx1"/>
            </w14:solidFill>
          </w14:textFill>
        </w:rPr>
        <w:t xml:space="preserve"> </w:t>
      </w:r>
      <w:r>
        <w:rPr>
          <w:rFonts w:hint="eastAsia" w:ascii="Verdana" w:hAnsi="Verdan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元（大写</w:t>
      </w:r>
      <w:r>
        <w:rPr>
          <w:color w:val="000000" w:themeColor="text1"/>
          <w:sz w:val="22"/>
          <w:szCs w:val="22"/>
          <w:u w:val="single" w:color="4068E0"/>
          <w14:textFill>
            <w14:solidFill>
              <w14:schemeClr w14:val="tx1"/>
            </w14:solidFill>
          </w14:textFill>
        </w:rPr>
        <w:t xml:space="preserve"> </w:t>
      </w:r>
      <w:r>
        <w:rPr>
          <w:rFonts w:hint="eastAsia"/>
          <w:color w:val="000000" w:themeColor="text1"/>
          <w:sz w:val="22"/>
          <w:szCs w:val="22"/>
          <w:u w:val="single" w:color="4068E0"/>
          <w:lang w:val="en-US"/>
          <w14:textFill>
            <w14:solidFill>
              <w14:schemeClr w14:val="tx1"/>
            </w14:solidFill>
          </w14:textFill>
        </w:rPr>
        <w:t>/</w:t>
      </w:r>
      <w:r>
        <w:rPr>
          <w:color w:val="000000" w:themeColor="text1"/>
          <w:sz w:val="22"/>
          <w:szCs w:val="22"/>
          <w14:textFill>
            <w14:solidFill>
              <w14:schemeClr w14:val="tx1"/>
            </w14:solidFill>
          </w14:textFill>
        </w:rPr>
        <w:t>元整）。</w:t>
      </w:r>
    </w:p>
    <w:p>
      <w:pPr>
        <w:pStyle w:val="18"/>
        <w:numPr>
          <w:ilvl w:val="0"/>
          <w:numId w:val="0"/>
        </w:numPr>
        <w:tabs>
          <w:tab w:val="left" w:pos="797"/>
          <w:tab w:val="left" w:pos="2632"/>
          <w:tab w:val="left" w:pos="6150"/>
          <w:tab w:val="left" w:pos="7098"/>
          <w:tab w:val="left" w:pos="8095"/>
        </w:tabs>
        <w:spacing w:before="118"/>
        <w:ind w:left="351" w:leftChars="0"/>
        <w:rPr>
          <w:rFonts w:hint="eastAsia" w:eastAsia="新宋体"/>
          <w:color w:val="000000" w:themeColor="text1"/>
          <w:sz w:val="22"/>
          <w:szCs w:val="22"/>
          <w:highlight w:val="none"/>
          <w:lang w:val="en-US" w:eastAsia="zh-CN"/>
          <w14:textFill>
            <w14:solidFill>
              <w14:schemeClr w14:val="tx1"/>
            </w14:solidFill>
          </w14:textFill>
        </w:rPr>
      </w:pPr>
      <w:r>
        <w:rPr>
          <w:rFonts w:hint="eastAsia" w:ascii="Verdana" w:hAnsi="宋体" w:eastAsia="Verdana" w:cs="宋体"/>
          <w:color w:val="000000" w:themeColor="text1"/>
          <w:kern w:val="0"/>
          <w:sz w:val="22"/>
          <w:szCs w:val="22"/>
          <w:highlight w:val="none"/>
          <w:lang w:val="en-US" w:eastAsia="zh-CN" w:bidi="zh-CN"/>
          <w14:textFill>
            <w14:solidFill>
              <w14:schemeClr w14:val="tx1"/>
            </w14:solidFill>
          </w14:textFill>
        </w:rPr>
        <w:t>3、</w:t>
      </w:r>
      <w:r>
        <w:rPr>
          <w:rFonts w:hint="eastAsia" w:ascii="Verdana" w:eastAsia="宋体" w:cs="宋体"/>
          <w:color w:val="000000" w:themeColor="text1"/>
          <w:kern w:val="0"/>
          <w:sz w:val="22"/>
          <w:szCs w:val="22"/>
          <w:highlight w:val="none"/>
          <w:lang w:val="en-US" w:eastAsia="zh-CN" w:bidi="zh-CN"/>
          <w14:textFill>
            <w14:solidFill>
              <w14:schemeClr w14:val="tx1"/>
            </w14:solidFill>
          </w14:textFill>
        </w:rPr>
        <w:t>若</w:t>
      </w:r>
      <w:r>
        <w:rPr>
          <w:rFonts w:hint="default" w:ascii="Times New Roman" w:hAnsi="Times New Roman" w:eastAsia="新宋体" w:cs="Times New Roman"/>
          <w:color w:val="auto"/>
          <w:sz w:val="22"/>
          <w:szCs w:val="22"/>
          <w:highlight w:val="none"/>
        </w:rPr>
        <w:t>乙方为中小企业：在合同签订生效以及具备实施条件后，乙方须向甲方提交与预付款等额的“预付款保函”</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合同预付款为合同金额的</w:t>
      </w:r>
      <w:r>
        <w:rPr>
          <w:rFonts w:hint="eastAsia" w:ascii="Times New Roman" w:hAnsi="Times New Roman" w:eastAsia="新宋体" w:cs="Times New Roman"/>
          <w:color w:val="auto"/>
          <w:sz w:val="22"/>
          <w:szCs w:val="22"/>
          <w:highlight w:val="none"/>
          <w:lang w:val="en-US" w:eastAsia="zh-CN"/>
        </w:rPr>
        <w:t>30</w:t>
      </w:r>
      <w:r>
        <w:rPr>
          <w:rFonts w:hint="default" w:ascii="Times New Roman" w:hAnsi="Times New Roman" w:eastAsia="新宋体" w:cs="Times New Roman"/>
          <w:color w:val="auto"/>
          <w:sz w:val="22"/>
          <w:szCs w:val="22"/>
          <w:highlight w:val="none"/>
        </w:rPr>
        <w:t>%</w:t>
      </w:r>
      <w:r>
        <w:rPr>
          <w:rFonts w:hint="eastAsia" w:ascii="Times New Roman" w:hAnsi="Times New Roman" w:eastAsia="新宋体" w:cs="Times New Roman"/>
          <w:color w:val="auto"/>
          <w:sz w:val="22"/>
          <w:szCs w:val="22"/>
          <w:highlight w:val="none"/>
          <w:lang w:eastAsia="zh-CN"/>
        </w:rPr>
        <w:t>）</w:t>
      </w:r>
      <w:r>
        <w:rPr>
          <w:rFonts w:hint="default" w:ascii="Times New Roman" w:hAnsi="Times New Roman" w:eastAsia="新宋体" w:cs="Times New Roman"/>
          <w:color w:val="auto"/>
          <w:sz w:val="22"/>
          <w:szCs w:val="22"/>
          <w:highlight w:val="none"/>
        </w:rPr>
        <w:t>。甲方收到“预付款保函”后7个工作日内支付预付款；</w:t>
      </w:r>
      <w:r>
        <w:rPr>
          <w:rFonts w:hint="eastAsia" w:ascii="Times New Roman" w:hAnsi="Times New Roman" w:eastAsia="新宋体" w:cs="Times New Roman"/>
          <w:color w:val="auto"/>
          <w:sz w:val="22"/>
          <w:szCs w:val="22"/>
          <w:highlight w:val="none"/>
          <w:lang w:eastAsia="zh-CN"/>
        </w:rPr>
        <w:t>待</w:t>
      </w:r>
      <w:r>
        <w:rPr>
          <w:rFonts w:hint="default" w:ascii="Times New Roman" w:hAnsi="Times New Roman" w:eastAsia="新宋体" w:cs="Times New Roman"/>
          <w:color w:val="auto"/>
          <w:sz w:val="22"/>
          <w:szCs w:val="22"/>
          <w:highlight w:val="none"/>
        </w:rPr>
        <w:t>（每批）货物验收合格后，乙方开具合同货物</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发票，甲方在收到</w:t>
      </w:r>
      <w:r>
        <w:rPr>
          <w:rFonts w:hint="eastAsia" w:ascii="Times New Roman" w:hAnsi="Times New Roman" w:eastAsia="新宋体" w:cs="Times New Roman"/>
          <w:color w:val="auto"/>
          <w:sz w:val="22"/>
          <w:szCs w:val="22"/>
          <w:highlight w:val="none"/>
          <w:lang w:eastAsia="zh-CN"/>
        </w:rPr>
        <w:t>全额</w:t>
      </w:r>
      <w:r>
        <w:rPr>
          <w:rFonts w:hint="default" w:ascii="Times New Roman" w:hAnsi="Times New Roman" w:eastAsia="新宋体" w:cs="Times New Roman"/>
          <w:color w:val="auto"/>
          <w:sz w:val="22"/>
          <w:szCs w:val="22"/>
          <w:highlight w:val="none"/>
        </w:rPr>
        <w:t>发票后</w:t>
      </w:r>
      <w:r>
        <w:rPr>
          <w:rFonts w:hint="eastAsia" w:ascii="Times New Roman" w:hAnsi="Times New Roman" w:eastAsia="新宋体" w:cs="Times New Roman"/>
          <w:color w:val="auto"/>
          <w:sz w:val="22"/>
          <w:szCs w:val="22"/>
          <w:highlight w:val="none"/>
          <w:lang w:val="en-US" w:eastAsia="zh-CN"/>
        </w:rPr>
        <w:t>3个月内</w:t>
      </w:r>
      <w:r>
        <w:rPr>
          <w:rFonts w:hint="default" w:ascii="Times New Roman" w:hAnsi="Times New Roman" w:eastAsia="新宋体" w:cs="Times New Roman"/>
          <w:color w:val="auto"/>
          <w:sz w:val="22"/>
          <w:szCs w:val="22"/>
          <w:highlight w:val="none"/>
        </w:rPr>
        <w:t>支付至</w:t>
      </w:r>
      <w:r>
        <w:rPr>
          <w:rFonts w:hint="eastAsia" w:ascii="Times New Roman" w:hAnsi="Times New Roman" w:eastAsia="新宋体" w:cs="Times New Roman"/>
          <w:color w:val="auto"/>
          <w:sz w:val="22"/>
          <w:szCs w:val="22"/>
          <w:highlight w:val="none"/>
          <w:lang w:val="en-US" w:eastAsia="zh-CN"/>
        </w:rPr>
        <w:t>100</w:t>
      </w:r>
      <w:r>
        <w:rPr>
          <w:rFonts w:hint="default" w:ascii="Times New Roman" w:hAnsi="Times New Roman" w:eastAsia="新宋体" w:cs="Times New Roman"/>
          <w:color w:val="auto"/>
          <w:sz w:val="22"/>
          <w:szCs w:val="22"/>
          <w:highlight w:val="none"/>
        </w:rPr>
        <w:t>%合同货款</w:t>
      </w:r>
      <w:r>
        <w:rPr>
          <w:rFonts w:hint="eastAsia" w:ascii="Times New Roman" w:hAnsi="Times New Roman" w:eastAsia="新宋体" w:cs="Times New Roman"/>
          <w:color w:val="auto"/>
          <w:sz w:val="22"/>
          <w:szCs w:val="22"/>
          <w:highlight w:val="none"/>
          <w:lang w:eastAsia="zh-CN"/>
        </w:rPr>
        <w:t>。</w:t>
      </w:r>
    </w:p>
    <w:p>
      <w:pPr>
        <w:pStyle w:val="2"/>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3"/>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18"/>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8"/>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18"/>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18"/>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甲方对乙方提交的货物依据招标文件上的技术规格要求和国家有关质量标准进行现场验收。货到后，甲方需在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18"/>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8"/>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18"/>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18"/>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18"/>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甲方无正当理由拒收货物的，甲方向乙方偿付拒收货款总值的</w:t>
      </w:r>
      <w:r>
        <w:rPr>
          <w:color w:val="000000" w:themeColor="text1"/>
          <w:spacing w:val="3"/>
          <w:sz w:val="22"/>
          <w:szCs w:val="22"/>
          <w:u w:val="single" w:color="4068E0"/>
          <w14:textFill>
            <w14:solidFill>
              <w14:schemeClr w14:val="tx1"/>
            </w14:solidFill>
          </w14:textFill>
        </w:rPr>
        <w:t xml:space="preserve"> 百分之五</w:t>
      </w:r>
      <w:r>
        <w:rPr>
          <w:color w:val="000000" w:themeColor="text1"/>
          <w:spacing w:val="45"/>
          <w:sz w:val="22"/>
          <w:szCs w:val="22"/>
          <w14:textFill>
            <w14:solidFill>
              <w14:schemeClr w14:val="tx1"/>
            </w14:solidFill>
          </w14:textFill>
        </w:rPr>
        <w:t xml:space="preserve"> </w:t>
      </w:r>
      <w:r>
        <w:rPr>
          <w:color w:val="000000" w:themeColor="text1"/>
          <w:sz w:val="22"/>
          <w:szCs w:val="22"/>
          <w14:textFill>
            <w14:solidFill>
              <w14:schemeClr w14:val="tx1"/>
            </w14:solidFill>
          </w14:textFill>
        </w:rPr>
        <w:t>违约金。</w:t>
      </w:r>
    </w:p>
    <w:p>
      <w:pPr>
        <w:pStyle w:val="18"/>
        <w:numPr>
          <w:ilvl w:val="0"/>
          <w:numId w:val="0"/>
        </w:numPr>
        <w:tabs>
          <w:tab w:val="left" w:pos="522"/>
        </w:tabs>
        <w:spacing w:before="117"/>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甲方无故逾期验收和办理货款支付手续的</w:t>
      </w:r>
      <w:r>
        <w:rPr>
          <w:rFonts w:asci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甲方应按逾期付款总额每日</w:t>
      </w:r>
      <w:r>
        <w:rPr>
          <w:color w:val="000000" w:themeColor="text1"/>
          <w:spacing w:val="2"/>
          <w:sz w:val="22"/>
          <w:szCs w:val="22"/>
          <w:u w:val="single" w:color="4068E0"/>
          <w14:textFill>
            <w14:solidFill>
              <w14:schemeClr w14:val="tx1"/>
            </w14:solidFill>
          </w14:textFill>
        </w:rPr>
        <w:t xml:space="preserve"> 万分之五</w:t>
      </w:r>
      <w:r>
        <w:rPr>
          <w:color w:val="000000" w:themeColor="text1"/>
          <w:spacing w:val="43"/>
          <w:sz w:val="22"/>
          <w:szCs w:val="22"/>
          <w14:textFill>
            <w14:solidFill>
              <w14:schemeClr w14:val="tx1"/>
            </w14:solidFill>
          </w14:textFill>
        </w:rPr>
        <w:t xml:space="preserve"> </w:t>
      </w:r>
      <w:r>
        <w:rPr>
          <w:color w:val="000000" w:themeColor="text1"/>
          <w:sz w:val="22"/>
          <w:szCs w:val="22"/>
          <w14:textFill>
            <w14:solidFill>
              <w14:schemeClr w14:val="tx1"/>
            </w14:solidFill>
          </w14:textFill>
        </w:rPr>
        <w:t>向乙方支付违约金。</w:t>
      </w:r>
    </w:p>
    <w:p>
      <w:pPr>
        <w:pStyle w:val="18"/>
        <w:numPr>
          <w:ilvl w:val="0"/>
          <w:numId w:val="0"/>
        </w:numPr>
        <w:tabs>
          <w:tab w:val="left" w:pos="522"/>
        </w:tabs>
        <w:spacing w:before="118"/>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乙方逾期交付货物的，乙方应按逾期交货总额每日</w:t>
      </w:r>
      <w:r>
        <w:rPr>
          <w:color w:val="000000" w:themeColor="text1"/>
          <w:spacing w:val="15"/>
          <w:sz w:val="22"/>
          <w:szCs w:val="22"/>
          <w:u w:val="single" w:color="4068E0"/>
          <w14:textFill>
            <w14:solidFill>
              <w14:schemeClr w14:val="tx1"/>
            </w14:solidFill>
          </w14:textFill>
        </w:rPr>
        <w:t xml:space="preserve"> 千分之六</w:t>
      </w:r>
      <w:r>
        <w:rPr>
          <w:color w:val="000000" w:themeColor="text1"/>
          <w:spacing w:val="29"/>
          <w:sz w:val="22"/>
          <w:szCs w:val="22"/>
          <w14:textFill>
            <w14:solidFill>
              <w14:schemeClr w14:val="tx1"/>
            </w14:solidFill>
          </w14:textFill>
        </w:rPr>
        <w:t xml:space="preserve"> </w:t>
      </w:r>
      <w:r>
        <w:rPr>
          <w:color w:val="000000" w:themeColor="text1"/>
          <w:sz w:val="22"/>
          <w:szCs w:val="22"/>
          <w14:textFill>
            <w14:solidFill>
              <w14:schemeClr w14:val="tx1"/>
            </w14:solidFill>
          </w14:textFill>
        </w:rPr>
        <w:t>向甲方支付违约金，由甲方从待付货款中扣除。逾期超过约定日期</w:t>
      </w:r>
      <w:r>
        <w:rPr>
          <w:rFonts w:hint="eastAsia"/>
          <w:color w:val="000000" w:themeColor="text1"/>
          <w:sz w:val="22"/>
          <w:szCs w:val="22"/>
          <w14:textFill>
            <w14:solidFill>
              <w14:schemeClr w14:val="tx1"/>
            </w14:solidFill>
          </w14:textFill>
        </w:rPr>
        <w:t xml:space="preserve">   10 个工作日不能交货的，甲方可解除本合同。乙方因逾期交货或因其他违约行为导致甲方解除合同的，乙方应向甲方支付合同总值</w:t>
      </w:r>
      <w:r>
        <w:rPr>
          <w:rFonts w:hint="eastAsia"/>
          <w:color w:val="000000" w:themeColor="text1"/>
          <w:sz w:val="22"/>
          <w:szCs w:val="22"/>
          <w:u w:val="single"/>
          <w14:textFill>
            <w14:solidFill>
              <w14:schemeClr w14:val="tx1"/>
            </w14:solidFill>
          </w14:textFill>
        </w:rPr>
        <w:t xml:space="preserve"> 5</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18"/>
        <w:numPr>
          <w:ilvl w:val="0"/>
          <w:numId w:val="0"/>
        </w:numPr>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18"/>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18"/>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18"/>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2"/>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3"/>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2"/>
        <w:spacing w:before="107"/>
        <w:rPr>
          <w:sz w:val="22"/>
          <w:szCs w:val="22"/>
        </w:rPr>
      </w:pPr>
      <w:r>
        <w:rPr>
          <w:sz w:val="22"/>
          <w:szCs w:val="22"/>
        </w:rPr>
        <w:t>十六、合同生效及其它</w:t>
      </w:r>
    </w:p>
    <w:p>
      <w:pPr>
        <w:pStyle w:val="18"/>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本合同经甲、乙双方签字并加盖单位公章后生效。</w:t>
      </w:r>
    </w:p>
    <w:p>
      <w:pPr>
        <w:pStyle w:val="18"/>
        <w:numPr>
          <w:ilvl w:val="0"/>
          <w:numId w:val="0"/>
        </w:numPr>
        <w:tabs>
          <w:tab w:val="left" w:pos="522"/>
        </w:tabs>
        <w:ind w:left="351" w:leftChars="0" w:right="101" w:rightChars="0"/>
        <w:rPr>
          <w:sz w:val="22"/>
          <w:szCs w:val="22"/>
        </w:rPr>
      </w:pPr>
      <w:r>
        <w:rPr>
          <w:rFonts w:hint="eastAsia"/>
          <w:sz w:val="22"/>
          <w:szCs w:val="22"/>
          <w:lang w:val="en-US" w:eastAsia="zh-CN"/>
        </w:rPr>
        <w:t>2、</w:t>
      </w:r>
      <w:r>
        <w:rPr>
          <w:sz w:val="22"/>
          <w:szCs w:val="22"/>
        </w:rPr>
        <w:t>招标文件、投标文件、项目采购协议或入围承诺书与本合同具有同等法律效力。如前述各项文件之间约定不一致的，应以最新签署的文件内容为准。</w:t>
      </w:r>
    </w:p>
    <w:p>
      <w:pPr>
        <w:pStyle w:val="18"/>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18"/>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18"/>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p>
    <w:p>
      <w:pPr>
        <w:pStyle w:val="3"/>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3"/>
        <w:spacing w:before="106" w:line="264" w:lineRule="auto"/>
        <w:ind w:left="105" w:right="209"/>
        <w:rPr>
          <w:sz w:val="22"/>
          <w:szCs w:val="22"/>
        </w:rPr>
      </w:pPr>
      <w:r>
        <w:rPr>
          <w:rFonts w:hint="eastAsia"/>
          <w:sz w:val="22"/>
          <w:szCs w:val="22"/>
        </w:rPr>
        <w:t>地址：温州市六虹桥路蛟尾路9号                   地址：</w:t>
      </w:r>
    </w:p>
    <w:p>
      <w:pPr>
        <w:pStyle w:val="3"/>
        <w:spacing w:before="106" w:line="264" w:lineRule="auto"/>
        <w:ind w:left="105" w:right="209"/>
        <w:rPr>
          <w:sz w:val="22"/>
          <w:szCs w:val="22"/>
        </w:rPr>
      </w:pPr>
      <w:r>
        <w:rPr>
          <w:rFonts w:hint="eastAsia"/>
          <w:sz w:val="22"/>
          <w:szCs w:val="22"/>
        </w:rPr>
        <w:t xml:space="preserve">法定（授权）代表人：                            法定（授权）代表人： </w:t>
      </w:r>
    </w:p>
    <w:p>
      <w:pPr>
        <w:pStyle w:val="3"/>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3"/>
        <w:rPr>
          <w:sz w:val="20"/>
        </w:rPr>
      </w:pPr>
    </w:p>
    <w:tbl>
      <w:tblPr>
        <w:tblStyle w:val="10"/>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3"/>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九、本合同一式三份，甲、乙双方各执一份，甲方纪检监察部门执一份，并从签订之日起生效。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819C8"/>
    <w:rsid w:val="04165086"/>
    <w:rsid w:val="079468F0"/>
    <w:rsid w:val="088815A9"/>
    <w:rsid w:val="0A277157"/>
    <w:rsid w:val="0A323667"/>
    <w:rsid w:val="0A964758"/>
    <w:rsid w:val="0B691EBF"/>
    <w:rsid w:val="0BDB7828"/>
    <w:rsid w:val="0D3C3F90"/>
    <w:rsid w:val="0D6B27A0"/>
    <w:rsid w:val="0D737863"/>
    <w:rsid w:val="10827943"/>
    <w:rsid w:val="11D15B1C"/>
    <w:rsid w:val="11D56F8A"/>
    <w:rsid w:val="122240D4"/>
    <w:rsid w:val="12531874"/>
    <w:rsid w:val="129A029D"/>
    <w:rsid w:val="12C9410A"/>
    <w:rsid w:val="14C02644"/>
    <w:rsid w:val="157B401A"/>
    <w:rsid w:val="165B3C1A"/>
    <w:rsid w:val="17453125"/>
    <w:rsid w:val="184F31D7"/>
    <w:rsid w:val="1A2E6DE6"/>
    <w:rsid w:val="1D4821A9"/>
    <w:rsid w:val="202B56B1"/>
    <w:rsid w:val="22723315"/>
    <w:rsid w:val="22CF7097"/>
    <w:rsid w:val="232E51F6"/>
    <w:rsid w:val="23884864"/>
    <w:rsid w:val="24C52651"/>
    <w:rsid w:val="27E45486"/>
    <w:rsid w:val="28DD687E"/>
    <w:rsid w:val="2B057E38"/>
    <w:rsid w:val="2BA52826"/>
    <w:rsid w:val="2D7F5632"/>
    <w:rsid w:val="2E46068D"/>
    <w:rsid w:val="2EB05F76"/>
    <w:rsid w:val="2F3C6CF1"/>
    <w:rsid w:val="2FBD42B3"/>
    <w:rsid w:val="30D412A1"/>
    <w:rsid w:val="30E84F1F"/>
    <w:rsid w:val="316641F0"/>
    <w:rsid w:val="31BF6098"/>
    <w:rsid w:val="31F8416E"/>
    <w:rsid w:val="32CE7A3F"/>
    <w:rsid w:val="33951D5C"/>
    <w:rsid w:val="34117E05"/>
    <w:rsid w:val="351B0D6F"/>
    <w:rsid w:val="35633FD8"/>
    <w:rsid w:val="37C66C9B"/>
    <w:rsid w:val="39BD6D12"/>
    <w:rsid w:val="3BB420F5"/>
    <w:rsid w:val="3C967014"/>
    <w:rsid w:val="3DB75172"/>
    <w:rsid w:val="3F1B3C4A"/>
    <w:rsid w:val="402E62DF"/>
    <w:rsid w:val="402F4957"/>
    <w:rsid w:val="405108FA"/>
    <w:rsid w:val="4136403A"/>
    <w:rsid w:val="41EF774F"/>
    <w:rsid w:val="42660058"/>
    <w:rsid w:val="43824C1A"/>
    <w:rsid w:val="449C5243"/>
    <w:rsid w:val="449E2D2B"/>
    <w:rsid w:val="46094A05"/>
    <w:rsid w:val="460A3EB2"/>
    <w:rsid w:val="477517FF"/>
    <w:rsid w:val="479F5F87"/>
    <w:rsid w:val="497E50E4"/>
    <w:rsid w:val="49CC2349"/>
    <w:rsid w:val="4A254910"/>
    <w:rsid w:val="4AA864D5"/>
    <w:rsid w:val="4B956476"/>
    <w:rsid w:val="4D3D3121"/>
    <w:rsid w:val="4DCB17F7"/>
    <w:rsid w:val="529E0326"/>
    <w:rsid w:val="53423D16"/>
    <w:rsid w:val="534B0A6F"/>
    <w:rsid w:val="539D45B7"/>
    <w:rsid w:val="53CA557A"/>
    <w:rsid w:val="545A32FC"/>
    <w:rsid w:val="547D6E0D"/>
    <w:rsid w:val="55382DBA"/>
    <w:rsid w:val="55596194"/>
    <w:rsid w:val="56A54B82"/>
    <w:rsid w:val="584110E8"/>
    <w:rsid w:val="587C329C"/>
    <w:rsid w:val="595B205E"/>
    <w:rsid w:val="5A4777C5"/>
    <w:rsid w:val="5A6E001E"/>
    <w:rsid w:val="5CD36D91"/>
    <w:rsid w:val="5DEC7787"/>
    <w:rsid w:val="5DFE7766"/>
    <w:rsid w:val="60F93F09"/>
    <w:rsid w:val="669F4579"/>
    <w:rsid w:val="683E0693"/>
    <w:rsid w:val="685E7C65"/>
    <w:rsid w:val="68AB5C34"/>
    <w:rsid w:val="698F00A6"/>
    <w:rsid w:val="6A670A41"/>
    <w:rsid w:val="6A800692"/>
    <w:rsid w:val="6BF3478F"/>
    <w:rsid w:val="6DE10695"/>
    <w:rsid w:val="6E0B49D4"/>
    <w:rsid w:val="6E6658CD"/>
    <w:rsid w:val="6E7E61B3"/>
    <w:rsid w:val="6F1A55B9"/>
    <w:rsid w:val="711B411C"/>
    <w:rsid w:val="7392213F"/>
    <w:rsid w:val="739F5CC0"/>
    <w:rsid w:val="73F75A9D"/>
    <w:rsid w:val="748F3673"/>
    <w:rsid w:val="755C54CB"/>
    <w:rsid w:val="772F4719"/>
    <w:rsid w:val="773504DF"/>
    <w:rsid w:val="78667688"/>
    <w:rsid w:val="7A192AA7"/>
    <w:rsid w:val="7B395E66"/>
    <w:rsid w:val="7C0B3B0A"/>
    <w:rsid w:val="7C4831AB"/>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Plain Text"/>
    <w:basedOn w:val="1"/>
    <w:qFormat/>
    <w:uiPriority w:val="0"/>
    <w:rPr>
      <w:rFonts w:ascii="宋体" w:hAnsi="Courier New" w:cs="Courier New"/>
      <w:szCs w:val="21"/>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9">
    <w:name w:val="Body Text First Indent"/>
    <w:basedOn w:val="3"/>
    <w:qFormat/>
    <w:uiPriority w:val="0"/>
    <w:pPr>
      <w:ind w:firstLine="420"/>
    </w:pPr>
    <w:rPr>
      <w:rFonts w:ascii="Calibri" w:hAnsi="Calibri" w:eastAsia="宋体" w:cs="Times New Roman"/>
    </w:rPr>
  </w:style>
  <w:style w:type="table" w:styleId="11">
    <w:name w:val="Table Grid"/>
    <w:basedOn w:val="1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qFormat/>
    <w:uiPriority w:val="20"/>
    <w:rPr>
      <w:i/>
      <w:iCs/>
    </w:rPr>
  </w:style>
  <w:style w:type="character" w:customStyle="1" w:styleId="15">
    <w:name w:val="页眉 Char"/>
    <w:basedOn w:val="12"/>
    <w:link w:val="6"/>
    <w:qFormat/>
    <w:uiPriority w:val="99"/>
    <w:rPr>
      <w:sz w:val="18"/>
      <w:szCs w:val="18"/>
    </w:rPr>
  </w:style>
  <w:style w:type="character" w:customStyle="1" w:styleId="16">
    <w:name w:val="页脚 Char"/>
    <w:basedOn w:val="12"/>
    <w:link w:val="5"/>
    <w:qFormat/>
    <w:uiPriority w:val="99"/>
    <w:rPr>
      <w:sz w:val="18"/>
      <w:szCs w:val="18"/>
    </w:rPr>
  </w:style>
  <w:style w:type="paragraph" w:customStyle="1" w:styleId="17">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8">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9">
    <w:name w:val="NormalCharacter"/>
    <w:semiHidden/>
    <w:qFormat/>
    <w:uiPriority w:val="0"/>
  </w:style>
  <w:style w:type="character" w:customStyle="1" w:styleId="20">
    <w:name w:val="font3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font41"/>
    <w:basedOn w:val="12"/>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9</Pages>
  <Words>6148</Words>
  <Characters>6330</Characters>
  <Lines>6</Lines>
  <Paragraphs>1</Paragraphs>
  <TotalTime>0</TotalTime>
  <ScaleCrop>false</ScaleCrop>
  <LinksUpToDate>false</LinksUpToDate>
  <CharactersWithSpaces>6720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2022-08-16T02:21:54Z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2052-11.1.0.12302</vt:lpwstr>
  </property>
  <property fmtid="{D5CDD505-2E9C-101B-9397-08002B2CF9AE}" pid="4" name="ICV">
    <vt:lpwstr>99012001CC8449E1B44B4987A03F7E88</vt:lpwstr>
  </property>
</Properties>
</file>